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8E10B">
      <w:pPr>
        <w:widowControl/>
        <w:jc w:val="center"/>
      </w:pPr>
      <w:r>
        <w:rPr>
          <w:rFonts w:hint="eastAsia" w:ascii="宋体" w:hAnsi="宋体" w:eastAsia="宋体" w:cs="宋体"/>
          <w:b/>
          <w:bCs/>
          <w:color w:val="000000"/>
          <w:kern w:val="0"/>
          <w:sz w:val="43"/>
          <w:szCs w:val="43"/>
          <w:lang w:bidi="ar"/>
        </w:rPr>
        <w:t>白璧镇中心学校</w:t>
      </w:r>
    </w:p>
    <w:p w14:paraId="2D824CC9">
      <w:pPr>
        <w:widowControl/>
        <w:jc w:val="center"/>
      </w:pPr>
      <w:r>
        <w:rPr>
          <w:rFonts w:hint="eastAsia" w:ascii="宋体" w:hAnsi="宋体" w:eastAsia="宋体" w:cs="宋体"/>
          <w:b/>
          <w:bCs/>
          <w:color w:val="000000"/>
          <w:kern w:val="0"/>
          <w:sz w:val="43"/>
          <w:szCs w:val="43"/>
          <w:lang w:bidi="ar"/>
        </w:rPr>
        <w:t>2025年义务教育招生入学工作方案</w:t>
      </w:r>
    </w:p>
    <w:p w14:paraId="052E6CCE">
      <w:pPr>
        <w:widowControl/>
        <w:jc w:val="left"/>
        <w:rPr>
          <w:rFonts w:ascii="仿宋" w:hAnsi="仿宋" w:eastAsia="仿宋" w:cs="仿宋"/>
          <w:b/>
          <w:bCs/>
          <w:color w:val="333333"/>
          <w:kern w:val="0"/>
          <w:sz w:val="31"/>
          <w:szCs w:val="31"/>
          <w:lang w:bidi="ar"/>
        </w:rPr>
      </w:pPr>
    </w:p>
    <w:p w14:paraId="1C70BFC0">
      <w:pPr>
        <w:widowControl/>
        <w:jc w:val="left"/>
        <w:rPr>
          <w:rFonts w:ascii="宋体" w:hAnsi="宋体" w:eastAsia="宋体" w:cs="宋体"/>
          <w:sz w:val="32"/>
          <w:szCs w:val="32"/>
        </w:rPr>
      </w:pPr>
      <w:r>
        <w:rPr>
          <w:rFonts w:hint="eastAsia" w:ascii="宋体" w:hAnsi="宋体" w:eastAsia="宋体" w:cs="宋体"/>
          <w:b/>
          <w:bCs/>
          <w:color w:val="333333"/>
          <w:kern w:val="0"/>
          <w:sz w:val="32"/>
          <w:szCs w:val="32"/>
          <w:lang w:bidi="ar"/>
        </w:rPr>
        <w:t>各中小学：</w:t>
      </w:r>
    </w:p>
    <w:p w14:paraId="78C8A355">
      <w:pPr>
        <w:widowControl/>
        <w:ind w:firstLine="640" w:firstLineChars="200"/>
        <w:jc w:val="left"/>
        <w:rPr>
          <w:rFonts w:ascii="宋体" w:hAnsi="宋体" w:eastAsia="宋体" w:cs="宋体"/>
          <w:sz w:val="32"/>
          <w:szCs w:val="32"/>
        </w:rPr>
      </w:pPr>
      <w:r>
        <w:rPr>
          <w:rFonts w:hint="eastAsia" w:ascii="宋体" w:hAnsi="宋体" w:eastAsia="宋体" w:cs="宋体"/>
          <w:color w:val="333333"/>
          <w:kern w:val="0"/>
          <w:sz w:val="32"/>
          <w:szCs w:val="32"/>
          <w:lang w:bidi="ar"/>
        </w:rPr>
        <w:t>为深入贯彻中央“双减”工作决策部署和全省义务教育优质均衡发展现场推进会精神，全面加强义务教育招生入学管理工作，促进教育公平，维护群众切身利益，</w:t>
      </w:r>
      <w:r>
        <w:rPr>
          <w:rFonts w:asciiTheme="minorEastAsia" w:hAnsiTheme="minorEastAsia"/>
          <w:sz w:val="32"/>
          <w:szCs w:val="32"/>
        </w:rPr>
        <w:t>根据《教育部办公厅关于开展义务教育阳光招生专项行动（2025）的通知》（教基厅函（2025）5号）、《教育部办公厅关于开展基础教育规范管理提升年行动的通知》（教基厅函（2025）14号）、《河南省教育厅＜关于启用教育入学“一件事”平台组织义务教育阳光招生＞的通知（教基函（2025）267号）文件精神，</w:t>
      </w:r>
      <w:r>
        <w:rPr>
          <w:rFonts w:hint="eastAsia" w:ascii="宋体" w:hAnsi="宋体" w:eastAsia="宋体" w:cs="宋体"/>
          <w:color w:val="333333"/>
          <w:kern w:val="0"/>
          <w:sz w:val="32"/>
          <w:szCs w:val="32"/>
          <w:lang w:bidi="ar"/>
        </w:rPr>
        <w:t>现将我镇2025年义务教育招生入学工作的实施意见发给你们，请认真贯彻执行。</w:t>
      </w:r>
    </w:p>
    <w:p w14:paraId="0E769966">
      <w:pPr>
        <w:widowControl/>
        <w:jc w:val="left"/>
        <w:rPr>
          <w:rFonts w:ascii="宋体" w:hAnsi="宋体" w:eastAsia="宋体" w:cs="宋体"/>
          <w:sz w:val="32"/>
          <w:szCs w:val="32"/>
        </w:rPr>
      </w:pPr>
      <w:r>
        <w:rPr>
          <w:rFonts w:hint="eastAsia" w:ascii="宋体" w:hAnsi="宋体" w:eastAsia="宋体" w:cs="宋体"/>
          <w:b/>
          <w:bCs/>
          <w:color w:val="000000"/>
          <w:kern w:val="0"/>
          <w:sz w:val="32"/>
          <w:szCs w:val="32"/>
          <w:lang w:bidi="ar"/>
        </w:rPr>
        <w:t>一、提高认识，高度重视</w:t>
      </w:r>
    </w:p>
    <w:p w14:paraId="34A1BED2">
      <w:pPr>
        <w:widowControl/>
        <w:ind w:firstLine="640" w:firstLineChars="200"/>
        <w:jc w:val="left"/>
        <w:rPr>
          <w:rFonts w:ascii="宋体" w:hAnsi="宋体" w:eastAsia="宋体" w:cs="宋体"/>
          <w:sz w:val="32"/>
          <w:szCs w:val="32"/>
        </w:rPr>
      </w:pPr>
      <w:r>
        <w:rPr>
          <w:rFonts w:hint="eastAsia" w:ascii="宋体" w:hAnsi="宋体" w:eastAsia="宋体" w:cs="宋体"/>
          <w:color w:val="000000"/>
          <w:kern w:val="0"/>
          <w:sz w:val="32"/>
          <w:szCs w:val="32"/>
          <w:lang w:bidi="ar"/>
        </w:rPr>
        <w:t>坚持以习近平新时代中国特色社会主义思想为指导，以推进义务教育优质均衡发展，促进教育公平为目标，以构建让每一名适龄儿童少年享受公平而有质量的教育为原则，按照“学校划片招生、生源就近入学、严格控制班额”的工作思路，依法依规实施我镇义务教育阶段学校招生工作。</w:t>
      </w:r>
    </w:p>
    <w:p w14:paraId="119F3023">
      <w:pPr>
        <w:widowControl/>
        <w:jc w:val="left"/>
        <w:rPr>
          <w:rFonts w:ascii="宋体" w:hAnsi="宋体" w:eastAsia="宋体" w:cs="宋体"/>
          <w:sz w:val="32"/>
          <w:szCs w:val="32"/>
        </w:rPr>
      </w:pPr>
      <w:r>
        <w:rPr>
          <w:rFonts w:hint="eastAsia" w:ascii="宋体" w:hAnsi="宋体" w:eastAsia="宋体" w:cs="宋体"/>
          <w:b/>
          <w:bCs/>
          <w:color w:val="000000"/>
          <w:kern w:val="0"/>
          <w:sz w:val="32"/>
          <w:szCs w:val="32"/>
          <w:lang w:bidi="ar"/>
        </w:rPr>
        <w:t>二、明确责任、科学谋划</w:t>
      </w:r>
    </w:p>
    <w:p w14:paraId="0B120502">
      <w:pPr>
        <w:widowControl/>
        <w:ind w:firstLine="640" w:firstLineChars="200"/>
        <w:jc w:val="left"/>
        <w:rPr>
          <w:rFonts w:ascii="宋体" w:hAnsi="宋体" w:eastAsia="宋体" w:cs="宋体"/>
          <w:sz w:val="32"/>
          <w:szCs w:val="32"/>
        </w:rPr>
      </w:pPr>
      <w:r>
        <w:rPr>
          <w:rFonts w:hint="eastAsia" w:ascii="宋体" w:hAnsi="宋体" w:eastAsia="宋体" w:cs="宋体"/>
          <w:color w:val="000000"/>
          <w:kern w:val="0"/>
          <w:sz w:val="32"/>
          <w:szCs w:val="32"/>
          <w:lang w:bidi="ar"/>
        </w:rPr>
        <w:t>义务教育招生入学工作实行分级管理、属地为主的原则。各中小学校是义务教育招生入学工作的责任主体，要切实履行好各自的属地责任和主体责任，负责辖区内义务教育招生入学工作。各中小学要成立义务教育招生入学工作领导小组，根据适龄儿童少年数量和分布状况等因素，确保本辖区所有适龄儿童少年都能够顺利入学。要加强生源底数摸排，提前发布学位预警，制定符合本学校实际的义务教育招生入学工作方案，招生工作方案经中心校批准后方可对外公布并严密组织实施。</w:t>
      </w:r>
    </w:p>
    <w:p w14:paraId="169D05C7">
      <w:pPr>
        <w:widowControl/>
        <w:jc w:val="left"/>
        <w:rPr>
          <w:rFonts w:ascii="宋体" w:hAnsi="宋体" w:eastAsia="宋体" w:cs="宋体"/>
          <w:sz w:val="32"/>
          <w:szCs w:val="32"/>
        </w:rPr>
      </w:pPr>
      <w:r>
        <w:rPr>
          <w:rFonts w:hint="eastAsia" w:ascii="宋体" w:hAnsi="宋体" w:eastAsia="宋体" w:cs="宋体"/>
          <w:b/>
          <w:bCs/>
          <w:color w:val="333333"/>
          <w:kern w:val="0"/>
          <w:sz w:val="32"/>
          <w:szCs w:val="32"/>
          <w:lang w:bidi="ar"/>
        </w:rPr>
        <w:t>三、</w:t>
      </w:r>
      <w:r>
        <w:rPr>
          <w:rFonts w:hint="eastAsia" w:ascii="宋体" w:hAnsi="宋体" w:eastAsia="宋体" w:cs="宋体"/>
          <w:b/>
          <w:bCs/>
          <w:color w:val="000000"/>
          <w:kern w:val="0"/>
          <w:sz w:val="32"/>
          <w:szCs w:val="32"/>
          <w:lang w:bidi="ar"/>
        </w:rPr>
        <w:t>依据</w:t>
      </w:r>
      <w:r>
        <w:rPr>
          <w:rFonts w:hint="eastAsia" w:ascii="宋体" w:hAnsi="宋体" w:eastAsia="宋体" w:cs="宋体"/>
          <w:b/>
          <w:bCs/>
          <w:color w:val="333333"/>
          <w:kern w:val="0"/>
          <w:sz w:val="32"/>
          <w:szCs w:val="32"/>
          <w:lang w:bidi="ar"/>
        </w:rPr>
        <w:t>政策、严格落实</w:t>
      </w:r>
    </w:p>
    <w:p w14:paraId="7F5C0F13">
      <w:pPr>
        <w:widowControl/>
        <w:ind w:firstLine="640" w:firstLineChars="200"/>
        <w:jc w:val="left"/>
        <w:rPr>
          <w:rFonts w:ascii="宋体" w:hAnsi="宋体" w:eastAsia="宋体" w:cs="宋体"/>
          <w:sz w:val="32"/>
          <w:szCs w:val="32"/>
        </w:rPr>
      </w:pPr>
      <w:r>
        <w:rPr>
          <w:rFonts w:hint="eastAsia" w:ascii="宋体" w:hAnsi="宋体" w:eastAsia="宋体" w:cs="宋体"/>
          <w:color w:val="000000"/>
          <w:kern w:val="0"/>
          <w:sz w:val="32"/>
          <w:szCs w:val="32"/>
          <w:lang w:bidi="ar"/>
        </w:rPr>
        <w:t>1.严格落实免试入学规定。所有义务教育学校要严格遵守义务教育免试入学规定，新生入学后要均衡编班，均衡配备师资，不得分设重点班和非重点班。</w:t>
      </w:r>
    </w:p>
    <w:p w14:paraId="3B0BE74D">
      <w:pPr>
        <w:widowControl/>
        <w:ind w:firstLine="640" w:firstLineChars="200"/>
        <w:jc w:val="left"/>
        <w:rPr>
          <w:rFonts w:ascii="宋体" w:hAnsi="宋体" w:eastAsia="宋体" w:cs="宋体"/>
          <w:sz w:val="32"/>
          <w:szCs w:val="32"/>
        </w:rPr>
      </w:pPr>
      <w:r>
        <w:rPr>
          <w:rFonts w:hint="eastAsia" w:ascii="宋体" w:hAnsi="宋体" w:eastAsia="宋体" w:cs="宋体"/>
          <w:color w:val="000000"/>
          <w:kern w:val="0"/>
          <w:sz w:val="32"/>
          <w:szCs w:val="32"/>
          <w:lang w:bidi="ar"/>
        </w:rPr>
        <w:t>2.科学划片，阳光招生。各校要科学合理确定招生规模和接收学生的区域范围并及时对外公布，合理引导家长预期。各中小学要认真制定2025年义务教育招生入学工作方案和工作安排，及时公布和解读招生政策、招生程序、录取信息等工作，要安排熟悉招生政策的教师接受家长的咨询。</w:t>
      </w:r>
    </w:p>
    <w:p w14:paraId="57DF1149">
      <w:pPr>
        <w:widowControl/>
        <w:ind w:firstLine="640" w:firstLineChars="200"/>
        <w:jc w:val="left"/>
        <w:rPr>
          <w:rFonts w:ascii="宋体" w:hAnsi="宋体" w:eastAsia="宋体" w:cs="宋体"/>
          <w:sz w:val="32"/>
          <w:szCs w:val="32"/>
        </w:rPr>
      </w:pPr>
      <w:r>
        <w:rPr>
          <w:rFonts w:hint="eastAsia" w:ascii="宋体" w:hAnsi="宋体" w:eastAsia="宋体" w:cs="宋体"/>
          <w:color w:val="000000"/>
          <w:kern w:val="0"/>
          <w:sz w:val="32"/>
          <w:szCs w:val="32"/>
          <w:lang w:bidi="ar"/>
        </w:rPr>
        <w:t>3.规范小学招生。今年小学入学年龄为年满6周岁（2019 年8月31日前出生〈含8月31日〉），严禁招收不足龄儿童进入小学一年级就读。适龄儿童确因身体状况等特殊原因不能当年度入学的，监护人应向户籍镇中心校申请延缓入学。</w:t>
      </w:r>
    </w:p>
    <w:p w14:paraId="7E571834">
      <w:pPr>
        <w:widowControl/>
        <w:ind w:firstLine="640" w:firstLineChars="200"/>
        <w:jc w:val="left"/>
        <w:rPr>
          <w:rFonts w:ascii="宋体" w:hAnsi="宋体" w:eastAsia="宋体" w:cs="宋体"/>
          <w:sz w:val="32"/>
          <w:szCs w:val="32"/>
        </w:rPr>
      </w:pPr>
      <w:r>
        <w:rPr>
          <w:rFonts w:hint="eastAsia" w:ascii="宋体" w:hAnsi="宋体" w:eastAsia="宋体" w:cs="宋体"/>
          <w:color w:val="000000"/>
          <w:kern w:val="0"/>
          <w:sz w:val="32"/>
          <w:szCs w:val="32"/>
          <w:lang w:bidi="ar"/>
        </w:rPr>
        <w:t>4.持续抓实抓好小学新生零起点教学。小学要严格按课程标准执行零起点教学，小学一年级设置过渡性活动课程，注重做好幼小衔接，切实做好小学新生入学后的过渡和适应教育。</w:t>
      </w:r>
    </w:p>
    <w:p w14:paraId="69536B37">
      <w:pPr>
        <w:widowControl/>
        <w:jc w:val="left"/>
        <w:rPr>
          <w:rFonts w:ascii="宋体" w:hAnsi="宋体" w:eastAsia="宋体" w:cs="宋体"/>
          <w:sz w:val="32"/>
          <w:szCs w:val="32"/>
        </w:rPr>
      </w:pPr>
      <w:r>
        <w:rPr>
          <w:rFonts w:hint="eastAsia" w:ascii="宋体" w:hAnsi="宋体" w:eastAsia="宋体" w:cs="宋体"/>
          <w:b/>
          <w:bCs/>
          <w:color w:val="000000"/>
          <w:kern w:val="0"/>
          <w:sz w:val="32"/>
          <w:szCs w:val="32"/>
          <w:lang w:bidi="ar"/>
        </w:rPr>
        <w:t>四、特殊群体、用心关爱</w:t>
      </w:r>
    </w:p>
    <w:p w14:paraId="07F34176">
      <w:pPr>
        <w:widowControl/>
        <w:ind w:firstLine="640" w:firstLineChars="200"/>
        <w:jc w:val="left"/>
        <w:rPr>
          <w:rFonts w:ascii="宋体" w:hAnsi="宋体" w:eastAsia="宋体" w:cs="宋体"/>
          <w:sz w:val="32"/>
          <w:szCs w:val="32"/>
        </w:rPr>
      </w:pPr>
      <w:r>
        <w:rPr>
          <w:rFonts w:hint="eastAsia" w:ascii="宋体" w:hAnsi="宋体" w:eastAsia="宋体" w:cs="宋体"/>
          <w:color w:val="000000"/>
          <w:kern w:val="0"/>
          <w:sz w:val="32"/>
          <w:szCs w:val="32"/>
          <w:lang w:bidi="ar"/>
        </w:rPr>
        <w:t>1.保障残疾儿童少年接受教育的权利。各校要会同残联信息，认真摸清适龄残疾儿童少年底数，“一人一案”进行分类安置，确保不失学、不辍学。大力推进融合教育，优先采用普通学校随班就读的方式，就近安排轻度适龄残疾儿童少年接受义务教育；中、重度残疾儿童联系安排至特殊教育学校就读；对需要专人护理、不能到学校就读的安排送教上门，依法保障其接受义务教育。对于入学安置有争议的，由县教育局牵头组织特殊教育专家委员会，对其接受义务教育的能力进行评估认定，提出入学安置意见，明确适龄残疾儿童少年接受义务教育的方式和具体就读（送教）学校。</w:t>
      </w:r>
    </w:p>
    <w:p w14:paraId="221F77A3">
      <w:pPr>
        <w:widowControl/>
        <w:ind w:firstLine="640" w:firstLineChars="200"/>
        <w:jc w:val="left"/>
        <w:rPr>
          <w:rFonts w:ascii="宋体" w:hAnsi="宋体" w:eastAsia="宋体" w:cs="宋体"/>
          <w:sz w:val="32"/>
          <w:szCs w:val="32"/>
        </w:rPr>
      </w:pPr>
      <w:r>
        <w:rPr>
          <w:rFonts w:hint="eastAsia" w:ascii="宋体" w:hAnsi="宋体" w:eastAsia="宋体" w:cs="宋体"/>
          <w:color w:val="000000"/>
          <w:kern w:val="0"/>
          <w:sz w:val="32"/>
          <w:szCs w:val="32"/>
          <w:lang w:bidi="ar"/>
        </w:rPr>
        <w:t>2.保障随迁子女入学。要坚持“两为主、两纳入”原则，健全完善以居住证为主要依据的随迁子女入学政策，切实简化随迁子女入学流程和证明要求，确保“应入尽入”。随迁子女入校后，与辖区内学生统一管理、统一编班、统一教学、统一安排活动，保障随迁子女平等接受义务教育。</w:t>
      </w:r>
    </w:p>
    <w:p w14:paraId="7A0FC641">
      <w:pPr>
        <w:widowControl/>
        <w:ind w:firstLine="640" w:firstLineChars="200"/>
        <w:jc w:val="left"/>
        <w:rPr>
          <w:rFonts w:ascii="宋体" w:hAnsi="宋体" w:eastAsia="宋体" w:cs="宋体"/>
          <w:sz w:val="32"/>
          <w:szCs w:val="32"/>
        </w:rPr>
      </w:pPr>
      <w:r>
        <w:rPr>
          <w:rFonts w:hint="eastAsia" w:ascii="宋体" w:hAnsi="宋体" w:eastAsia="宋体" w:cs="宋体"/>
          <w:color w:val="000000"/>
          <w:kern w:val="0"/>
          <w:sz w:val="32"/>
          <w:szCs w:val="32"/>
          <w:lang w:bidi="ar"/>
        </w:rPr>
        <w:t>3.落实优抚对象子女入学政策。对烈士子女，符合条件的现役军人子女，公安英模和因公牺牲、伤残警察子女，符合条件的引进高层次人才子女及其他各类符合优抚条件的优待对象，按照政策要求妥善安排入学。根据《中共安阳市委办公室 安阳市人民政府办公室关于实施“洹泉涌流”人才集聚计划 为加快推进新时代区域性中心强市建设提供人才支撑的意见》，落实引进人才子女招生入学政策。根据《中共安阳市委办公室 安阳市人民政府办公室关于印发〈支持“三变”改革试点工作促进农业转移人口市民化若干措施〉的通知》，落实试点村农业转移人口子女接受义务教育政策要求。根据《安阳市人民政府关于印发安阳市关爱企业家“八大员”行动计划的通知》，落实关爱要求。</w:t>
      </w:r>
    </w:p>
    <w:p w14:paraId="67BCABB5">
      <w:pPr>
        <w:widowControl/>
        <w:jc w:val="left"/>
        <w:rPr>
          <w:rFonts w:ascii="宋体" w:hAnsi="宋体" w:eastAsia="宋体" w:cs="宋体"/>
          <w:sz w:val="32"/>
          <w:szCs w:val="32"/>
        </w:rPr>
      </w:pPr>
      <w:r>
        <w:rPr>
          <w:rFonts w:hint="eastAsia" w:ascii="宋体" w:hAnsi="宋体" w:eastAsia="宋体" w:cs="宋体"/>
          <w:b/>
          <w:bCs/>
          <w:color w:val="000000"/>
          <w:kern w:val="0"/>
          <w:sz w:val="32"/>
          <w:szCs w:val="32"/>
          <w:lang w:bidi="ar"/>
        </w:rPr>
        <w:t>五、加强管理、提升能力</w:t>
      </w:r>
    </w:p>
    <w:p w14:paraId="395520D5">
      <w:pPr>
        <w:widowControl/>
        <w:ind w:firstLine="640" w:firstLineChars="200"/>
        <w:jc w:val="left"/>
        <w:rPr>
          <w:rFonts w:ascii="宋体" w:hAnsi="宋体" w:eastAsia="宋体" w:cs="宋体"/>
          <w:sz w:val="32"/>
          <w:szCs w:val="32"/>
        </w:rPr>
      </w:pPr>
      <w:r>
        <w:rPr>
          <w:rFonts w:hint="eastAsia" w:ascii="宋体" w:hAnsi="宋体" w:eastAsia="宋体" w:cs="宋体"/>
          <w:color w:val="000000"/>
          <w:kern w:val="0"/>
          <w:sz w:val="32"/>
          <w:szCs w:val="32"/>
          <w:lang w:bidi="ar"/>
        </w:rPr>
        <w:t>1.严格控制招生班额、校额。要因校施策，严格控制和合理调整大班额、大校额学校的招生计划。要推进现有大班额比例继续下降。学校要按照小学班额不超过45人，初中班额不超过50人招生编班。</w:t>
      </w:r>
    </w:p>
    <w:p w14:paraId="09797BC8">
      <w:pPr>
        <w:widowControl/>
        <w:ind w:firstLine="640" w:firstLineChars="200"/>
        <w:jc w:val="left"/>
        <w:rPr>
          <w:rFonts w:ascii="宋体" w:hAnsi="宋体" w:eastAsia="宋体" w:cs="宋体"/>
          <w:sz w:val="32"/>
          <w:szCs w:val="32"/>
        </w:rPr>
      </w:pPr>
      <w:r>
        <w:rPr>
          <w:rFonts w:hint="eastAsia" w:ascii="宋体" w:hAnsi="宋体" w:eastAsia="宋体" w:cs="宋体"/>
          <w:color w:val="000000"/>
          <w:kern w:val="0"/>
          <w:sz w:val="32"/>
          <w:szCs w:val="32"/>
          <w:lang w:bidi="ar"/>
        </w:rPr>
        <w:t>2.加强学籍管理工作。要高度重视学籍管理，充分认识学籍是招生入学结果的体现，及时完成小学新生注册和初中新生学籍接续工作。要严格落实学生“人籍一致，籍随人走”，严禁出现人籍分离、空挂学籍、学籍造假等现象，严禁为违规跨区域招收的学生和违规转学学生办理学籍转接。严禁招收已被其他学校按政策录取的学生。</w:t>
      </w:r>
    </w:p>
    <w:p w14:paraId="23E15249">
      <w:pPr>
        <w:widowControl/>
        <w:jc w:val="left"/>
        <w:rPr>
          <w:rFonts w:hint="eastAsia" w:ascii="宋体" w:hAnsi="宋体" w:eastAsia="宋体" w:cs="宋体"/>
          <w:b/>
          <w:bCs/>
          <w:color w:val="000000"/>
          <w:kern w:val="0"/>
          <w:sz w:val="32"/>
          <w:szCs w:val="32"/>
          <w:lang w:bidi="ar"/>
        </w:rPr>
      </w:pPr>
      <w:r>
        <w:rPr>
          <w:rFonts w:hint="eastAsia" w:ascii="宋体" w:hAnsi="宋体" w:eastAsia="宋体" w:cs="宋体"/>
          <w:b/>
          <w:bCs/>
          <w:color w:val="000000"/>
          <w:kern w:val="0"/>
          <w:sz w:val="32"/>
          <w:szCs w:val="32"/>
          <w:lang w:bidi="ar"/>
        </w:rPr>
        <w:t>六、控辍保学、一个不少</w:t>
      </w:r>
    </w:p>
    <w:p w14:paraId="1898B90B">
      <w:pPr>
        <w:widowControl/>
        <w:jc w:val="left"/>
        <w:rPr>
          <w:rFonts w:ascii="宋体" w:hAnsi="宋体" w:eastAsia="宋体" w:cs="宋体"/>
          <w:sz w:val="32"/>
          <w:szCs w:val="32"/>
        </w:rPr>
      </w:pPr>
      <w:r>
        <w:rPr>
          <w:rFonts w:hint="eastAsia" w:ascii="宋体" w:hAnsi="宋体" w:eastAsia="宋体" w:cs="宋体"/>
          <w:color w:val="000000"/>
          <w:kern w:val="0"/>
          <w:sz w:val="32"/>
          <w:szCs w:val="32"/>
          <w:lang w:bidi="ar"/>
        </w:rPr>
        <w:t>1.各单位要抓住义务教育招生入学这个关键节点，确保适龄儿童少年“应入尽入”，坚决防止产生小学未按时入学、小学毕业生滞留等失学、辍学问题。</w:t>
      </w:r>
    </w:p>
    <w:p w14:paraId="31A766C1">
      <w:pPr>
        <w:widowControl/>
        <w:ind w:firstLine="640" w:firstLineChars="200"/>
        <w:jc w:val="left"/>
        <w:rPr>
          <w:rFonts w:ascii="宋体" w:hAnsi="宋体" w:eastAsia="宋体" w:cs="宋体"/>
          <w:sz w:val="32"/>
          <w:szCs w:val="32"/>
        </w:rPr>
      </w:pPr>
      <w:r>
        <w:rPr>
          <w:rFonts w:hint="eastAsia" w:ascii="宋体" w:hAnsi="宋体" w:eastAsia="宋体" w:cs="宋体"/>
          <w:color w:val="000000"/>
          <w:kern w:val="0"/>
          <w:sz w:val="32"/>
          <w:szCs w:val="32"/>
          <w:lang w:bidi="ar"/>
        </w:rPr>
        <w:t>2.健全控辍保学长效机制。各校要进一步健全政府及有关部门、学校、家庭等多方联控联保责任制，不断完善“一校一案、一生一案”控辍保学工作方案，压实责任，坚决防止因疫、因贫、因病辍学。要聚焦重点人群、重点环节、重要时间节点，做好残疾儿童、贫困家庭儿童、留守儿童和困境儿童的入学工作，加强教育关爱与帮扶，依法保障适龄儿童少年接受义务教育权利。</w:t>
      </w:r>
    </w:p>
    <w:p w14:paraId="00217CC9">
      <w:pPr>
        <w:widowControl/>
        <w:ind w:firstLine="640" w:firstLineChars="200"/>
        <w:jc w:val="left"/>
        <w:rPr>
          <w:rFonts w:ascii="宋体" w:hAnsi="宋体" w:eastAsia="宋体" w:cs="宋体"/>
          <w:sz w:val="32"/>
          <w:szCs w:val="32"/>
        </w:rPr>
      </w:pPr>
      <w:r>
        <w:rPr>
          <w:rFonts w:hint="eastAsia" w:ascii="宋体" w:hAnsi="宋体" w:eastAsia="宋体" w:cs="宋体"/>
          <w:color w:val="000000"/>
          <w:kern w:val="0"/>
          <w:sz w:val="32"/>
          <w:szCs w:val="32"/>
          <w:lang w:bidi="ar"/>
        </w:rPr>
        <w:t>3.扩大优质教育资源覆盖面。中心校会采取集团化办学、学区制、结对帮扶、强校带弱校等方式，扩大优质教育资源覆盖面，缩小校际、区域之间学校在办学条件、师资力量、管理水平、教育质量等方面的差距，最大程度满足人民群众对优质教育的需求。</w:t>
      </w:r>
    </w:p>
    <w:p w14:paraId="426D516A">
      <w:pPr>
        <w:widowControl/>
        <w:jc w:val="left"/>
        <w:rPr>
          <w:rFonts w:ascii="宋体" w:hAnsi="宋体" w:eastAsia="宋体" w:cs="宋体"/>
          <w:sz w:val="32"/>
          <w:szCs w:val="32"/>
        </w:rPr>
      </w:pPr>
      <w:r>
        <w:rPr>
          <w:rFonts w:hint="eastAsia" w:ascii="宋体" w:hAnsi="宋体" w:eastAsia="宋体" w:cs="宋体"/>
          <w:b/>
          <w:bCs/>
          <w:color w:val="000000"/>
          <w:kern w:val="0"/>
          <w:sz w:val="32"/>
          <w:szCs w:val="32"/>
          <w:lang w:bidi="ar"/>
        </w:rPr>
        <w:t xml:space="preserve">七、严肃纪律、营造氛围 </w:t>
      </w:r>
    </w:p>
    <w:p w14:paraId="2D477CF1">
      <w:pPr>
        <w:widowControl/>
        <w:ind w:firstLine="640" w:firstLineChars="200"/>
        <w:jc w:val="left"/>
        <w:rPr>
          <w:rFonts w:ascii="宋体" w:hAnsi="宋体" w:eastAsia="宋体" w:cs="宋体"/>
          <w:sz w:val="32"/>
          <w:szCs w:val="32"/>
        </w:rPr>
      </w:pPr>
      <w:r>
        <w:rPr>
          <w:rFonts w:hint="eastAsia" w:ascii="宋体" w:hAnsi="宋体" w:eastAsia="宋体" w:cs="宋体"/>
          <w:color w:val="000000"/>
          <w:kern w:val="0"/>
          <w:sz w:val="32"/>
          <w:szCs w:val="32"/>
          <w:lang w:bidi="ar"/>
        </w:rPr>
        <w:t>1.严格落实纪律要求。严格落实教育部招生工作“十严禁”和安阳市教育局规范中小学招生“二十严禁”的要求：严禁无计划、超计划组织招生；严禁招收已被其他学校录取的学生；严禁自行组织或与社会培训机构联合组织以选拔生源为目的的各类考试，或采用社会培训机构自行组织的各类考试结果；严禁提前组织招生，变相“掐尖”选生源；严禁以高额物质奖励、虚假宣传等不正当手段招揽生源；严禁任何学校收取或变相收取与入学挂钩的“捐资助学款”；严禁义务教育阶段学校以各类竞赛证书、学科竞赛成绩或考级证明等作为招生依据；严禁义务教育阶段学校设立任何名义的重点班、快慢班；严禁义务教育阶段学校对学生进行成绩排名、宣传考试状元和升学率。</w:t>
      </w:r>
    </w:p>
    <w:p w14:paraId="2577E335">
      <w:pPr>
        <w:widowControl/>
        <w:ind w:firstLine="640" w:firstLineChars="200"/>
        <w:jc w:val="left"/>
        <w:rPr>
          <w:rFonts w:ascii="宋体" w:hAnsi="宋体" w:eastAsia="宋体" w:cs="宋体"/>
          <w:sz w:val="32"/>
          <w:szCs w:val="32"/>
        </w:rPr>
      </w:pPr>
      <w:r>
        <w:rPr>
          <w:rFonts w:hint="eastAsia" w:ascii="宋体" w:hAnsi="宋体" w:eastAsia="宋体" w:cs="宋体"/>
          <w:color w:val="000000"/>
          <w:kern w:val="0"/>
          <w:sz w:val="32"/>
          <w:szCs w:val="32"/>
          <w:lang w:bidi="ar"/>
        </w:rPr>
        <w:t>2.抓好预警和稳定工作。招生工作中，各校要对校内存在大班额积极采取采取措施予以化解。</w:t>
      </w:r>
    </w:p>
    <w:p w14:paraId="2464638E">
      <w:pPr>
        <w:widowControl/>
        <w:ind w:firstLine="640" w:firstLineChars="200"/>
        <w:jc w:val="left"/>
        <w:rPr>
          <w:rFonts w:ascii="宋体" w:hAnsi="宋体" w:eastAsia="宋体" w:cs="宋体"/>
          <w:sz w:val="32"/>
          <w:szCs w:val="32"/>
        </w:rPr>
      </w:pPr>
      <w:r>
        <w:rPr>
          <w:rFonts w:hint="eastAsia" w:ascii="宋体" w:hAnsi="宋体" w:eastAsia="宋体" w:cs="宋体"/>
          <w:color w:val="000000"/>
          <w:kern w:val="0"/>
          <w:sz w:val="32"/>
          <w:szCs w:val="32"/>
          <w:lang w:bidi="ar"/>
        </w:rPr>
        <w:t>3.加强招生政策宣传。要加强舆论宣传引导，解读招生入学政策，宣传促进教育公平的具体举措，在全社会营造正确的义务教育质量评价观、学生成长观。在工作中增加工作透明度，取得社会各界的理解和支持，确保招生工作安全稳定。</w:t>
      </w:r>
    </w:p>
    <w:p w14:paraId="0DCAED38">
      <w:pPr>
        <w:widowControl/>
        <w:ind w:firstLine="640" w:firstLineChars="200"/>
        <w:jc w:val="left"/>
        <w:rPr>
          <w:rFonts w:ascii="宋体" w:hAnsi="宋体" w:eastAsia="宋体" w:cs="宋体"/>
          <w:sz w:val="32"/>
          <w:szCs w:val="32"/>
        </w:rPr>
      </w:pPr>
      <w:r>
        <w:rPr>
          <w:rFonts w:hint="eastAsia" w:ascii="宋体" w:hAnsi="宋体" w:eastAsia="宋体" w:cs="宋体"/>
          <w:color w:val="000000"/>
          <w:kern w:val="0"/>
          <w:sz w:val="32"/>
          <w:szCs w:val="32"/>
          <w:lang w:bidi="ar"/>
        </w:rPr>
        <w:t>4．加强监督问责。要建立健全监督和违规违纪举报及申诉受理机制，畅通渠道，依法依纪查处招生入学工作中的违纪行为，及时处置招生工作中的突出问题、突发事件，消除影响正常招生秩序和社会稳定的隐患苗头。对于造成不良影响或严重后果的学校，追究相关人员责任。对学校招生工作监管不力的，依法依规依纪对责任管理部门和人员予以问责。</w:t>
      </w:r>
    </w:p>
    <w:p w14:paraId="0C508C20">
      <w:pPr>
        <w:widowControl/>
        <w:ind w:firstLine="640" w:firstLineChars="200"/>
        <w:jc w:val="left"/>
        <w:rPr>
          <w:rFonts w:ascii="宋体" w:hAnsi="宋体" w:eastAsia="宋体" w:cs="宋体"/>
          <w:sz w:val="32"/>
          <w:szCs w:val="32"/>
        </w:rPr>
      </w:pPr>
      <w:r>
        <w:rPr>
          <w:rFonts w:hint="eastAsia" w:ascii="宋体" w:hAnsi="宋体" w:eastAsia="宋体" w:cs="宋体"/>
          <w:color w:val="000000"/>
          <w:kern w:val="0"/>
          <w:sz w:val="32"/>
          <w:szCs w:val="32"/>
          <w:lang w:bidi="ar"/>
        </w:rPr>
        <w:t>各校要成立招生工作小组，校长是招生工作第一责任人，要科学谋划制定招生工作方案。各校义务教育招生入学方案于7月1日前报送中心校批准并向社会公布，9月1日前报送年度招生工作总结。各学校应于7月1日前完成全国中小学学籍信息管理系统中有关毕业流程操作工作；7 月底前完成招生工作，并在规定时间内完成小学一年级新生的电子学籍注册和初中新生的电子学籍接续工作。</w:t>
      </w:r>
    </w:p>
    <w:p w14:paraId="285E125B">
      <w:pPr>
        <w:widowControl/>
        <w:jc w:val="left"/>
        <w:rPr>
          <w:rFonts w:ascii="宋体" w:hAnsi="宋体" w:eastAsia="宋体" w:cs="宋体"/>
          <w:b/>
          <w:bCs/>
          <w:color w:val="000000"/>
          <w:kern w:val="0"/>
          <w:sz w:val="32"/>
          <w:szCs w:val="32"/>
          <w:lang w:bidi="ar"/>
        </w:rPr>
      </w:pPr>
    </w:p>
    <w:p w14:paraId="765AD9F4">
      <w:pPr>
        <w:widowControl/>
        <w:jc w:val="left"/>
        <w:rPr>
          <w:rFonts w:ascii="宋体" w:hAnsi="宋体" w:eastAsia="宋体" w:cs="宋体"/>
          <w:b/>
          <w:bCs/>
          <w:color w:val="000000"/>
          <w:kern w:val="0"/>
          <w:sz w:val="32"/>
          <w:szCs w:val="32"/>
          <w:lang w:bidi="ar"/>
        </w:rPr>
      </w:pPr>
    </w:p>
    <w:p w14:paraId="1F46C0DF">
      <w:pPr>
        <w:widowControl/>
        <w:jc w:val="left"/>
        <w:rPr>
          <w:rFonts w:ascii="宋体" w:hAnsi="宋体" w:eastAsia="宋体" w:cs="宋体"/>
          <w:b/>
          <w:bCs/>
          <w:color w:val="000000"/>
          <w:kern w:val="0"/>
          <w:sz w:val="32"/>
          <w:szCs w:val="32"/>
          <w:lang w:bidi="ar"/>
        </w:rPr>
      </w:pPr>
    </w:p>
    <w:p w14:paraId="31708080">
      <w:pPr>
        <w:widowControl/>
        <w:jc w:val="left"/>
        <w:rPr>
          <w:rFonts w:ascii="宋体" w:hAnsi="宋体" w:eastAsia="宋体" w:cs="宋体"/>
          <w:b/>
          <w:bCs/>
          <w:color w:val="000000"/>
          <w:kern w:val="0"/>
          <w:sz w:val="32"/>
          <w:szCs w:val="32"/>
          <w:lang w:bidi="ar"/>
        </w:rPr>
      </w:pPr>
    </w:p>
    <w:p w14:paraId="068B9B0E">
      <w:pPr>
        <w:widowControl/>
        <w:jc w:val="left"/>
        <w:rPr>
          <w:rFonts w:ascii="宋体" w:hAnsi="宋体" w:eastAsia="宋体" w:cs="宋体"/>
          <w:color w:val="000000"/>
          <w:kern w:val="0"/>
          <w:sz w:val="32"/>
          <w:szCs w:val="32"/>
          <w:lang w:bidi="ar"/>
        </w:rPr>
      </w:pPr>
      <w:r>
        <w:rPr>
          <w:rFonts w:hint="eastAsia" w:ascii="宋体" w:hAnsi="宋体" w:eastAsia="宋体" w:cs="宋体"/>
          <w:color w:val="000000"/>
          <w:kern w:val="0"/>
          <w:sz w:val="32"/>
          <w:szCs w:val="32"/>
          <w:lang w:bidi="ar"/>
        </w:rPr>
        <w:t xml:space="preserve">                               白璧镇中心学校</w:t>
      </w:r>
    </w:p>
    <w:p w14:paraId="01D02100">
      <w:pPr>
        <w:widowControl/>
        <w:jc w:val="left"/>
        <w:rPr>
          <w:rFonts w:ascii="宋体" w:hAnsi="宋体" w:eastAsia="宋体" w:cs="宋体"/>
          <w:color w:val="000000"/>
          <w:kern w:val="0"/>
          <w:sz w:val="32"/>
          <w:szCs w:val="32"/>
          <w:lang w:bidi="ar"/>
        </w:rPr>
      </w:pPr>
      <w:r>
        <w:rPr>
          <w:rFonts w:hint="eastAsia" w:ascii="宋体" w:hAnsi="宋体" w:eastAsia="宋体" w:cs="宋体"/>
          <w:color w:val="000000"/>
          <w:kern w:val="0"/>
          <w:sz w:val="32"/>
          <w:szCs w:val="32"/>
          <w:lang w:bidi="ar"/>
        </w:rPr>
        <w:t xml:space="preserve">                               2025年6月30日</w:t>
      </w:r>
    </w:p>
    <w:p w14:paraId="67DB1F75">
      <w:pPr>
        <w:widowControl/>
        <w:jc w:val="left"/>
        <w:rPr>
          <w:rFonts w:ascii="宋体" w:hAnsi="宋体" w:eastAsia="宋体" w:cs="宋体"/>
          <w:b/>
          <w:bCs/>
          <w:color w:val="000000"/>
          <w:kern w:val="0"/>
          <w:sz w:val="32"/>
          <w:szCs w:val="32"/>
          <w:lang w:bidi="ar"/>
        </w:rPr>
      </w:pPr>
    </w:p>
    <w:p w14:paraId="0F8B12CD">
      <w:pPr>
        <w:widowControl/>
        <w:jc w:val="left"/>
        <w:rPr>
          <w:rFonts w:ascii="宋体" w:hAnsi="宋体" w:eastAsia="宋体" w:cs="宋体"/>
          <w:color w:val="000000"/>
          <w:kern w:val="0"/>
          <w:sz w:val="32"/>
          <w:szCs w:val="32"/>
          <w:lang w:bidi="ar"/>
        </w:rPr>
      </w:pPr>
    </w:p>
    <w:p w14:paraId="3FA9E326">
      <w:pPr>
        <w:widowControl/>
        <w:jc w:val="left"/>
        <w:rPr>
          <w:rFonts w:ascii="宋体" w:hAnsi="宋体" w:eastAsia="宋体" w:cs="宋体"/>
          <w:color w:val="000000"/>
          <w:kern w:val="0"/>
          <w:sz w:val="32"/>
          <w:szCs w:val="32"/>
          <w:lang w:bidi="ar"/>
        </w:rPr>
      </w:pPr>
    </w:p>
    <w:p w14:paraId="75A34699">
      <w:pPr>
        <w:widowControl/>
        <w:jc w:val="left"/>
        <w:rPr>
          <w:rFonts w:ascii="宋体" w:hAnsi="宋体" w:eastAsia="宋体" w:cs="宋体"/>
          <w:color w:val="000000"/>
          <w:kern w:val="0"/>
          <w:sz w:val="32"/>
          <w:szCs w:val="32"/>
          <w:lang w:bidi="ar"/>
        </w:rPr>
      </w:pPr>
    </w:p>
    <w:p w14:paraId="67442B7B">
      <w:pPr>
        <w:widowControl/>
        <w:jc w:val="left"/>
        <w:rPr>
          <w:rFonts w:ascii="宋体" w:hAnsi="宋体" w:eastAsia="宋体" w:cs="宋体"/>
          <w:color w:val="000000"/>
          <w:kern w:val="0"/>
          <w:sz w:val="32"/>
          <w:szCs w:val="32"/>
          <w:lang w:bidi="ar"/>
        </w:rPr>
      </w:pPr>
    </w:p>
    <w:p w14:paraId="566DC6D3">
      <w:pPr>
        <w:widowControl/>
        <w:jc w:val="left"/>
        <w:rPr>
          <w:rFonts w:ascii="宋体" w:hAnsi="宋体" w:eastAsia="宋体" w:cs="宋体"/>
          <w:color w:val="000000"/>
          <w:kern w:val="0"/>
          <w:sz w:val="32"/>
          <w:szCs w:val="32"/>
          <w:lang w:bidi="ar"/>
        </w:rPr>
      </w:pPr>
    </w:p>
    <w:p w14:paraId="01CFBFC8">
      <w:pPr>
        <w:widowControl/>
        <w:jc w:val="left"/>
        <w:rPr>
          <w:rFonts w:ascii="宋体" w:hAnsi="宋体" w:eastAsia="宋体" w:cs="宋体"/>
          <w:color w:val="000000"/>
          <w:kern w:val="0"/>
          <w:sz w:val="32"/>
          <w:szCs w:val="32"/>
          <w:lang w:bidi="ar"/>
        </w:rPr>
      </w:pPr>
    </w:p>
    <w:p w14:paraId="769C1710">
      <w:pPr>
        <w:widowControl/>
        <w:jc w:val="left"/>
        <w:rPr>
          <w:rFonts w:ascii="宋体" w:hAnsi="宋体" w:eastAsia="宋体" w:cs="宋体"/>
          <w:color w:val="000000"/>
          <w:kern w:val="0"/>
          <w:sz w:val="32"/>
          <w:szCs w:val="32"/>
          <w:lang w:bidi="ar"/>
        </w:rPr>
      </w:pPr>
    </w:p>
    <w:p w14:paraId="37853723">
      <w:pPr>
        <w:widowControl/>
        <w:jc w:val="left"/>
        <w:rPr>
          <w:rFonts w:ascii="宋体" w:hAnsi="宋体" w:eastAsia="宋体" w:cs="宋体"/>
          <w:color w:val="000000"/>
          <w:kern w:val="0"/>
          <w:sz w:val="32"/>
          <w:szCs w:val="32"/>
          <w:lang w:bidi="ar"/>
        </w:rPr>
      </w:pPr>
    </w:p>
    <w:p w14:paraId="6EF99A4C">
      <w:pPr>
        <w:widowControl/>
        <w:jc w:val="left"/>
        <w:rPr>
          <w:rFonts w:ascii="宋体" w:hAnsi="宋体" w:eastAsia="宋体" w:cs="宋体"/>
          <w:color w:val="000000"/>
          <w:kern w:val="0"/>
          <w:sz w:val="32"/>
          <w:szCs w:val="32"/>
          <w:lang w:bidi="ar"/>
        </w:rPr>
      </w:pPr>
    </w:p>
    <w:p w14:paraId="35148CD7">
      <w:pPr>
        <w:widowControl/>
        <w:jc w:val="left"/>
        <w:rPr>
          <w:rFonts w:ascii="宋体" w:hAnsi="宋体" w:eastAsia="宋体" w:cs="宋体"/>
          <w:color w:val="000000"/>
          <w:kern w:val="0"/>
          <w:sz w:val="32"/>
          <w:szCs w:val="32"/>
          <w:lang w:bidi="ar"/>
        </w:rPr>
      </w:pPr>
    </w:p>
    <w:p w14:paraId="579861FA">
      <w:pPr>
        <w:widowControl/>
        <w:jc w:val="left"/>
        <w:rPr>
          <w:rFonts w:ascii="宋体" w:hAnsi="宋体" w:eastAsia="宋体" w:cs="宋体"/>
          <w:sz w:val="32"/>
          <w:szCs w:val="32"/>
        </w:rPr>
      </w:pPr>
      <w:r>
        <w:rPr>
          <w:rFonts w:hint="eastAsia" w:ascii="宋体" w:hAnsi="宋体" w:eastAsia="宋体" w:cs="宋体"/>
          <w:color w:val="000000"/>
          <w:kern w:val="0"/>
          <w:sz w:val="32"/>
          <w:szCs w:val="32"/>
          <w:lang w:bidi="ar"/>
        </w:rPr>
        <w:t>附件 1：</w:t>
      </w:r>
    </w:p>
    <w:p w14:paraId="2CE95774">
      <w:pPr>
        <w:widowControl/>
        <w:jc w:val="center"/>
        <w:rPr>
          <w:rFonts w:ascii="宋体" w:hAnsi="宋体" w:eastAsia="宋体" w:cs="宋体"/>
          <w:sz w:val="32"/>
          <w:szCs w:val="32"/>
        </w:rPr>
      </w:pPr>
      <w:r>
        <w:rPr>
          <w:rFonts w:hint="eastAsia" w:ascii="宋体" w:hAnsi="宋体" w:eastAsia="宋体" w:cs="宋体"/>
          <w:b/>
          <w:bCs/>
          <w:color w:val="000000"/>
          <w:kern w:val="0"/>
          <w:sz w:val="32"/>
          <w:szCs w:val="32"/>
          <w:lang w:bidi="ar"/>
        </w:rPr>
        <w:t>白璧镇中心学校</w:t>
      </w:r>
    </w:p>
    <w:p w14:paraId="243AEA8A">
      <w:pPr>
        <w:widowControl/>
        <w:jc w:val="center"/>
        <w:rPr>
          <w:rFonts w:ascii="宋体" w:hAnsi="宋体" w:eastAsia="宋体" w:cs="宋体"/>
          <w:sz w:val="32"/>
          <w:szCs w:val="32"/>
        </w:rPr>
      </w:pPr>
      <w:r>
        <w:rPr>
          <w:rFonts w:hint="eastAsia" w:ascii="宋体" w:hAnsi="宋体" w:eastAsia="宋体" w:cs="宋体"/>
          <w:b/>
          <w:bCs/>
          <w:color w:val="000000"/>
          <w:kern w:val="0"/>
          <w:sz w:val="32"/>
          <w:szCs w:val="32"/>
          <w:lang w:bidi="ar"/>
        </w:rPr>
        <w:t>2025年义务教育阳光招生领导小组</w:t>
      </w:r>
    </w:p>
    <w:p w14:paraId="1C68D1E0">
      <w:pPr>
        <w:spacing w:line="500" w:lineRule="exact"/>
        <w:ind w:firstLine="640" w:firstLineChars="200"/>
        <w:jc w:val="left"/>
        <w:rPr>
          <w:rFonts w:hint="eastAsia" w:ascii="宋体" w:hAnsi="宋体" w:eastAsia="宋体" w:cs="宋体"/>
          <w:color w:val="000000"/>
          <w:kern w:val="0"/>
          <w:sz w:val="32"/>
          <w:szCs w:val="32"/>
          <w:lang w:bidi="ar"/>
        </w:rPr>
      </w:pPr>
    </w:p>
    <w:p w14:paraId="2AF01AA4">
      <w:pPr>
        <w:spacing w:line="500" w:lineRule="exact"/>
        <w:ind w:firstLine="640" w:firstLineChars="200"/>
        <w:jc w:val="left"/>
        <w:rPr>
          <w:rFonts w:ascii="宋体" w:hAnsi="宋体" w:eastAsia="宋体" w:cs="宋体"/>
          <w:sz w:val="32"/>
          <w:szCs w:val="32"/>
        </w:rPr>
      </w:pPr>
      <w:r>
        <w:rPr>
          <w:rFonts w:hint="eastAsia" w:ascii="宋体" w:hAnsi="宋体" w:eastAsia="宋体" w:cs="宋体"/>
          <w:color w:val="000000"/>
          <w:kern w:val="0"/>
          <w:sz w:val="32"/>
          <w:szCs w:val="32"/>
          <w:lang w:bidi="ar"/>
        </w:rPr>
        <w:t>为做好我镇2025年义务教育招生入学工作，促进教育公平，维护群众切身利益，</w:t>
      </w:r>
      <w:r>
        <w:rPr>
          <w:rFonts w:hint="eastAsia" w:asciiTheme="minorEastAsia" w:hAnsiTheme="minorEastAsia"/>
          <w:kern w:val="0"/>
          <w:sz w:val="32"/>
          <w:szCs w:val="32"/>
        </w:rPr>
        <w:t>根据《教育部办公厅关于开展义务教育阳光招生专项行动（2025）的通知》（教基厅函（2025）5号）、《教育部办公厅关于开展基础教育规范管理提升年行动的通知》（教基厅函（2025）14号）、《河南省教育厅＜关于启用教育入学“一件事”平台组织义务教育阳光招生＞的通知（教基函（2025）267号）和《</w:t>
      </w:r>
      <w:r>
        <w:rPr>
          <w:rFonts w:asciiTheme="minorEastAsia" w:hAnsiTheme="minorEastAsia"/>
          <w:sz w:val="32"/>
          <w:szCs w:val="32"/>
        </w:rPr>
        <w:t>安阳县教育局关于做好2025年义务教育招生入学工作的实施方案》【</w:t>
      </w:r>
      <w:r>
        <w:rPr>
          <w:rFonts w:hint="eastAsia" w:asciiTheme="minorEastAsia" w:hAnsiTheme="minorEastAsia"/>
          <w:sz w:val="32"/>
          <w:szCs w:val="32"/>
        </w:rPr>
        <w:t>安县教（2025）86号】</w:t>
      </w:r>
      <w:r>
        <w:rPr>
          <w:rFonts w:hint="eastAsia" w:asciiTheme="minorEastAsia" w:hAnsiTheme="minorEastAsia"/>
          <w:kern w:val="0"/>
          <w:sz w:val="32"/>
          <w:szCs w:val="32"/>
        </w:rPr>
        <w:t>文件精神，</w:t>
      </w:r>
      <w:r>
        <w:rPr>
          <w:rFonts w:hint="eastAsia" w:ascii="宋体" w:hAnsi="宋体" w:eastAsia="宋体" w:cs="宋体"/>
          <w:color w:val="000000"/>
          <w:kern w:val="0"/>
          <w:sz w:val="32"/>
          <w:szCs w:val="32"/>
          <w:lang w:bidi="ar"/>
        </w:rPr>
        <w:t>经研究，决定成立白璧镇2025年义务教育阳光招生专项行动工作专班，成员名单如下：</w:t>
      </w:r>
    </w:p>
    <w:p w14:paraId="2E8A5F64">
      <w:pPr>
        <w:widowControl/>
        <w:spacing w:line="500" w:lineRule="exact"/>
        <w:jc w:val="left"/>
        <w:rPr>
          <w:rFonts w:ascii="宋体" w:hAnsi="宋体" w:eastAsia="宋体" w:cs="宋体"/>
          <w:sz w:val="32"/>
          <w:szCs w:val="32"/>
        </w:rPr>
      </w:pPr>
      <w:r>
        <w:rPr>
          <w:rFonts w:hint="eastAsia" w:ascii="宋体" w:hAnsi="宋体" w:eastAsia="宋体" w:cs="宋体"/>
          <w:color w:val="000000"/>
          <w:kern w:val="0"/>
          <w:sz w:val="32"/>
          <w:szCs w:val="32"/>
          <w:lang w:bidi="ar"/>
        </w:rPr>
        <w:t>组 长：白璧镇中心学校校长     常继伟</w:t>
      </w:r>
    </w:p>
    <w:p w14:paraId="6E8BB979">
      <w:pPr>
        <w:widowControl/>
        <w:spacing w:line="500" w:lineRule="exact"/>
        <w:jc w:val="left"/>
        <w:rPr>
          <w:rFonts w:ascii="宋体" w:hAnsi="宋体" w:eastAsia="宋体" w:cs="宋体"/>
          <w:sz w:val="32"/>
          <w:szCs w:val="32"/>
        </w:rPr>
      </w:pPr>
      <w:r>
        <w:rPr>
          <w:rFonts w:hint="eastAsia" w:ascii="宋体" w:hAnsi="宋体" w:eastAsia="宋体" w:cs="宋体"/>
          <w:color w:val="000000"/>
          <w:kern w:val="0"/>
          <w:sz w:val="32"/>
          <w:szCs w:val="32"/>
          <w:lang w:bidi="ar"/>
        </w:rPr>
        <w:t xml:space="preserve">副组长：白璧镇中心学校副校长  田庆彬、张立星、胡有印 </w:t>
      </w:r>
    </w:p>
    <w:p w14:paraId="0D5E7A35">
      <w:pPr>
        <w:widowControl/>
        <w:spacing w:line="500" w:lineRule="exact"/>
        <w:jc w:val="left"/>
        <w:rPr>
          <w:rFonts w:ascii="宋体" w:hAnsi="宋体" w:eastAsia="宋体" w:cs="宋体"/>
          <w:sz w:val="32"/>
          <w:szCs w:val="32"/>
        </w:rPr>
      </w:pPr>
      <w:r>
        <w:rPr>
          <w:rFonts w:hint="eastAsia" w:ascii="宋体" w:hAnsi="宋体" w:eastAsia="宋体" w:cs="宋体"/>
          <w:color w:val="000000"/>
          <w:kern w:val="0"/>
          <w:sz w:val="32"/>
          <w:szCs w:val="32"/>
          <w:lang w:bidi="ar"/>
        </w:rPr>
        <w:t>成 员：刘海良、徐小庆、李海峰、张爱清、荣绪龙、芈志军、齐桂英、徐先伟、赵春霞、庞松涛、常慧德、董振华、郝科、田晓锋、高艳斌。</w:t>
      </w:r>
    </w:p>
    <w:p w14:paraId="7A8F69B6">
      <w:pPr>
        <w:widowControl/>
        <w:spacing w:line="500" w:lineRule="exact"/>
        <w:ind w:firstLine="640" w:firstLineChars="200"/>
        <w:jc w:val="left"/>
        <w:rPr>
          <w:rFonts w:ascii="宋体" w:hAnsi="宋体" w:eastAsia="宋体" w:cs="宋体"/>
          <w:sz w:val="32"/>
          <w:szCs w:val="32"/>
        </w:rPr>
      </w:pPr>
      <w:r>
        <w:rPr>
          <w:rFonts w:hint="eastAsia" w:ascii="宋体" w:hAnsi="宋体" w:eastAsia="宋体" w:cs="宋体"/>
          <w:color w:val="000000"/>
          <w:kern w:val="0"/>
          <w:sz w:val="32"/>
          <w:szCs w:val="32"/>
          <w:lang w:bidi="ar"/>
        </w:rPr>
        <w:t>领导小组统筹全镇2025年义务教育阳光招生各项工作，健全公平入学长效机制，增强招生入学工作的科学性、规范性、透明度，确保工作实效，不断提高人民群众的教育满意度。</w:t>
      </w:r>
    </w:p>
    <w:p w14:paraId="2473CB5E">
      <w:pPr>
        <w:widowControl/>
        <w:spacing w:line="500" w:lineRule="exact"/>
        <w:ind w:firstLine="640" w:firstLineChars="200"/>
        <w:jc w:val="left"/>
        <w:rPr>
          <w:rFonts w:ascii="宋体" w:hAnsi="宋体" w:eastAsia="宋体" w:cs="宋体"/>
          <w:sz w:val="32"/>
          <w:szCs w:val="32"/>
        </w:rPr>
      </w:pPr>
      <w:r>
        <w:rPr>
          <w:rFonts w:hint="eastAsia" w:ascii="宋体" w:hAnsi="宋体" w:eastAsia="宋体" w:cs="宋体"/>
          <w:color w:val="000000"/>
          <w:kern w:val="0"/>
          <w:sz w:val="32"/>
          <w:szCs w:val="32"/>
          <w:lang w:bidi="ar"/>
        </w:rPr>
        <w:t>领导小组办公室设在105办公室，刘海良同志兼任办公室主任。</w:t>
      </w:r>
    </w:p>
    <w:p w14:paraId="3A7E4E08">
      <w:pPr>
        <w:widowControl/>
        <w:spacing w:line="500" w:lineRule="exact"/>
        <w:jc w:val="left"/>
        <w:rPr>
          <w:rFonts w:ascii="宋体" w:hAnsi="宋体" w:eastAsia="宋体" w:cs="宋体"/>
          <w:sz w:val="32"/>
          <w:szCs w:val="32"/>
        </w:rPr>
      </w:pPr>
      <w:r>
        <w:rPr>
          <w:rFonts w:hint="eastAsia" w:ascii="宋体" w:hAnsi="宋体" w:eastAsia="宋体" w:cs="宋体"/>
          <w:color w:val="000000"/>
          <w:kern w:val="0"/>
          <w:sz w:val="32"/>
          <w:szCs w:val="32"/>
          <w:lang w:bidi="ar"/>
        </w:rPr>
        <w:t>招生咨询电话：0372-2628313</w:t>
      </w:r>
    </w:p>
    <w:p w14:paraId="70A2307B">
      <w:pPr>
        <w:widowControl/>
        <w:jc w:val="left"/>
        <w:rPr>
          <w:rFonts w:ascii="宋体" w:hAnsi="宋体" w:eastAsia="宋体" w:cs="宋体"/>
          <w:color w:val="000000"/>
          <w:kern w:val="0"/>
          <w:sz w:val="32"/>
          <w:szCs w:val="32"/>
          <w:lang w:bidi="ar"/>
        </w:rPr>
      </w:pPr>
    </w:p>
    <w:p w14:paraId="21C939AE">
      <w:pPr>
        <w:rPr>
          <w:rFonts w:asciiTheme="minorEastAsia" w:hAnsiTheme="minorEastAsia"/>
          <w:sz w:val="32"/>
          <w:szCs w:val="32"/>
        </w:rPr>
      </w:pPr>
      <w:r>
        <w:rPr>
          <w:rFonts w:asciiTheme="minorEastAsia" w:hAnsiTheme="minorEastAsia"/>
          <w:sz w:val="32"/>
          <w:szCs w:val="32"/>
        </w:rPr>
        <w:t>附件2</w:t>
      </w:r>
    </w:p>
    <w:p w14:paraId="3FB67F49">
      <w:pPr>
        <w:jc w:val="center"/>
        <w:rPr>
          <w:rFonts w:asciiTheme="minorEastAsia" w:hAnsiTheme="minorEastAsia"/>
          <w:b/>
          <w:sz w:val="44"/>
          <w:szCs w:val="44"/>
        </w:rPr>
      </w:pPr>
      <w:r>
        <w:rPr>
          <w:rFonts w:asciiTheme="minorEastAsia" w:hAnsiTheme="minorEastAsia"/>
          <w:b/>
          <w:sz w:val="44"/>
          <w:szCs w:val="44"/>
        </w:rPr>
        <w:t>入学政策</w:t>
      </w:r>
    </w:p>
    <w:p w14:paraId="573DDA67">
      <w:pPr>
        <w:ind w:firstLine="640" w:firstLineChars="200"/>
        <w:rPr>
          <w:rFonts w:asciiTheme="minorEastAsia" w:hAnsiTheme="minorEastAsia"/>
          <w:sz w:val="32"/>
          <w:szCs w:val="32"/>
        </w:rPr>
      </w:pPr>
      <w:r>
        <w:rPr>
          <w:rFonts w:asciiTheme="minorEastAsia" w:hAnsiTheme="minorEastAsia"/>
          <w:sz w:val="32"/>
          <w:szCs w:val="32"/>
        </w:rPr>
        <w:t>一、各类学生需核验的材料：</w:t>
      </w:r>
    </w:p>
    <w:p w14:paraId="7AF074CF">
      <w:pPr>
        <w:ind w:firstLine="640" w:firstLineChars="200"/>
        <w:rPr>
          <w:rFonts w:asciiTheme="minorEastAsia" w:hAnsiTheme="minorEastAsia"/>
          <w:sz w:val="32"/>
          <w:szCs w:val="32"/>
        </w:rPr>
      </w:pPr>
      <w:r>
        <w:rPr>
          <w:rFonts w:asciiTheme="minorEastAsia" w:hAnsiTheme="minorEastAsia"/>
          <w:sz w:val="32"/>
          <w:szCs w:val="32"/>
        </w:rPr>
        <w:t>（一）户籍生：辖区户籍生是指户籍属招生范围内的适龄儿童和小学毕业生，户籍信息能证明是父（母）子或父（母）女关系，学生与父母户口不在一个户口簿上登记的，还应提供出生证明或其它能够证明监护关系的材料。</w:t>
      </w:r>
    </w:p>
    <w:p w14:paraId="75BE2FC4">
      <w:pPr>
        <w:ind w:firstLine="640" w:firstLineChars="200"/>
        <w:rPr>
          <w:rFonts w:asciiTheme="minorEastAsia" w:hAnsiTheme="minorEastAsia"/>
          <w:sz w:val="32"/>
          <w:szCs w:val="32"/>
        </w:rPr>
      </w:pPr>
      <w:r>
        <w:rPr>
          <w:rFonts w:asciiTheme="minorEastAsia" w:hAnsiTheme="minorEastAsia"/>
          <w:sz w:val="32"/>
          <w:szCs w:val="32"/>
        </w:rPr>
        <w:t>1.小学凡线上报名不成功的由家长持户口簿和房产证（或宅基地证）到辖区公办小学进行线下审核报名注册。</w:t>
      </w:r>
    </w:p>
    <w:p w14:paraId="1C3B7B1A">
      <w:pPr>
        <w:ind w:firstLine="640" w:firstLineChars="200"/>
        <w:rPr>
          <w:rFonts w:asciiTheme="minorEastAsia" w:hAnsiTheme="minorEastAsia"/>
          <w:sz w:val="32"/>
          <w:szCs w:val="32"/>
        </w:rPr>
      </w:pPr>
      <w:r>
        <w:rPr>
          <w:rFonts w:asciiTheme="minorEastAsia" w:hAnsiTheme="minorEastAsia"/>
          <w:sz w:val="32"/>
          <w:szCs w:val="32"/>
        </w:rPr>
        <w:t>2.农村初中招生由辖区小学以学校为单位持学生户口本和由毕业小学盖章的全国学籍信息卡、学生报名统计表到辖区公办初中学校进行材料审核、报到。</w:t>
      </w:r>
    </w:p>
    <w:p w14:paraId="30EE4287">
      <w:pPr>
        <w:ind w:firstLine="640" w:firstLineChars="200"/>
        <w:rPr>
          <w:rFonts w:asciiTheme="minorEastAsia" w:hAnsiTheme="minorEastAsia"/>
          <w:sz w:val="32"/>
          <w:szCs w:val="32"/>
        </w:rPr>
      </w:pPr>
      <w:r>
        <w:rPr>
          <w:rFonts w:asciiTheme="minorEastAsia" w:hAnsiTheme="minorEastAsia"/>
          <w:sz w:val="32"/>
          <w:szCs w:val="32"/>
        </w:rPr>
        <w:t>3.返（乡）生就读初中：返（乡）生是指具有安阳县某乡镇户籍，之前不在安阳县上小学的学生（学籍在外地），经招生学校网上核查学籍属正常小学毕业，由家长持户口簿到学校直接报名。</w:t>
      </w:r>
    </w:p>
    <w:p w14:paraId="3F7B03B8">
      <w:pPr>
        <w:ind w:firstLine="640" w:firstLineChars="200"/>
        <w:rPr>
          <w:rFonts w:asciiTheme="minorEastAsia" w:hAnsiTheme="minorEastAsia"/>
          <w:sz w:val="32"/>
          <w:szCs w:val="32"/>
        </w:rPr>
      </w:pPr>
      <w:r>
        <w:rPr>
          <w:rFonts w:asciiTheme="minorEastAsia" w:hAnsiTheme="minorEastAsia"/>
          <w:sz w:val="32"/>
          <w:szCs w:val="32"/>
        </w:rPr>
        <w:t>（二）城镇商品房住宅小区业主子女：在我县范围内城镇购置房产业主子女到房产所在地学校就读的，小学线上报名不成功和申请初中新生入学的家长持审验材料到学校审核。审验材料包括：户口簿首页、户主页和学生页｛户籍信息能证明是父（母）子或父（母）女关系，学生与父母户口不在一个户口簿上登记的，还应提供出生证明或其它能够证明监护关系的材料｝、自有房产证明（不动产权证书或房屋所有权证，无以上证明的提供已备案的《商品房预（销）售合同》、购房发票和契税票及近两个月以上的水电气、物业费缴费票据。上初中须由招生学校网上核查学籍属正常小学毕业。</w:t>
      </w:r>
    </w:p>
    <w:p w14:paraId="6D4A790A">
      <w:pPr>
        <w:ind w:firstLine="640" w:firstLineChars="200"/>
        <w:rPr>
          <w:rFonts w:asciiTheme="minorEastAsia" w:hAnsiTheme="minorEastAsia"/>
          <w:sz w:val="32"/>
          <w:szCs w:val="32"/>
        </w:rPr>
      </w:pPr>
      <w:r>
        <w:rPr>
          <w:rFonts w:asciiTheme="minorEastAsia" w:hAnsiTheme="minorEastAsia"/>
          <w:sz w:val="32"/>
          <w:szCs w:val="32"/>
        </w:rPr>
        <w:t>（三）城镇务工随迁子女：城镇务工随迁子女确需在务工地学校就读的，小学线上报名不成功和申请初中入学的家长持审验材料到学校审核。审验材料包括：户口簿首页、户主页和学生页｛户籍信息能证明是父（母）子或父（母）女关系，学生与父母户口不在一个户口簿上登记的，还应提供出生证明或其它能够证明监护关系的材料｝、现居住地公安部门出具的居住证（安阳县辖区内户籍不要求此项）、县劳动人社部门出具的务工合同备案表和近6个月（含）以上的社会保险参保缴纳证明或市场监管部门出具的营业执照（营业执照办理时间为上年度6月底以前）和现在依然正常经营的2张照片。上初中须由招生学校网上核查学籍属正常小学毕业。经审核符合要求的按照相对就近入学原则由乡镇中心校（县属学校）统筹安排到公办学校就读，学校不得拒收，入校后与辖区内学生统一管理、统一编班、统一教学、统一安排活动，并不得收取规定以外的任何费用。同时按照“人籍一致”原则及时办理新生的学籍注册或接续。凡因违规跨乡镇招生导致学生学籍无法完善等严重后果的，由招生学校承担一切责任，并追究相关责任人的责任。</w:t>
      </w:r>
    </w:p>
    <w:p w14:paraId="5D12749C">
      <w:pPr>
        <w:ind w:firstLine="640" w:firstLineChars="200"/>
        <w:rPr>
          <w:rFonts w:asciiTheme="minorEastAsia" w:hAnsiTheme="minorEastAsia"/>
          <w:sz w:val="32"/>
          <w:szCs w:val="32"/>
        </w:rPr>
      </w:pPr>
      <w:r>
        <w:rPr>
          <w:rFonts w:asciiTheme="minorEastAsia" w:hAnsiTheme="minorEastAsia"/>
          <w:sz w:val="32"/>
          <w:szCs w:val="32"/>
        </w:rPr>
        <w:t>上述每一类别的每一学生的所有报名材料均需验原件，收复印件，对复印件进行存档备查，复印件需由学校招生工作负责人签字确认。</w:t>
      </w:r>
    </w:p>
    <w:p w14:paraId="281067CE">
      <w:pPr>
        <w:ind w:left="420" w:leftChars="200" w:firstLine="320" w:firstLineChars="100"/>
        <w:rPr>
          <w:rFonts w:asciiTheme="minorEastAsia" w:hAnsiTheme="minorEastAsia"/>
          <w:sz w:val="32"/>
          <w:szCs w:val="32"/>
        </w:rPr>
      </w:pPr>
      <w:r>
        <w:rPr>
          <w:rFonts w:asciiTheme="minorEastAsia" w:hAnsiTheme="minorEastAsia"/>
          <w:sz w:val="32"/>
          <w:szCs w:val="32"/>
        </w:rPr>
        <w:t>二、安阳县特殊教育学校依据有关政策单独进行招生。</w:t>
      </w:r>
    </w:p>
    <w:p w14:paraId="186B093A">
      <w:pPr>
        <w:ind w:firstLine="739" w:firstLineChars="231"/>
        <w:rPr>
          <w:rFonts w:asciiTheme="minorEastAsia" w:hAnsiTheme="minorEastAsia"/>
          <w:sz w:val="32"/>
          <w:szCs w:val="32"/>
        </w:rPr>
      </w:pPr>
      <w:r>
        <w:rPr>
          <w:rFonts w:asciiTheme="minorEastAsia" w:hAnsiTheme="minorEastAsia"/>
          <w:sz w:val="32"/>
          <w:szCs w:val="32"/>
        </w:rPr>
        <w:t>三、二中附中、安阳示范区飞翔中学（民办）、安阳示范区新世纪实验学校（民办）面向全县招生，由县教育局招生平台组织网上统一报名、统一电脑派位录取。</w:t>
      </w:r>
    </w:p>
    <w:p w14:paraId="5D4DC32C">
      <w:pPr>
        <w:ind w:firstLine="640" w:firstLineChars="200"/>
        <w:rPr>
          <w:rFonts w:asciiTheme="minorEastAsia" w:hAnsiTheme="minorEastAsia"/>
          <w:sz w:val="32"/>
          <w:szCs w:val="32"/>
        </w:rPr>
      </w:pPr>
      <w:r>
        <w:rPr>
          <w:rFonts w:asciiTheme="minorEastAsia" w:hAnsiTheme="minorEastAsia"/>
          <w:sz w:val="32"/>
          <w:szCs w:val="32"/>
        </w:rPr>
        <w:t>四、示范区核心区安东实验学校小学一年级和七年级2025年招生由学校按照招生政策进行招生，具体招生时间由县教育局统筹安排。</w:t>
      </w:r>
    </w:p>
    <w:p w14:paraId="0B45454E">
      <w:pPr>
        <w:ind w:firstLine="640" w:firstLineChars="200"/>
        <w:rPr>
          <w:rFonts w:asciiTheme="minorEastAsia" w:hAnsiTheme="minorEastAsia"/>
          <w:sz w:val="32"/>
          <w:szCs w:val="32"/>
        </w:rPr>
      </w:pPr>
      <w:r>
        <w:rPr>
          <w:rFonts w:asciiTheme="minorEastAsia" w:hAnsiTheme="minorEastAsia"/>
          <w:sz w:val="32"/>
          <w:szCs w:val="32"/>
        </w:rPr>
        <w:t>各中小学要按照全县招生工作安排时间表开展招生工作，任何学校不得擅自提前或推迟招生时间。各校要在报名前三日张贴覆盖本招生片区的招生简章（招生简章内容：报名时间、条件、学区范围、咨询电话、教育入学“一件事”等），各中小学招生简章须备案审核无误后方可发布。同时公布招生电话，安排熟悉招生政策的人员负责招生咨询，为家长咨询和操作教育入学“一件事”提供更多方便，让群众了解学区范围和招生政策。</w:t>
      </w:r>
    </w:p>
    <w:p w14:paraId="7B807E66">
      <w:pPr>
        <w:ind w:firstLine="640" w:firstLineChars="200"/>
        <w:rPr>
          <w:rFonts w:asciiTheme="minorEastAsia" w:hAnsiTheme="minorEastAsia"/>
          <w:sz w:val="32"/>
          <w:szCs w:val="32"/>
        </w:rPr>
      </w:pPr>
      <w:r>
        <w:rPr>
          <w:rFonts w:asciiTheme="minorEastAsia" w:hAnsiTheme="minorEastAsia"/>
          <w:sz w:val="32"/>
          <w:szCs w:val="32"/>
        </w:rPr>
        <w:t>招生结束后，各中小学须认真详细填写新生登记表，新生名单经学校招生领导小组审查确定后，于8月28日前将新生登记表一式两份报送县教育局备案（分类别报送）。</w:t>
      </w:r>
    </w:p>
    <w:p w14:paraId="0B7E10AF">
      <w:pPr>
        <w:rPr>
          <w:rFonts w:asciiTheme="minorEastAsia" w:hAnsiTheme="minorEastAsia"/>
          <w:sz w:val="32"/>
          <w:szCs w:val="32"/>
        </w:rPr>
      </w:pPr>
      <w:r>
        <w:rPr>
          <w:rFonts w:asciiTheme="minorEastAsia" w:hAnsiTheme="minorEastAsia"/>
          <w:sz w:val="32"/>
          <w:szCs w:val="32"/>
        </w:rPr>
        <w:t>任何学校严禁招收已被其他学校录取的学生（不进行招生平台的删除和改录工作），非按政策录取的初一新生不享受分配生政策（招生结束，各初中学校将分配生名单报教育局审核备案）。</w:t>
      </w:r>
    </w:p>
    <w:p w14:paraId="7EEDB44D">
      <w:pPr>
        <w:widowControl/>
        <w:jc w:val="left"/>
        <w:rPr>
          <w:rFonts w:ascii="宋体" w:hAnsi="宋体" w:eastAsia="宋体" w:cs="宋体"/>
          <w:color w:val="000000"/>
          <w:kern w:val="0"/>
          <w:sz w:val="32"/>
          <w:szCs w:val="32"/>
          <w:lang w:bidi="ar"/>
        </w:rPr>
      </w:pPr>
      <w:r>
        <w:rPr>
          <w:rFonts w:ascii="宋体" w:hAnsi="宋体" w:eastAsia="宋体" w:cs="宋体"/>
          <w:color w:val="000000"/>
          <w:kern w:val="0"/>
          <w:sz w:val="32"/>
          <w:szCs w:val="32"/>
        </w:rPr>
        <w:drawing>
          <wp:inline distT="0" distB="0" distL="0" distR="0">
            <wp:extent cx="5273675" cy="6981825"/>
            <wp:effectExtent l="0" t="0" r="3175" b="0"/>
            <wp:docPr id="2" name="图片 2" descr="C:\Users\Administrator\Desktop\微信图片_20250701092556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微信图片_20250701092556_6.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274310" cy="6982302"/>
                    </a:xfrm>
                    <a:prstGeom prst="rect">
                      <a:avLst/>
                    </a:prstGeom>
                    <a:noFill/>
                    <a:ln>
                      <a:noFill/>
                    </a:ln>
                  </pic:spPr>
                </pic:pic>
              </a:graphicData>
            </a:graphic>
          </wp:inline>
        </w:drawing>
      </w:r>
      <w:bookmarkStart w:id="0" w:name="_GoBack"/>
      <w:bookmarkEnd w:id="0"/>
    </w:p>
    <w:tbl>
      <w:tblPr>
        <w:tblStyle w:val="3"/>
        <w:tblW w:w="8245" w:type="dxa"/>
        <w:tblInd w:w="96" w:type="dxa"/>
        <w:tblLayout w:type="fixed"/>
        <w:tblCellMar>
          <w:top w:w="0" w:type="dxa"/>
          <w:left w:w="108" w:type="dxa"/>
          <w:bottom w:w="0" w:type="dxa"/>
          <w:right w:w="108" w:type="dxa"/>
        </w:tblCellMar>
      </w:tblPr>
      <w:tblGrid>
        <w:gridCol w:w="2020"/>
        <w:gridCol w:w="3735"/>
        <w:gridCol w:w="1170"/>
        <w:gridCol w:w="1320"/>
      </w:tblGrid>
      <w:tr w14:paraId="48FF42BD">
        <w:tblPrEx>
          <w:tblCellMar>
            <w:top w:w="0" w:type="dxa"/>
            <w:left w:w="108" w:type="dxa"/>
            <w:bottom w:w="0" w:type="dxa"/>
            <w:right w:w="108" w:type="dxa"/>
          </w:tblCellMar>
        </w:tblPrEx>
        <w:trPr>
          <w:trHeight w:val="468" w:hRule="atLeast"/>
        </w:trPr>
        <w:tc>
          <w:tcPr>
            <w:tcW w:w="8245" w:type="dxa"/>
            <w:gridSpan w:val="4"/>
            <w:tcBorders>
              <w:top w:val="nil"/>
              <w:left w:val="nil"/>
              <w:bottom w:val="nil"/>
              <w:right w:val="nil"/>
            </w:tcBorders>
            <w:shd w:val="clear" w:color="auto" w:fill="auto"/>
            <w:noWrap/>
            <w:vAlign w:val="center"/>
          </w:tcPr>
          <w:p w14:paraId="4A4CD719">
            <w:pPr>
              <w:widowControl/>
              <w:jc w:val="left"/>
              <w:textAlignment w:val="center"/>
              <w:rPr>
                <w:rFonts w:ascii="华文仿宋" w:hAnsi="华文仿宋" w:eastAsia="华文仿宋" w:cs="华文仿宋"/>
                <w:b/>
                <w:bCs/>
                <w:color w:val="000000"/>
                <w:sz w:val="32"/>
                <w:szCs w:val="32"/>
              </w:rPr>
            </w:pPr>
            <w:r>
              <w:rPr>
                <w:rFonts w:hint="eastAsia" w:ascii="华文仿宋" w:hAnsi="华文仿宋" w:eastAsia="华文仿宋" w:cs="华文仿宋"/>
                <w:b/>
                <w:bCs/>
                <w:color w:val="000000"/>
                <w:kern w:val="0"/>
                <w:sz w:val="32"/>
                <w:szCs w:val="32"/>
                <w:lang w:bidi="ar"/>
              </w:rPr>
              <w:t>附件7：</w:t>
            </w:r>
          </w:p>
        </w:tc>
      </w:tr>
      <w:tr w14:paraId="28887409">
        <w:tblPrEx>
          <w:tblCellMar>
            <w:top w:w="0" w:type="dxa"/>
            <w:left w:w="108" w:type="dxa"/>
            <w:bottom w:w="0" w:type="dxa"/>
            <w:right w:w="108" w:type="dxa"/>
          </w:tblCellMar>
        </w:tblPrEx>
        <w:trPr>
          <w:trHeight w:val="720" w:hRule="atLeast"/>
        </w:trPr>
        <w:tc>
          <w:tcPr>
            <w:tcW w:w="8245" w:type="dxa"/>
            <w:gridSpan w:val="4"/>
            <w:tcBorders>
              <w:top w:val="nil"/>
              <w:left w:val="nil"/>
              <w:bottom w:val="nil"/>
              <w:right w:val="nil"/>
            </w:tcBorders>
            <w:shd w:val="clear" w:color="auto" w:fill="auto"/>
            <w:noWrap/>
            <w:vAlign w:val="center"/>
          </w:tcPr>
          <w:p w14:paraId="4FBAD51E">
            <w:pPr>
              <w:widowControl/>
              <w:jc w:val="center"/>
              <w:textAlignment w:val="center"/>
              <w:rPr>
                <w:rFonts w:ascii="华文仿宋" w:hAnsi="华文仿宋" w:eastAsia="华文仿宋" w:cs="华文仿宋"/>
                <w:b/>
                <w:bCs/>
                <w:color w:val="000000"/>
                <w:sz w:val="36"/>
                <w:szCs w:val="36"/>
              </w:rPr>
            </w:pPr>
            <w:r>
              <w:rPr>
                <w:rFonts w:hint="eastAsia" w:ascii="华文仿宋" w:hAnsi="华文仿宋" w:eastAsia="华文仿宋" w:cs="华文仿宋"/>
                <w:b/>
                <w:bCs/>
                <w:color w:val="000000"/>
                <w:kern w:val="0"/>
                <w:sz w:val="36"/>
                <w:szCs w:val="36"/>
                <w:lang w:bidi="ar"/>
              </w:rPr>
              <w:t>安阳县2025年小学一年级招生计划申请表</w:t>
            </w:r>
          </w:p>
        </w:tc>
      </w:tr>
      <w:tr w14:paraId="6F37E5A7">
        <w:tblPrEx>
          <w:tblCellMar>
            <w:top w:w="0" w:type="dxa"/>
            <w:left w:w="108" w:type="dxa"/>
            <w:bottom w:w="0" w:type="dxa"/>
            <w:right w:w="108" w:type="dxa"/>
          </w:tblCellMar>
        </w:tblPrEx>
        <w:trPr>
          <w:trHeight w:val="540" w:hRule="atLeast"/>
        </w:trPr>
        <w:tc>
          <w:tcPr>
            <w:tcW w:w="8245" w:type="dxa"/>
            <w:gridSpan w:val="4"/>
            <w:tcBorders>
              <w:top w:val="nil"/>
              <w:left w:val="nil"/>
              <w:bottom w:val="nil"/>
              <w:right w:val="nil"/>
            </w:tcBorders>
            <w:shd w:val="clear" w:color="auto" w:fill="auto"/>
            <w:noWrap/>
            <w:vAlign w:val="center"/>
          </w:tcPr>
          <w:p w14:paraId="6340EDFC">
            <w:pPr>
              <w:widowControl/>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乡（镇）中心校（盖章）：白璧镇中心校  中心校校长签字：</w:t>
            </w:r>
          </w:p>
        </w:tc>
      </w:tr>
      <w:tr w14:paraId="2130FE98">
        <w:tblPrEx>
          <w:tblCellMar>
            <w:top w:w="0" w:type="dxa"/>
            <w:left w:w="108" w:type="dxa"/>
            <w:bottom w:w="0" w:type="dxa"/>
            <w:right w:w="108" w:type="dxa"/>
          </w:tblCellMar>
        </w:tblPrEx>
        <w:trPr>
          <w:trHeight w:val="570" w:hRule="atLeast"/>
        </w:trPr>
        <w:tc>
          <w:tcPr>
            <w:tcW w:w="2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973F10">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招生学校</w:t>
            </w:r>
          </w:p>
        </w:tc>
        <w:tc>
          <w:tcPr>
            <w:tcW w:w="3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1ECA5">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生源辖区村委会、建成小区</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744D22">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摸底学生数</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DDC74">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计划招生班级数</w:t>
            </w:r>
          </w:p>
        </w:tc>
      </w:tr>
      <w:tr w14:paraId="5BA36CE3">
        <w:tblPrEx>
          <w:tblCellMar>
            <w:top w:w="0" w:type="dxa"/>
            <w:left w:w="108" w:type="dxa"/>
            <w:bottom w:w="0" w:type="dxa"/>
            <w:right w:w="108" w:type="dxa"/>
          </w:tblCellMar>
        </w:tblPrEx>
        <w:trPr>
          <w:trHeight w:val="360" w:hRule="atLeast"/>
        </w:trPr>
        <w:tc>
          <w:tcPr>
            <w:tcW w:w="2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8EF5F">
            <w:pPr>
              <w:jc w:val="center"/>
              <w:rPr>
                <w:rFonts w:ascii="仿宋_GB2312" w:hAnsi="宋体" w:eastAsia="仿宋_GB2312" w:cs="仿宋_GB2312"/>
                <w:color w:val="000000"/>
                <w:sz w:val="24"/>
              </w:rPr>
            </w:pPr>
          </w:p>
        </w:tc>
        <w:tc>
          <w:tcPr>
            <w:tcW w:w="3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EDC71">
            <w:pPr>
              <w:jc w:val="center"/>
              <w:rPr>
                <w:rFonts w:ascii="仿宋_GB2312" w:hAnsi="宋体" w:eastAsia="仿宋_GB2312" w:cs="仿宋_GB2312"/>
                <w:color w:val="000000"/>
                <w:sz w:val="24"/>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40D3A">
            <w:pPr>
              <w:jc w:val="center"/>
              <w:rPr>
                <w:rFonts w:ascii="仿宋_GB2312" w:hAnsi="宋体" w:eastAsia="仿宋_GB2312" w:cs="仿宋_GB2312"/>
                <w:color w:val="000000"/>
                <w:sz w:val="24"/>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7773A">
            <w:pPr>
              <w:jc w:val="center"/>
              <w:rPr>
                <w:rFonts w:ascii="仿宋_GB2312" w:hAnsi="宋体" w:eastAsia="仿宋_GB2312" w:cs="仿宋_GB2312"/>
                <w:color w:val="000000"/>
                <w:sz w:val="24"/>
              </w:rPr>
            </w:pPr>
          </w:p>
        </w:tc>
      </w:tr>
      <w:tr w14:paraId="3F0AB81B">
        <w:tblPrEx>
          <w:tblCellMar>
            <w:top w:w="0" w:type="dxa"/>
            <w:left w:w="108" w:type="dxa"/>
            <w:bottom w:w="0" w:type="dxa"/>
            <w:right w:w="108" w:type="dxa"/>
          </w:tblCellMar>
        </w:tblPrEx>
        <w:trPr>
          <w:trHeight w:val="1560" w:hRule="atLeast"/>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0E1D">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白璧集中心小学</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D530">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白璧东街、西街、前街、南街、后白璧、郭路、晋小屯、四高村、东西邵科、岗上、邢牛、常王贾村、郭盆村机关单位、镇区小区、进城务工子女</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7791">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220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303E">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w:t>
            </w:r>
          </w:p>
        </w:tc>
      </w:tr>
      <w:tr w14:paraId="121E8561">
        <w:tblPrEx>
          <w:tblCellMar>
            <w:top w:w="0" w:type="dxa"/>
            <w:left w:w="108" w:type="dxa"/>
            <w:bottom w:w="0" w:type="dxa"/>
            <w:right w:w="108" w:type="dxa"/>
          </w:tblCellMar>
        </w:tblPrEx>
        <w:trPr>
          <w:trHeight w:val="576" w:hRule="atLeast"/>
        </w:trPr>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E0A1F">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张家庄中心小学</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A9DC">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东张家庄村、东西报德、西裴村、梅福、开信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02374">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45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0C9E8">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w:t>
            </w:r>
          </w:p>
        </w:tc>
      </w:tr>
      <w:tr w14:paraId="5BCA7DA9">
        <w:tblPrEx>
          <w:tblCellMar>
            <w:top w:w="0" w:type="dxa"/>
            <w:left w:w="108" w:type="dxa"/>
            <w:bottom w:w="0" w:type="dxa"/>
            <w:right w:w="108" w:type="dxa"/>
          </w:tblCellMar>
        </w:tblPrEx>
        <w:trPr>
          <w:trHeight w:val="439" w:hRule="atLeast"/>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9A85">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北务中心小学</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3E8B">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东北务、北务村及周边小区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904F">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78</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EE92">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w:t>
            </w:r>
          </w:p>
        </w:tc>
      </w:tr>
      <w:tr w14:paraId="374F7DB3">
        <w:tblPrEx>
          <w:tblCellMar>
            <w:top w:w="0" w:type="dxa"/>
            <w:left w:w="108" w:type="dxa"/>
            <w:bottom w:w="0" w:type="dxa"/>
            <w:right w:w="108" w:type="dxa"/>
          </w:tblCellMar>
        </w:tblPrEx>
        <w:trPr>
          <w:trHeight w:val="439" w:hRule="atLeast"/>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8E3A">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辛安中心小学</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CFEE">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南辛安 西辛安 北辛安</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E176F">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1B19">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w:t>
            </w:r>
          </w:p>
        </w:tc>
      </w:tr>
      <w:tr w14:paraId="0E2DA7B9">
        <w:tblPrEx>
          <w:tblCellMar>
            <w:top w:w="0" w:type="dxa"/>
            <w:left w:w="108" w:type="dxa"/>
            <w:bottom w:w="0" w:type="dxa"/>
            <w:right w:w="108" w:type="dxa"/>
          </w:tblCellMar>
        </w:tblPrEx>
        <w:trPr>
          <w:trHeight w:val="439" w:hRule="atLeast"/>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4A75">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瓦亭小学</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D151">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东瓦亭、西瓦亭</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0963">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07D7">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w:t>
            </w:r>
          </w:p>
        </w:tc>
      </w:tr>
      <w:tr w14:paraId="6283A242">
        <w:tblPrEx>
          <w:tblCellMar>
            <w:top w:w="0" w:type="dxa"/>
            <w:left w:w="108" w:type="dxa"/>
            <w:bottom w:w="0" w:type="dxa"/>
            <w:right w:w="108" w:type="dxa"/>
          </w:tblCellMar>
        </w:tblPrEx>
        <w:trPr>
          <w:trHeight w:val="936" w:hRule="atLeast"/>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7CA5">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北白璧中心小学</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F07D">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北白璧、蚂蚱庙、王家门、胡家庄、高家庄、刘小屯、祥和小区、东西柴村、郭盆村</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C363">
            <w:pPr>
              <w:jc w:val="center"/>
              <w:rPr>
                <w:rFonts w:ascii="仿宋_GB2312" w:hAnsi="宋体" w:eastAsia="仿宋_GB2312" w:cs="仿宋_GB2312"/>
                <w:color w:val="000000"/>
                <w:sz w:val="24"/>
              </w:rPr>
            </w:pPr>
            <w:r>
              <w:rPr>
                <w:rFonts w:hint="eastAsia" w:ascii="仿宋_GB2312" w:hAnsi="宋体" w:eastAsia="仿宋_GB2312" w:cs="仿宋_GB2312"/>
                <w:color w:val="000000"/>
                <w:sz w:val="24"/>
              </w:rPr>
              <w:t>90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9CF9">
            <w:pPr>
              <w:jc w:val="center"/>
              <w:rPr>
                <w:rFonts w:ascii="仿宋_GB2312" w:hAnsi="宋体" w:eastAsia="仿宋_GB2312" w:cs="仿宋_GB2312"/>
                <w:color w:val="000000"/>
                <w:sz w:val="24"/>
              </w:rPr>
            </w:pPr>
            <w:r>
              <w:rPr>
                <w:rFonts w:hint="eastAsia" w:ascii="仿宋_GB2312" w:hAnsi="宋体" w:eastAsia="仿宋_GB2312" w:cs="仿宋_GB2312"/>
                <w:color w:val="000000"/>
                <w:sz w:val="24"/>
              </w:rPr>
              <w:t>2</w:t>
            </w:r>
          </w:p>
        </w:tc>
      </w:tr>
      <w:tr w14:paraId="618CFD21">
        <w:tblPrEx>
          <w:tblCellMar>
            <w:top w:w="0" w:type="dxa"/>
            <w:left w:w="108" w:type="dxa"/>
            <w:bottom w:w="0" w:type="dxa"/>
            <w:right w:w="108" w:type="dxa"/>
          </w:tblCellMar>
        </w:tblPrEx>
        <w:trPr>
          <w:trHeight w:val="439" w:hRule="atLeast"/>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F88A">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梁固小学</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F0FA">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梁固村及周边附属区域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ECCCA">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29</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40C7">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w:t>
            </w:r>
          </w:p>
        </w:tc>
      </w:tr>
      <w:tr w14:paraId="0628F25E">
        <w:tblPrEx>
          <w:tblCellMar>
            <w:top w:w="0" w:type="dxa"/>
            <w:left w:w="108" w:type="dxa"/>
            <w:bottom w:w="0" w:type="dxa"/>
            <w:right w:w="108" w:type="dxa"/>
          </w:tblCellMar>
        </w:tblPrEx>
        <w:trPr>
          <w:trHeight w:val="439" w:hRule="atLeast"/>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BACE">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西邵科小学</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A875">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东邵科、西邵科、四高村</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7FCE">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E393">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w:t>
            </w:r>
          </w:p>
        </w:tc>
      </w:tr>
      <w:tr w14:paraId="68C4C88D">
        <w:tblPrEx>
          <w:tblCellMar>
            <w:top w:w="0" w:type="dxa"/>
            <w:left w:w="108" w:type="dxa"/>
            <w:bottom w:w="0" w:type="dxa"/>
            <w:right w:w="108" w:type="dxa"/>
          </w:tblCellMar>
        </w:tblPrEx>
        <w:trPr>
          <w:trHeight w:val="439" w:hRule="atLeast"/>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D57E">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羊店明德小学</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612B">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东西南羊店</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59D2">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39</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E49C">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w:t>
            </w:r>
          </w:p>
        </w:tc>
      </w:tr>
      <w:tr w14:paraId="4458D364">
        <w:tblPrEx>
          <w:tblCellMar>
            <w:top w:w="0" w:type="dxa"/>
            <w:left w:w="108" w:type="dxa"/>
            <w:bottom w:w="0" w:type="dxa"/>
            <w:right w:w="108" w:type="dxa"/>
          </w:tblCellMar>
        </w:tblPrEx>
        <w:trPr>
          <w:trHeight w:val="439" w:hRule="atLeast"/>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C620">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大寒小学</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87AF">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大寒村委会</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63C9">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38</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A3B0">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w:t>
            </w:r>
          </w:p>
        </w:tc>
      </w:tr>
      <w:tr w14:paraId="2B7BC34B">
        <w:tblPrEx>
          <w:tblCellMar>
            <w:top w:w="0" w:type="dxa"/>
            <w:left w:w="108" w:type="dxa"/>
            <w:bottom w:w="0" w:type="dxa"/>
            <w:right w:w="108" w:type="dxa"/>
          </w:tblCellMar>
        </w:tblPrEx>
        <w:trPr>
          <w:trHeight w:val="439" w:hRule="atLeast"/>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E2BC">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常王小学</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4E02">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常王贾村、岗上村、邢牛贾村</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5435">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7FDE">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w:t>
            </w:r>
          </w:p>
        </w:tc>
      </w:tr>
      <w:tr w14:paraId="6288A5E9">
        <w:tblPrEx>
          <w:tblCellMar>
            <w:top w:w="0" w:type="dxa"/>
            <w:left w:w="108" w:type="dxa"/>
            <w:bottom w:w="0" w:type="dxa"/>
            <w:right w:w="108" w:type="dxa"/>
          </w:tblCellMar>
        </w:tblPrEx>
        <w:trPr>
          <w:trHeight w:val="439" w:hRule="atLeast"/>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9651">
            <w:pPr>
              <w:jc w:val="center"/>
              <w:rPr>
                <w:rFonts w:ascii="仿宋_GB2312" w:hAnsi="宋体" w:eastAsia="仿宋_GB2312" w:cs="仿宋_GB2312"/>
                <w:color w:val="000000"/>
                <w:sz w:val="24"/>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CDAF">
            <w:pPr>
              <w:jc w:val="center"/>
              <w:rPr>
                <w:rFonts w:ascii="仿宋_GB2312" w:hAnsi="宋体" w:eastAsia="仿宋_GB2312" w:cs="仿宋_GB2312"/>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1BCD">
            <w:pPr>
              <w:jc w:val="center"/>
              <w:rPr>
                <w:rFonts w:ascii="仿宋_GB2312" w:hAnsi="宋体" w:eastAsia="仿宋_GB2312" w:cs="仿宋_GB2312"/>
                <w:color w:val="000000"/>
                <w:sz w:val="24"/>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AEAF">
            <w:pPr>
              <w:jc w:val="center"/>
              <w:rPr>
                <w:rFonts w:ascii="仿宋_GB2312" w:hAnsi="宋体" w:eastAsia="仿宋_GB2312" w:cs="仿宋_GB2312"/>
                <w:color w:val="000000"/>
                <w:sz w:val="24"/>
              </w:rPr>
            </w:pPr>
          </w:p>
        </w:tc>
      </w:tr>
      <w:tr w14:paraId="58BEA6E9">
        <w:tblPrEx>
          <w:tblCellMar>
            <w:top w:w="0" w:type="dxa"/>
            <w:left w:w="108" w:type="dxa"/>
            <w:bottom w:w="0" w:type="dxa"/>
            <w:right w:w="108" w:type="dxa"/>
          </w:tblCellMar>
        </w:tblPrEx>
        <w:trPr>
          <w:trHeight w:val="420" w:hRule="atLeast"/>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64A3">
            <w:pPr>
              <w:rPr>
                <w:rFonts w:ascii="仿宋_GB2312" w:hAnsi="宋体" w:eastAsia="仿宋_GB2312" w:cs="仿宋_GB2312"/>
                <w:color w:val="000000"/>
                <w:sz w:val="24"/>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27AF">
            <w:pPr>
              <w:jc w:val="center"/>
              <w:rPr>
                <w:rFonts w:ascii="仿宋_GB2312" w:hAnsi="宋体" w:eastAsia="仿宋_GB2312" w:cs="仿宋_GB2312"/>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810D">
            <w:pPr>
              <w:rPr>
                <w:rFonts w:ascii="仿宋_GB2312" w:hAnsi="宋体" w:eastAsia="仿宋_GB2312" w:cs="仿宋_GB2312"/>
                <w:color w:val="000000"/>
                <w:sz w:val="24"/>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78D3">
            <w:pPr>
              <w:rPr>
                <w:rFonts w:ascii="仿宋_GB2312" w:hAnsi="宋体" w:eastAsia="仿宋_GB2312" w:cs="仿宋_GB2312"/>
                <w:color w:val="000000"/>
                <w:sz w:val="24"/>
              </w:rPr>
            </w:pPr>
          </w:p>
        </w:tc>
      </w:tr>
      <w:tr w14:paraId="5DD973B4">
        <w:tblPrEx>
          <w:tblCellMar>
            <w:top w:w="0" w:type="dxa"/>
            <w:left w:w="108" w:type="dxa"/>
            <w:bottom w:w="0" w:type="dxa"/>
            <w:right w:w="108" w:type="dxa"/>
          </w:tblCellMar>
        </w:tblPrEx>
        <w:trPr>
          <w:trHeight w:val="439" w:hRule="atLeast"/>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44D8">
            <w:pPr>
              <w:rPr>
                <w:rFonts w:ascii="仿宋_GB2312" w:hAnsi="宋体" w:eastAsia="仿宋_GB2312" w:cs="仿宋_GB2312"/>
                <w:color w:val="000000"/>
                <w:sz w:val="24"/>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B5A1">
            <w:pPr>
              <w:jc w:val="center"/>
              <w:rPr>
                <w:rFonts w:ascii="仿宋_GB2312" w:hAnsi="宋体" w:eastAsia="仿宋_GB2312" w:cs="仿宋_GB2312"/>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3698">
            <w:pPr>
              <w:rPr>
                <w:rFonts w:ascii="仿宋_GB2312" w:hAnsi="宋体" w:eastAsia="仿宋_GB2312" w:cs="仿宋_GB2312"/>
                <w:color w:val="000000"/>
                <w:sz w:val="24"/>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BB2D">
            <w:pPr>
              <w:rPr>
                <w:rFonts w:ascii="仿宋_GB2312" w:hAnsi="宋体" w:eastAsia="仿宋_GB2312" w:cs="仿宋_GB2312"/>
                <w:color w:val="000000"/>
                <w:sz w:val="24"/>
              </w:rPr>
            </w:pPr>
          </w:p>
        </w:tc>
      </w:tr>
      <w:tr w14:paraId="5A124963">
        <w:tblPrEx>
          <w:tblCellMar>
            <w:top w:w="0" w:type="dxa"/>
            <w:left w:w="108" w:type="dxa"/>
            <w:bottom w:w="0" w:type="dxa"/>
            <w:right w:w="108" w:type="dxa"/>
          </w:tblCellMar>
        </w:tblPrEx>
        <w:trPr>
          <w:trHeight w:val="439" w:hRule="atLeast"/>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A74E">
            <w:pPr>
              <w:rPr>
                <w:rFonts w:ascii="仿宋_GB2312" w:hAnsi="宋体" w:eastAsia="仿宋_GB2312" w:cs="仿宋_GB2312"/>
                <w:color w:val="000000"/>
                <w:sz w:val="24"/>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3E3A">
            <w:pPr>
              <w:jc w:val="center"/>
              <w:rPr>
                <w:rFonts w:ascii="仿宋_GB2312" w:hAnsi="宋体" w:eastAsia="仿宋_GB2312" w:cs="仿宋_GB2312"/>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3C01">
            <w:pPr>
              <w:rPr>
                <w:rFonts w:ascii="仿宋_GB2312" w:hAnsi="宋体" w:eastAsia="仿宋_GB2312" w:cs="仿宋_GB2312"/>
                <w:color w:val="000000"/>
                <w:sz w:val="24"/>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40D1">
            <w:pPr>
              <w:rPr>
                <w:rFonts w:ascii="仿宋_GB2312" w:hAnsi="宋体" w:eastAsia="仿宋_GB2312" w:cs="仿宋_GB2312"/>
                <w:color w:val="000000"/>
                <w:sz w:val="24"/>
              </w:rPr>
            </w:pPr>
          </w:p>
        </w:tc>
      </w:tr>
      <w:tr w14:paraId="77289E7F">
        <w:tblPrEx>
          <w:tblCellMar>
            <w:top w:w="0" w:type="dxa"/>
            <w:left w:w="108" w:type="dxa"/>
            <w:bottom w:w="0" w:type="dxa"/>
            <w:right w:w="108" w:type="dxa"/>
          </w:tblCellMar>
        </w:tblPrEx>
        <w:trPr>
          <w:trHeight w:val="439" w:hRule="atLeast"/>
        </w:trPr>
        <w:tc>
          <w:tcPr>
            <w:tcW w:w="2020" w:type="dxa"/>
            <w:tcBorders>
              <w:top w:val="single" w:color="000000" w:sz="4" w:space="0"/>
              <w:left w:val="single" w:color="000000" w:sz="4" w:space="0"/>
              <w:bottom w:val="single" w:color="000000" w:sz="4" w:space="0"/>
              <w:right w:val="single" w:color="000000" w:sz="4" w:space="0"/>
            </w:tcBorders>
            <w:shd w:val="clear" w:color="auto" w:fill="auto"/>
          </w:tcPr>
          <w:p w14:paraId="4D1172FA">
            <w:pPr>
              <w:rPr>
                <w:rFonts w:ascii="仿宋_GB2312" w:hAnsi="宋体" w:eastAsia="仿宋_GB2312" w:cs="仿宋_GB2312"/>
                <w:color w:val="000000"/>
                <w:sz w:val="24"/>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tcPr>
          <w:p w14:paraId="32689796">
            <w:pPr>
              <w:rPr>
                <w:rFonts w:ascii="仿宋_GB2312" w:hAnsi="宋体" w:eastAsia="仿宋_GB2312" w:cs="仿宋_GB2312"/>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Pr>
          <w:p w14:paraId="3D31B386">
            <w:pPr>
              <w:rPr>
                <w:rFonts w:ascii="仿宋_GB2312" w:hAnsi="宋体" w:eastAsia="仿宋_GB2312" w:cs="仿宋_GB2312"/>
                <w:color w:val="000000"/>
                <w:sz w:val="24"/>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Pr>
          <w:p w14:paraId="27631E18">
            <w:pPr>
              <w:rPr>
                <w:rFonts w:ascii="仿宋_GB2312" w:hAnsi="宋体" w:eastAsia="仿宋_GB2312" w:cs="仿宋_GB2312"/>
                <w:color w:val="000000"/>
                <w:sz w:val="24"/>
              </w:rPr>
            </w:pPr>
          </w:p>
        </w:tc>
      </w:tr>
      <w:tr w14:paraId="076E3896">
        <w:tblPrEx>
          <w:tblCellMar>
            <w:top w:w="0" w:type="dxa"/>
            <w:left w:w="108" w:type="dxa"/>
            <w:bottom w:w="0" w:type="dxa"/>
            <w:right w:w="108" w:type="dxa"/>
          </w:tblCellMar>
        </w:tblPrEx>
        <w:trPr>
          <w:trHeight w:val="1155" w:hRule="atLeast"/>
        </w:trPr>
        <w:tc>
          <w:tcPr>
            <w:tcW w:w="8245" w:type="dxa"/>
            <w:gridSpan w:val="4"/>
            <w:tcBorders>
              <w:top w:val="single" w:color="000000" w:sz="4" w:space="0"/>
              <w:left w:val="single" w:color="000000" w:sz="4" w:space="0"/>
              <w:bottom w:val="single" w:color="000000" w:sz="4" w:space="0"/>
              <w:right w:val="single" w:color="000000" w:sz="4" w:space="0"/>
            </w:tcBorders>
            <w:shd w:val="clear" w:color="auto" w:fill="auto"/>
          </w:tcPr>
          <w:p w14:paraId="51BAF3D7">
            <w:pPr>
              <w:widowControl/>
              <w:ind w:firstLine="480" w:firstLineChars="200"/>
              <w:textAlignment w:val="top"/>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请各学校如实填写，校长把好关，于2025年7月1日上午下班前将此表发送中心校电子邮箱（baibizxx@163.com），纸质稿中心校校长签字、盖章后交基础教育一股。</w:t>
            </w:r>
          </w:p>
        </w:tc>
      </w:tr>
    </w:tbl>
    <w:p w14:paraId="49732FF7">
      <w:pPr>
        <w:widowControl/>
        <w:jc w:val="left"/>
        <w:rPr>
          <w:rFonts w:ascii="宋体" w:hAnsi="宋体" w:eastAsia="宋体" w:cs="宋体"/>
          <w:color w:val="000000"/>
          <w:kern w:val="0"/>
          <w:sz w:val="32"/>
          <w:szCs w:val="32"/>
          <w:lang w:bidi="ar"/>
        </w:rPr>
      </w:pPr>
    </w:p>
    <w:tbl>
      <w:tblPr>
        <w:tblStyle w:val="3"/>
        <w:tblW w:w="8215" w:type="dxa"/>
        <w:tblInd w:w="96" w:type="dxa"/>
        <w:tblLayout w:type="fixed"/>
        <w:tblCellMar>
          <w:top w:w="0" w:type="dxa"/>
          <w:left w:w="108" w:type="dxa"/>
          <w:bottom w:w="0" w:type="dxa"/>
          <w:right w:w="108" w:type="dxa"/>
        </w:tblCellMar>
      </w:tblPr>
      <w:tblGrid>
        <w:gridCol w:w="2020"/>
        <w:gridCol w:w="1440"/>
        <w:gridCol w:w="1545"/>
        <w:gridCol w:w="1590"/>
        <w:gridCol w:w="1620"/>
      </w:tblGrid>
      <w:tr w14:paraId="276EE453">
        <w:tblPrEx>
          <w:tblCellMar>
            <w:top w:w="0" w:type="dxa"/>
            <w:left w:w="108" w:type="dxa"/>
            <w:bottom w:w="0" w:type="dxa"/>
            <w:right w:w="108" w:type="dxa"/>
          </w:tblCellMar>
        </w:tblPrEx>
        <w:trPr>
          <w:trHeight w:val="468" w:hRule="atLeast"/>
        </w:trPr>
        <w:tc>
          <w:tcPr>
            <w:tcW w:w="8215" w:type="dxa"/>
            <w:gridSpan w:val="5"/>
            <w:tcBorders>
              <w:top w:val="nil"/>
              <w:left w:val="nil"/>
              <w:bottom w:val="nil"/>
              <w:right w:val="nil"/>
            </w:tcBorders>
            <w:shd w:val="clear" w:color="auto" w:fill="auto"/>
            <w:noWrap/>
            <w:vAlign w:val="center"/>
          </w:tcPr>
          <w:p w14:paraId="0001C231">
            <w:pPr>
              <w:widowControl/>
              <w:jc w:val="left"/>
              <w:textAlignment w:val="center"/>
              <w:rPr>
                <w:rFonts w:ascii="华文仿宋" w:hAnsi="华文仿宋" w:eastAsia="华文仿宋" w:cs="华文仿宋"/>
                <w:b/>
                <w:bCs/>
                <w:color w:val="000000"/>
                <w:sz w:val="32"/>
                <w:szCs w:val="32"/>
              </w:rPr>
            </w:pPr>
            <w:r>
              <w:rPr>
                <w:rFonts w:hint="eastAsia" w:ascii="华文仿宋" w:hAnsi="华文仿宋" w:eastAsia="华文仿宋" w:cs="华文仿宋"/>
                <w:b/>
                <w:bCs/>
                <w:color w:val="000000"/>
                <w:kern w:val="0"/>
                <w:sz w:val="32"/>
                <w:szCs w:val="32"/>
                <w:lang w:bidi="ar"/>
              </w:rPr>
              <w:t>附件8：</w:t>
            </w:r>
          </w:p>
        </w:tc>
      </w:tr>
      <w:tr w14:paraId="653C7204">
        <w:tblPrEx>
          <w:tblCellMar>
            <w:top w:w="0" w:type="dxa"/>
            <w:left w:w="108" w:type="dxa"/>
            <w:bottom w:w="0" w:type="dxa"/>
            <w:right w:w="108" w:type="dxa"/>
          </w:tblCellMar>
        </w:tblPrEx>
        <w:trPr>
          <w:trHeight w:val="822" w:hRule="atLeast"/>
        </w:trPr>
        <w:tc>
          <w:tcPr>
            <w:tcW w:w="8215" w:type="dxa"/>
            <w:gridSpan w:val="5"/>
            <w:tcBorders>
              <w:top w:val="nil"/>
              <w:left w:val="nil"/>
              <w:bottom w:val="nil"/>
              <w:right w:val="nil"/>
            </w:tcBorders>
            <w:shd w:val="clear" w:color="auto" w:fill="auto"/>
            <w:noWrap/>
            <w:vAlign w:val="center"/>
          </w:tcPr>
          <w:p w14:paraId="08CC2638">
            <w:pPr>
              <w:widowControl/>
              <w:jc w:val="center"/>
              <w:textAlignment w:val="center"/>
              <w:rPr>
                <w:rFonts w:ascii="仿宋_GB2312" w:hAnsi="宋体" w:eastAsia="仿宋_GB2312" w:cs="仿宋_GB2312"/>
                <w:b/>
                <w:bCs/>
                <w:color w:val="000000"/>
                <w:sz w:val="36"/>
                <w:szCs w:val="36"/>
              </w:rPr>
            </w:pPr>
            <w:r>
              <w:rPr>
                <w:rFonts w:hint="eastAsia" w:ascii="仿宋_GB2312" w:hAnsi="宋体" w:eastAsia="仿宋_GB2312" w:cs="仿宋_GB2312"/>
                <w:b/>
                <w:bCs/>
                <w:color w:val="000000"/>
                <w:kern w:val="0"/>
                <w:sz w:val="36"/>
                <w:szCs w:val="36"/>
                <w:lang w:bidi="ar"/>
              </w:rPr>
              <w:t>安阳县2025年初中七年级招生计划申请表</w:t>
            </w:r>
          </w:p>
        </w:tc>
      </w:tr>
      <w:tr w14:paraId="2E1438F2">
        <w:tblPrEx>
          <w:tblCellMar>
            <w:top w:w="0" w:type="dxa"/>
            <w:left w:w="108" w:type="dxa"/>
            <w:bottom w:w="0" w:type="dxa"/>
            <w:right w:w="108" w:type="dxa"/>
          </w:tblCellMar>
        </w:tblPrEx>
        <w:trPr>
          <w:trHeight w:val="540" w:hRule="atLeast"/>
        </w:trPr>
        <w:tc>
          <w:tcPr>
            <w:tcW w:w="8215" w:type="dxa"/>
            <w:gridSpan w:val="5"/>
            <w:tcBorders>
              <w:top w:val="nil"/>
              <w:left w:val="nil"/>
              <w:bottom w:val="nil"/>
              <w:right w:val="nil"/>
            </w:tcBorders>
            <w:shd w:val="clear" w:color="auto" w:fill="auto"/>
            <w:noWrap/>
            <w:vAlign w:val="center"/>
          </w:tcPr>
          <w:p w14:paraId="31EC3CD9">
            <w:pPr>
              <w:widowControl/>
              <w:jc w:val="left"/>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乡（镇）中心校（章）：白璧镇中心校      初中学校（章）：</w:t>
            </w:r>
          </w:p>
        </w:tc>
      </w:tr>
      <w:tr w14:paraId="6CEBF606">
        <w:tblPrEx>
          <w:tblCellMar>
            <w:top w:w="0" w:type="dxa"/>
            <w:left w:w="108" w:type="dxa"/>
            <w:bottom w:w="0" w:type="dxa"/>
            <w:right w:w="108" w:type="dxa"/>
          </w:tblCellMar>
        </w:tblPrEx>
        <w:trPr>
          <w:trHeight w:val="630" w:hRule="atLeast"/>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3B8D">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初中划片生源小学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E336">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生源人数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9942">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本辖区生源数</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C589">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非本辖区生源数</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FD3F">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计划招生班级数</w:t>
            </w:r>
          </w:p>
        </w:tc>
      </w:tr>
      <w:tr w14:paraId="3CD7E585">
        <w:tblPrEx>
          <w:tblCellMar>
            <w:top w:w="0" w:type="dxa"/>
            <w:left w:w="108" w:type="dxa"/>
            <w:bottom w:w="0" w:type="dxa"/>
            <w:right w:w="108" w:type="dxa"/>
          </w:tblCellMar>
        </w:tblPrEx>
        <w:trPr>
          <w:trHeight w:val="619" w:hRule="atLeast"/>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6870">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白璧集中心小学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E6A3">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335</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6987">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335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5A43">
            <w:pPr>
              <w:jc w:val="center"/>
              <w:rPr>
                <w:rFonts w:ascii="仿宋_GB2312" w:hAnsi="宋体" w:eastAsia="仿宋_GB2312" w:cs="仿宋_GB2312"/>
                <w:color w:val="000000"/>
                <w:sz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00B8">
            <w:pPr>
              <w:jc w:val="center"/>
              <w:rPr>
                <w:rFonts w:ascii="仿宋_GB2312" w:hAnsi="宋体" w:eastAsia="仿宋_GB2312" w:cs="仿宋_GB2312"/>
                <w:color w:val="000000"/>
                <w:sz w:val="24"/>
              </w:rPr>
            </w:pPr>
          </w:p>
        </w:tc>
      </w:tr>
      <w:tr w14:paraId="4FD0EAA9">
        <w:tblPrEx>
          <w:tblCellMar>
            <w:top w:w="0" w:type="dxa"/>
            <w:left w:w="108" w:type="dxa"/>
            <w:bottom w:w="0" w:type="dxa"/>
            <w:right w:w="108" w:type="dxa"/>
          </w:tblCellMar>
        </w:tblPrEx>
        <w:trPr>
          <w:trHeight w:val="619" w:hRule="atLeast"/>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7A93">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北白璧中心小学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BC92">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129</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0394">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129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2694">
            <w:pPr>
              <w:jc w:val="center"/>
              <w:rPr>
                <w:rFonts w:ascii="仿宋_GB2312" w:hAnsi="宋体" w:eastAsia="仿宋_GB2312" w:cs="仿宋_GB2312"/>
                <w:color w:val="000000"/>
                <w:sz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E147">
            <w:pPr>
              <w:jc w:val="center"/>
              <w:rPr>
                <w:rFonts w:ascii="仿宋_GB2312" w:hAnsi="宋体" w:eastAsia="仿宋_GB2312" w:cs="仿宋_GB2312"/>
                <w:color w:val="000000"/>
                <w:sz w:val="24"/>
              </w:rPr>
            </w:pPr>
          </w:p>
        </w:tc>
      </w:tr>
      <w:tr w14:paraId="63E231CD">
        <w:tblPrEx>
          <w:tblCellMar>
            <w:top w:w="0" w:type="dxa"/>
            <w:left w:w="108" w:type="dxa"/>
            <w:bottom w:w="0" w:type="dxa"/>
            <w:right w:w="108" w:type="dxa"/>
          </w:tblCellMar>
        </w:tblPrEx>
        <w:trPr>
          <w:trHeight w:val="619" w:hRule="atLeast"/>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74D0">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张家庄中心小学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2195">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23</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A529">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38CE">
            <w:pPr>
              <w:jc w:val="center"/>
              <w:rPr>
                <w:rFonts w:ascii="仿宋_GB2312" w:hAnsi="宋体" w:eastAsia="仿宋_GB2312" w:cs="仿宋_GB2312"/>
                <w:b/>
                <w:bCs/>
                <w:color w:val="000000"/>
                <w:sz w:val="32"/>
                <w:szCs w:val="32"/>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19F9">
            <w:pPr>
              <w:jc w:val="center"/>
              <w:rPr>
                <w:rFonts w:ascii="仿宋_GB2312" w:hAnsi="宋体" w:eastAsia="仿宋_GB2312" w:cs="仿宋_GB2312"/>
                <w:b/>
                <w:bCs/>
                <w:color w:val="000000"/>
                <w:sz w:val="32"/>
                <w:szCs w:val="32"/>
              </w:rPr>
            </w:pPr>
          </w:p>
        </w:tc>
      </w:tr>
      <w:tr w14:paraId="3120C180">
        <w:tblPrEx>
          <w:tblCellMar>
            <w:top w:w="0" w:type="dxa"/>
            <w:left w:w="108" w:type="dxa"/>
            <w:bottom w:w="0" w:type="dxa"/>
            <w:right w:w="108" w:type="dxa"/>
          </w:tblCellMar>
        </w:tblPrEx>
        <w:trPr>
          <w:trHeight w:val="619" w:hRule="atLeast"/>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C1E2">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羊店明德小学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B1D8">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42</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AEFD">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A382">
            <w:pPr>
              <w:jc w:val="center"/>
              <w:rPr>
                <w:rFonts w:ascii="仿宋_GB2312" w:hAnsi="宋体" w:eastAsia="仿宋_GB2312" w:cs="仿宋_GB2312"/>
                <w:b/>
                <w:bCs/>
                <w:color w:val="000000"/>
                <w:sz w:val="32"/>
                <w:szCs w:val="32"/>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D0B8">
            <w:pPr>
              <w:jc w:val="center"/>
              <w:rPr>
                <w:rFonts w:ascii="仿宋_GB2312" w:hAnsi="宋体" w:eastAsia="仿宋_GB2312" w:cs="仿宋_GB2312"/>
                <w:b/>
                <w:bCs/>
                <w:color w:val="000000"/>
                <w:sz w:val="32"/>
                <w:szCs w:val="32"/>
              </w:rPr>
            </w:pPr>
          </w:p>
        </w:tc>
      </w:tr>
      <w:tr w14:paraId="4C863C30">
        <w:tblPrEx>
          <w:tblCellMar>
            <w:top w:w="0" w:type="dxa"/>
            <w:left w:w="108" w:type="dxa"/>
            <w:bottom w:w="0" w:type="dxa"/>
            <w:right w:w="108" w:type="dxa"/>
          </w:tblCellMar>
        </w:tblPrEx>
        <w:trPr>
          <w:trHeight w:val="619" w:hRule="atLeast"/>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38D6">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西邵科小学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DFCB">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29DD">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782F">
            <w:pPr>
              <w:jc w:val="center"/>
              <w:rPr>
                <w:rFonts w:ascii="仿宋_GB2312" w:hAnsi="宋体" w:eastAsia="仿宋_GB2312" w:cs="仿宋_GB2312"/>
                <w:b/>
                <w:bCs/>
                <w:color w:val="000000"/>
                <w:sz w:val="32"/>
                <w:szCs w:val="32"/>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5274">
            <w:pPr>
              <w:jc w:val="center"/>
              <w:rPr>
                <w:rFonts w:ascii="仿宋_GB2312" w:hAnsi="宋体" w:eastAsia="仿宋_GB2312" w:cs="仿宋_GB2312"/>
                <w:b/>
                <w:bCs/>
                <w:color w:val="000000"/>
                <w:sz w:val="32"/>
                <w:szCs w:val="32"/>
              </w:rPr>
            </w:pPr>
          </w:p>
        </w:tc>
      </w:tr>
      <w:tr w14:paraId="6B38BE9F">
        <w:tblPrEx>
          <w:tblCellMar>
            <w:top w:w="0" w:type="dxa"/>
            <w:left w:w="108" w:type="dxa"/>
            <w:bottom w:w="0" w:type="dxa"/>
            <w:right w:w="108" w:type="dxa"/>
          </w:tblCellMar>
        </w:tblPrEx>
        <w:trPr>
          <w:trHeight w:val="619" w:hRule="atLeast"/>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14B0">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大寒小学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4A93">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0D62">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DAFA">
            <w:pPr>
              <w:jc w:val="center"/>
              <w:rPr>
                <w:rFonts w:ascii="仿宋_GB2312" w:hAnsi="宋体" w:eastAsia="仿宋_GB2312" w:cs="仿宋_GB2312"/>
                <w:b/>
                <w:bCs/>
                <w:color w:val="000000"/>
                <w:sz w:val="32"/>
                <w:szCs w:val="32"/>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C316">
            <w:pPr>
              <w:jc w:val="center"/>
              <w:rPr>
                <w:rFonts w:ascii="仿宋_GB2312" w:hAnsi="宋体" w:eastAsia="仿宋_GB2312" w:cs="仿宋_GB2312"/>
                <w:b/>
                <w:bCs/>
                <w:color w:val="000000"/>
                <w:sz w:val="32"/>
                <w:szCs w:val="32"/>
              </w:rPr>
            </w:pPr>
          </w:p>
        </w:tc>
      </w:tr>
      <w:tr w14:paraId="12FC6350">
        <w:tblPrEx>
          <w:tblCellMar>
            <w:top w:w="0" w:type="dxa"/>
            <w:left w:w="108" w:type="dxa"/>
            <w:bottom w:w="0" w:type="dxa"/>
            <w:right w:w="108" w:type="dxa"/>
          </w:tblCellMar>
        </w:tblPrEx>
        <w:trPr>
          <w:trHeight w:val="619" w:hRule="atLeast"/>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E9C3">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瓦亭小学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B57A">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0719">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F868">
            <w:pPr>
              <w:jc w:val="center"/>
              <w:rPr>
                <w:rFonts w:ascii="仿宋_GB2312" w:hAnsi="宋体" w:eastAsia="仿宋_GB2312" w:cs="仿宋_GB2312"/>
                <w:b/>
                <w:bCs/>
                <w:color w:val="000000"/>
                <w:sz w:val="32"/>
                <w:szCs w:val="32"/>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F2BE">
            <w:pPr>
              <w:jc w:val="center"/>
              <w:rPr>
                <w:rFonts w:ascii="仿宋_GB2312" w:hAnsi="宋体" w:eastAsia="仿宋_GB2312" w:cs="仿宋_GB2312"/>
                <w:b/>
                <w:bCs/>
                <w:color w:val="000000"/>
                <w:sz w:val="32"/>
                <w:szCs w:val="32"/>
              </w:rPr>
            </w:pPr>
          </w:p>
        </w:tc>
      </w:tr>
      <w:tr w14:paraId="538273EF">
        <w:tblPrEx>
          <w:tblCellMar>
            <w:top w:w="0" w:type="dxa"/>
            <w:left w:w="108" w:type="dxa"/>
            <w:bottom w:w="0" w:type="dxa"/>
            <w:right w:w="108" w:type="dxa"/>
          </w:tblCellMar>
        </w:tblPrEx>
        <w:trPr>
          <w:trHeight w:val="619" w:hRule="atLeast"/>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61B3">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常王小学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87C7">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3613">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E447">
            <w:pPr>
              <w:jc w:val="center"/>
              <w:rPr>
                <w:rFonts w:ascii="仿宋_GB2312" w:hAnsi="宋体" w:eastAsia="仿宋_GB2312" w:cs="仿宋_GB2312"/>
                <w:b/>
                <w:bCs/>
                <w:color w:val="000000"/>
                <w:sz w:val="32"/>
                <w:szCs w:val="32"/>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44D7">
            <w:pPr>
              <w:jc w:val="center"/>
              <w:rPr>
                <w:rFonts w:ascii="仿宋_GB2312" w:hAnsi="宋体" w:eastAsia="仿宋_GB2312" w:cs="仿宋_GB2312"/>
                <w:b/>
                <w:bCs/>
                <w:color w:val="000000"/>
                <w:sz w:val="32"/>
                <w:szCs w:val="32"/>
              </w:rPr>
            </w:pPr>
          </w:p>
        </w:tc>
      </w:tr>
      <w:tr w14:paraId="367AD525">
        <w:tblPrEx>
          <w:tblCellMar>
            <w:top w:w="0" w:type="dxa"/>
            <w:left w:w="108" w:type="dxa"/>
            <w:bottom w:w="0" w:type="dxa"/>
            <w:right w:w="108" w:type="dxa"/>
          </w:tblCellMar>
        </w:tblPrEx>
        <w:trPr>
          <w:trHeight w:val="619" w:hRule="atLeast"/>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42C6">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梁固小学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5A60">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28</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FAA8">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DBD9">
            <w:pPr>
              <w:jc w:val="center"/>
              <w:rPr>
                <w:rFonts w:ascii="仿宋_GB2312" w:hAnsi="宋体" w:eastAsia="仿宋_GB2312" w:cs="仿宋_GB2312"/>
                <w:b/>
                <w:bCs/>
                <w:color w:val="000000"/>
                <w:sz w:val="32"/>
                <w:szCs w:val="32"/>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B5CB">
            <w:pPr>
              <w:jc w:val="center"/>
              <w:rPr>
                <w:rFonts w:ascii="仿宋_GB2312" w:hAnsi="宋体" w:eastAsia="仿宋_GB2312" w:cs="仿宋_GB2312"/>
                <w:b/>
                <w:bCs/>
                <w:color w:val="000000"/>
                <w:sz w:val="32"/>
                <w:szCs w:val="32"/>
              </w:rPr>
            </w:pPr>
          </w:p>
        </w:tc>
      </w:tr>
      <w:tr w14:paraId="7E274C73">
        <w:tblPrEx>
          <w:tblCellMar>
            <w:top w:w="0" w:type="dxa"/>
            <w:left w:w="108" w:type="dxa"/>
            <w:bottom w:w="0" w:type="dxa"/>
            <w:right w:w="108" w:type="dxa"/>
          </w:tblCellMar>
        </w:tblPrEx>
        <w:trPr>
          <w:trHeight w:val="619" w:hRule="atLeast"/>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B9EF">
            <w:pPr>
              <w:widowControl/>
              <w:jc w:val="center"/>
              <w:textAlignment w:val="center"/>
              <w:rPr>
                <w:rFonts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合计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BEB2">
            <w:pPr>
              <w:widowControl/>
              <w:jc w:val="center"/>
              <w:textAlignment w:val="center"/>
              <w:rPr>
                <w:rFonts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639</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2D72">
            <w:pPr>
              <w:widowControl/>
              <w:jc w:val="center"/>
              <w:textAlignment w:val="center"/>
              <w:rPr>
                <w:rFonts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639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CFD6">
            <w:pPr>
              <w:jc w:val="center"/>
              <w:rPr>
                <w:rFonts w:ascii="仿宋_GB2312" w:hAnsi="宋体" w:eastAsia="仿宋_GB2312" w:cs="仿宋_GB2312"/>
                <w:b/>
                <w:bCs/>
                <w:color w:val="000000"/>
                <w:sz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F1DA">
            <w:pPr>
              <w:widowControl/>
              <w:jc w:val="center"/>
              <w:textAlignment w:val="center"/>
              <w:rPr>
                <w:rFonts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14</w:t>
            </w:r>
          </w:p>
        </w:tc>
      </w:tr>
      <w:tr w14:paraId="64BFC1EE">
        <w:tblPrEx>
          <w:tblCellMar>
            <w:top w:w="0" w:type="dxa"/>
            <w:left w:w="108" w:type="dxa"/>
            <w:bottom w:w="0" w:type="dxa"/>
            <w:right w:w="108" w:type="dxa"/>
          </w:tblCellMar>
        </w:tblPrEx>
        <w:trPr>
          <w:trHeight w:val="619" w:hRule="atLeast"/>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34AC">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辛安小学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9B80">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90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C037">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90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00A3">
            <w:pPr>
              <w:jc w:val="center"/>
              <w:rPr>
                <w:rFonts w:ascii="仿宋_GB2312" w:hAnsi="宋体" w:eastAsia="仿宋_GB2312" w:cs="仿宋_GB2312"/>
                <w:color w:val="000000"/>
                <w:sz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80F2">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w:t>
            </w:r>
          </w:p>
        </w:tc>
      </w:tr>
      <w:tr w14:paraId="6E7E667C">
        <w:tblPrEx>
          <w:tblCellMar>
            <w:top w:w="0" w:type="dxa"/>
            <w:left w:w="108" w:type="dxa"/>
            <w:bottom w:w="0" w:type="dxa"/>
            <w:right w:w="108" w:type="dxa"/>
          </w:tblCellMar>
        </w:tblPrEx>
        <w:trPr>
          <w:trHeight w:val="619" w:hRule="atLeast"/>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BDC6">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北务小学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DB0A">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80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831C">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80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3317">
            <w:pPr>
              <w:jc w:val="center"/>
              <w:rPr>
                <w:rFonts w:ascii="仿宋_GB2312" w:hAnsi="宋体" w:eastAsia="仿宋_GB2312" w:cs="仿宋_GB2312"/>
                <w:color w:val="000000"/>
                <w:sz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521F">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w:t>
            </w:r>
          </w:p>
        </w:tc>
      </w:tr>
      <w:tr w14:paraId="3EEDF009">
        <w:tblPrEx>
          <w:tblCellMar>
            <w:top w:w="0" w:type="dxa"/>
            <w:left w:w="108" w:type="dxa"/>
            <w:bottom w:w="0" w:type="dxa"/>
            <w:right w:w="108" w:type="dxa"/>
          </w:tblCellMar>
        </w:tblPrEx>
        <w:trPr>
          <w:trHeight w:val="619" w:hRule="atLeast"/>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99C7">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lang w:bidi="ar"/>
              </w:rPr>
              <w:t>二中合计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7FFF">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lang w:bidi="ar"/>
              </w:rPr>
              <w:t>170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9F03">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lang w:bidi="ar"/>
              </w:rPr>
              <w:t>170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64F0">
            <w:pPr>
              <w:jc w:val="center"/>
              <w:rPr>
                <w:rFonts w:ascii="仿宋_GB2312" w:hAnsi="宋体" w:eastAsia="仿宋_GB2312" w:cs="仿宋_GB2312"/>
                <w:b/>
                <w:bCs/>
                <w:color w:val="000000"/>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17A4">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lang w:bidi="ar"/>
              </w:rPr>
              <w:t>4</w:t>
            </w:r>
          </w:p>
        </w:tc>
      </w:tr>
      <w:tr w14:paraId="52B15DC6">
        <w:tblPrEx>
          <w:tblCellMar>
            <w:top w:w="0" w:type="dxa"/>
            <w:left w:w="108" w:type="dxa"/>
            <w:bottom w:w="0" w:type="dxa"/>
            <w:right w:w="108" w:type="dxa"/>
          </w:tblCellMar>
        </w:tblPrEx>
        <w:trPr>
          <w:trHeight w:val="619" w:hRule="atLeast"/>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DABA">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lang w:bidi="ar"/>
              </w:rPr>
              <w:t>合计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B752">
            <w:pPr>
              <w:jc w:val="center"/>
              <w:rPr>
                <w:rFonts w:ascii="仿宋_GB2312" w:hAnsi="宋体" w:eastAsia="仿宋_GB2312" w:cs="仿宋_GB2312"/>
                <w:b/>
                <w:bCs/>
                <w:color w:val="000000"/>
                <w:szCs w:val="21"/>
              </w:rPr>
            </w:pPr>
            <w:r>
              <w:rPr>
                <w:rFonts w:hint="eastAsia" w:ascii="仿宋_GB2312" w:hAnsi="宋体" w:eastAsia="仿宋_GB2312" w:cs="仿宋_GB2312"/>
                <w:b/>
                <w:bCs/>
                <w:color w:val="000000"/>
                <w:szCs w:val="21"/>
              </w:rPr>
              <w:t>809</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32222">
            <w:pPr>
              <w:jc w:val="center"/>
              <w:rPr>
                <w:rFonts w:ascii="仿宋_GB2312" w:hAnsi="宋体" w:eastAsia="仿宋_GB2312" w:cs="仿宋_GB2312"/>
                <w:b/>
                <w:bCs/>
                <w:color w:val="000000"/>
                <w:szCs w:val="21"/>
              </w:rPr>
            </w:pPr>
            <w:r>
              <w:rPr>
                <w:rFonts w:hint="eastAsia" w:ascii="仿宋_GB2312" w:hAnsi="宋体" w:eastAsia="仿宋_GB2312" w:cs="仿宋_GB2312"/>
                <w:b/>
                <w:bCs/>
                <w:color w:val="000000"/>
                <w:szCs w:val="21"/>
              </w:rPr>
              <w:t>809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CFEB">
            <w:pPr>
              <w:jc w:val="center"/>
              <w:rPr>
                <w:rFonts w:ascii="仿宋_GB2312" w:hAnsi="宋体" w:eastAsia="仿宋_GB2312" w:cs="仿宋_GB2312"/>
                <w:b/>
                <w:bCs/>
                <w:color w:val="000000"/>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A3FD">
            <w:pPr>
              <w:jc w:val="center"/>
              <w:rPr>
                <w:rFonts w:ascii="仿宋_GB2312" w:hAnsi="宋体" w:eastAsia="仿宋_GB2312" w:cs="仿宋_GB2312"/>
                <w:b/>
                <w:bCs/>
                <w:color w:val="000000"/>
                <w:szCs w:val="21"/>
              </w:rPr>
            </w:pPr>
            <w:r>
              <w:rPr>
                <w:rFonts w:hint="eastAsia" w:ascii="仿宋_GB2312" w:hAnsi="宋体" w:eastAsia="仿宋_GB2312" w:cs="仿宋_GB2312"/>
                <w:b/>
                <w:bCs/>
                <w:color w:val="000000"/>
                <w:szCs w:val="21"/>
              </w:rPr>
              <w:t>18</w:t>
            </w:r>
          </w:p>
        </w:tc>
      </w:tr>
      <w:tr w14:paraId="1BB16EA9">
        <w:tblPrEx>
          <w:tblCellMar>
            <w:top w:w="0" w:type="dxa"/>
            <w:left w:w="108" w:type="dxa"/>
            <w:bottom w:w="0" w:type="dxa"/>
            <w:right w:w="108" w:type="dxa"/>
          </w:tblCellMar>
        </w:tblPrEx>
        <w:trPr>
          <w:trHeight w:val="980" w:hRule="atLeast"/>
        </w:trPr>
        <w:tc>
          <w:tcPr>
            <w:tcW w:w="8215" w:type="dxa"/>
            <w:gridSpan w:val="5"/>
            <w:tcBorders>
              <w:top w:val="single" w:color="000000" w:sz="4" w:space="0"/>
              <w:left w:val="single" w:color="000000" w:sz="4" w:space="0"/>
              <w:bottom w:val="single" w:color="000000" w:sz="4" w:space="0"/>
              <w:right w:val="single" w:color="000000" w:sz="4" w:space="0"/>
            </w:tcBorders>
            <w:shd w:val="clear" w:color="auto" w:fill="auto"/>
          </w:tcPr>
          <w:p w14:paraId="07E2D1F2">
            <w:pPr>
              <w:widowControl/>
              <w:ind w:firstLine="420" w:firstLineChars="200"/>
              <w:textAlignment w:val="top"/>
              <w:rPr>
                <w:rFonts w:ascii="仿宋_GB2312" w:hAnsi="宋体" w:eastAsia="仿宋_GB2312" w:cs="仿宋_GB2312"/>
                <w:color w:val="000000"/>
                <w:sz w:val="24"/>
              </w:rPr>
            </w:pPr>
            <w:r>
              <w:fldChar w:fldCharType="begin"/>
            </w:r>
            <w:r>
              <w:instrText xml:space="preserve"> HYPERLINK "mailto:jtjjcjy@163.com" \o "mailto:jtjjcjy@163.com" </w:instrText>
            </w:r>
            <w:r>
              <w:fldChar w:fldCharType="separate"/>
            </w:r>
            <w:r>
              <w:rPr>
                <w:rStyle w:val="5"/>
                <w:rFonts w:hint="eastAsia" w:ascii="仿宋_GB2312" w:hAnsi="宋体" w:eastAsia="仿宋_GB2312" w:cs="仿宋_GB2312"/>
                <w:sz w:val="24"/>
                <w:u w:val="none"/>
              </w:rPr>
              <w:t>请各学校如实填写，校长把好关，于2025年7月1日上午下班前将此表发送中心校电子邮箱（baibizxx@163.com），纸质稿中心校校长签字、盖章后交基础教育一股。</w:t>
            </w:r>
            <w:r>
              <w:rPr>
                <w:rStyle w:val="5"/>
                <w:rFonts w:hint="eastAsia" w:ascii="仿宋_GB2312" w:hAnsi="宋体" w:eastAsia="仿宋_GB2312" w:cs="仿宋_GB2312"/>
                <w:sz w:val="24"/>
                <w:u w:val="none"/>
              </w:rPr>
              <w:fldChar w:fldCharType="end"/>
            </w:r>
          </w:p>
        </w:tc>
      </w:tr>
      <w:tr w14:paraId="6DF9C0FE">
        <w:tblPrEx>
          <w:tblCellMar>
            <w:top w:w="0" w:type="dxa"/>
            <w:left w:w="108" w:type="dxa"/>
            <w:bottom w:w="0" w:type="dxa"/>
            <w:right w:w="108" w:type="dxa"/>
          </w:tblCellMar>
        </w:tblPrEx>
        <w:trPr>
          <w:trHeight w:val="695" w:hRule="atLeast"/>
        </w:trPr>
        <w:tc>
          <w:tcPr>
            <w:tcW w:w="8215" w:type="dxa"/>
            <w:gridSpan w:val="5"/>
            <w:tcBorders>
              <w:top w:val="single" w:color="000000" w:sz="4" w:space="0"/>
              <w:left w:val="single" w:color="000000" w:sz="4" w:space="0"/>
              <w:bottom w:val="single" w:color="000000" w:sz="4" w:space="0"/>
              <w:right w:val="single" w:color="000000" w:sz="4" w:space="0"/>
            </w:tcBorders>
            <w:shd w:val="clear" w:color="auto" w:fill="auto"/>
          </w:tcPr>
          <w:p w14:paraId="7F252D0D">
            <w:pPr>
              <w:widowControl/>
              <w:textAlignment w:val="top"/>
              <w:rPr>
                <w:rFonts w:ascii="仿宋_GB2312" w:hAnsi="宋体" w:eastAsia="仿宋_GB2312" w:cs="仿宋_GB2312"/>
                <w:kern w:val="0"/>
                <w:sz w:val="24"/>
                <w:lang w:bidi="ar"/>
              </w:rPr>
            </w:pPr>
            <w:r>
              <w:rPr>
                <w:rFonts w:hint="eastAsia" w:ascii="仿宋_GB2312" w:hAnsi="宋体" w:eastAsia="仿宋_GB2312" w:cs="仿宋_GB2312"/>
                <w:b/>
                <w:bCs/>
                <w:color w:val="000000"/>
                <w:kern w:val="0"/>
                <w:sz w:val="24"/>
                <w:lang w:bidi="ar"/>
              </w:rPr>
              <w:t>中心校校长签字:</w:t>
            </w:r>
          </w:p>
        </w:tc>
      </w:tr>
    </w:tbl>
    <w:p w14:paraId="2A626B91">
      <w:pPr>
        <w:widowControl/>
        <w:jc w:val="left"/>
        <w:rPr>
          <w:rFonts w:ascii="宋体" w:hAnsi="宋体" w:eastAsia="宋体" w:cs="宋体"/>
          <w:color w:val="000000"/>
          <w:kern w:val="0"/>
          <w:sz w:val="32"/>
          <w:szCs w:val="32"/>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0ZGI0OThjNDVmMzYxNGM4NmJkNjdkMmUzMmNiZTcifQ=="/>
  </w:docVars>
  <w:rsids>
    <w:rsidRoot w:val="00F94998"/>
    <w:rsid w:val="000E773F"/>
    <w:rsid w:val="00536B57"/>
    <w:rsid w:val="007C4220"/>
    <w:rsid w:val="008A1944"/>
    <w:rsid w:val="0092190C"/>
    <w:rsid w:val="00E70BDB"/>
    <w:rsid w:val="00F3200D"/>
    <w:rsid w:val="00F94998"/>
    <w:rsid w:val="198128AA"/>
    <w:rsid w:val="25E951C9"/>
    <w:rsid w:val="56CC34F4"/>
    <w:rsid w:val="5E6E3A38"/>
    <w:rsid w:val="78757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6"/>
    <w:uiPriority w:val="0"/>
    <w:rPr>
      <w:sz w:val="18"/>
      <w:szCs w:val="18"/>
    </w:rPr>
  </w:style>
  <w:style w:type="character" w:styleId="5">
    <w:name w:val="Hyperlink"/>
    <w:basedOn w:val="4"/>
    <w:uiPriority w:val="0"/>
    <w:rPr>
      <w:color w:val="0000FF"/>
      <w:u w:val="single"/>
    </w:rPr>
  </w:style>
  <w:style w:type="character" w:customStyle="1" w:styleId="6">
    <w:name w:val="批注框文本 Char"/>
    <w:basedOn w:val="4"/>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6094</Words>
  <Characters>6474</Characters>
  <Lines>49</Lines>
  <Paragraphs>13</Paragraphs>
  <TotalTime>58</TotalTime>
  <ScaleCrop>false</ScaleCrop>
  <LinksUpToDate>false</LinksUpToDate>
  <CharactersWithSpaces>6577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2024-07-05T00:58:00Z</dcterms:created>
  <dc:creator>Administrator</dc:creator>
  <cp:lastModifiedBy>"ChenDian''的爱</cp:lastModifiedBy>
  <cp:lastPrinted>2025-07-01T01:27:00Z</cp:lastPrinted>
  <dcterms:modified xsi:type="dcterms:W3CDTF">2026-05-12T02:52:58Z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9BB67977E886493ABEE224B6A4DF0304_12</vt:lpwstr>
  </property>
  <property fmtid="{D5CDD505-2E9C-101B-9397-08002B2CF9AE}" pid="4" name="KSOTemplateDocerSaveRecord">
    <vt:lpwstr>eyJoZGlkIjoiYzgxYTU0OGRkYjQzMmMxYzhlNDIxODBjNGZhOTIzOWYiLCJ1c2VySWQiOiIzODMyNDc5MjYifQ==</vt:lpwstr>
  </property>
</Properties>
</file>