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AE7E8">
      <w:pPr>
        <w:pStyle w:val="3"/>
        <w:bidi w:val="0"/>
        <w:rPr>
          <w:color w:val="auto"/>
          <w:highlight w:val="none"/>
          <w:lang w:eastAsia="en-US"/>
        </w:rPr>
      </w:pPr>
      <w:r>
        <w:rPr>
          <w:color w:val="auto"/>
          <w:highlight w:val="none"/>
          <w:lang w:eastAsia="en-US"/>
        </w:rPr>
        <w:t>深化农村集体经营性建设用地</w:t>
      </w:r>
      <w:r>
        <w:rPr>
          <w:rFonts w:hint="eastAsia"/>
          <w:color w:val="auto"/>
          <w:highlight w:val="none"/>
          <w:lang w:eastAsia="zh-CN"/>
        </w:rPr>
        <w:t>入市</w:t>
      </w:r>
    </w:p>
    <w:p w14:paraId="3DF907F6">
      <w:pPr>
        <w:pStyle w:val="3"/>
        <w:bidi w:val="0"/>
        <w:rPr>
          <w:rFonts w:hint="eastAsia" w:eastAsia="方正小标宋简体"/>
          <w:color w:val="auto"/>
          <w:highlight w:val="none"/>
          <w:lang w:eastAsia="zh-CN"/>
        </w:rPr>
      </w:pPr>
      <w:r>
        <w:rPr>
          <w:color w:val="auto"/>
          <w:highlight w:val="none"/>
          <w:lang w:eastAsia="en-US"/>
        </w:rPr>
        <w:t>工作方案</w:t>
      </w:r>
      <w:r>
        <w:rPr>
          <w:rFonts w:hint="eastAsia"/>
          <w:color w:val="auto"/>
          <w:highlight w:val="none"/>
          <w:lang w:eastAsia="zh-CN"/>
        </w:rPr>
        <w:t>（征求意见稿）</w:t>
      </w:r>
    </w:p>
    <w:p w14:paraId="372EEBF3">
      <w:pPr>
        <w:pStyle w:val="23"/>
        <w:bidi w:val="0"/>
        <w:rPr>
          <w:highlight w:val="none"/>
          <w:lang w:eastAsia="en-US"/>
        </w:rPr>
      </w:pPr>
    </w:p>
    <w:p w14:paraId="525D7A9B">
      <w:pPr>
        <w:pStyle w:val="23"/>
        <w:bidi w:val="0"/>
        <w:rPr>
          <w:highlight w:val="none"/>
          <w:lang w:eastAsia="en-US"/>
        </w:rPr>
      </w:pPr>
      <w:r>
        <w:rPr>
          <w:rFonts w:hint="eastAsia"/>
          <w:highlight w:val="none"/>
          <w:lang w:eastAsia="zh-CN"/>
        </w:rPr>
        <w:t>为切实保障农民合法权益、积极助推乡村振兴，并在总结试点地区经验基础上规范开展农村集体经营性建设用地入市工作，根据《中华人民共和国土地管理法</w:t>
      </w:r>
      <w:r>
        <w:rPr>
          <w:rFonts w:hint="default"/>
          <w:highlight w:val="none"/>
          <w:lang w:eastAsia="zh-CN"/>
        </w:rPr>
        <w:t>》</w:t>
      </w:r>
      <w:r>
        <w:rPr>
          <w:rFonts w:hint="eastAsia"/>
          <w:highlight w:val="none"/>
          <w:lang w:eastAsia="zh-CN"/>
        </w:rPr>
        <w:t>《中华人民共和国土地管理法实施条例》等法律法规，参照中办、国办《印发〈关于深化农村集体经营性建设用地入市试点工作的意见〉的通知》（厅字〔2022〕34号）、《自然资源部办公厅关于印发〈深化农村集体经营性建设用地入市试点工作方案〉的通知》（自然资办函〔2023〕364号）及省、市工作安排，结合本区实际，制定本工作方案。</w:t>
      </w:r>
    </w:p>
    <w:p w14:paraId="70CB8EED">
      <w:pPr>
        <w:pStyle w:val="5"/>
        <w:bidi w:val="0"/>
        <w:rPr>
          <w:color w:val="auto"/>
          <w:highlight w:val="none"/>
          <w:lang w:eastAsia="en-US"/>
        </w:rPr>
      </w:pPr>
      <w:r>
        <w:rPr>
          <w:color w:val="auto"/>
          <w:highlight w:val="none"/>
          <w:lang w:eastAsia="en-US"/>
        </w:rPr>
        <w:t>总体要求</w:t>
      </w:r>
    </w:p>
    <w:p w14:paraId="45366865">
      <w:pPr>
        <w:pStyle w:val="20"/>
        <w:bidi w:val="0"/>
        <w:rPr>
          <w:rFonts w:hint="eastAsia" w:eastAsia="仿宋_GB2312"/>
          <w:snapToGrid w:val="0"/>
          <w:color w:val="000000"/>
          <w:kern w:val="0"/>
          <w:highlight w:val="none"/>
          <w:lang w:val="en-US" w:eastAsia="zh-CN"/>
        </w:rPr>
      </w:pPr>
      <w:r>
        <w:rPr>
          <w:rStyle w:val="14"/>
          <w:color w:val="auto"/>
          <w:highlight w:val="none"/>
          <w:lang w:val="en-US" w:eastAsia="en-US"/>
        </w:rPr>
        <w:t>指导思想。</w:t>
      </w:r>
      <w:r>
        <w:rPr>
          <w:rFonts w:hint="default" w:eastAsia="仿宋_GB2312"/>
          <w:snapToGrid w:val="0"/>
          <w:color w:val="000000"/>
          <w:kern w:val="0"/>
          <w:highlight w:val="none"/>
          <w:lang w:val="en-US" w:eastAsia="zh-CN"/>
        </w:rPr>
        <w:t>以习近平新时代中国特色社会主义思想为指导，</w:t>
      </w:r>
      <w:r>
        <w:rPr>
          <w:rFonts w:hint="default" w:eastAsia="仿宋_GB2312"/>
          <w:snapToGrid w:val="0"/>
          <w:color w:val="auto"/>
          <w:kern w:val="0"/>
          <w:highlight w:val="none"/>
          <w:lang w:val="en-US" w:eastAsia="zh-CN"/>
        </w:rPr>
        <w:t>全面贯彻</w:t>
      </w:r>
      <w:r>
        <w:rPr>
          <w:rFonts w:hint="eastAsia" w:eastAsia="仿宋_GB2312"/>
          <w:snapToGrid w:val="0"/>
          <w:color w:val="auto"/>
          <w:kern w:val="0"/>
          <w:highlight w:val="none"/>
          <w:lang w:val="en-US" w:eastAsia="zh-CN"/>
        </w:rPr>
        <w:t>党的二十大和二十届历次全会精神</w:t>
      </w:r>
      <w:r>
        <w:rPr>
          <w:rFonts w:hint="default" w:eastAsia="仿宋_GB2312"/>
          <w:snapToGrid w:val="0"/>
          <w:color w:val="auto"/>
          <w:kern w:val="0"/>
          <w:highlight w:val="none"/>
          <w:lang w:val="en-US" w:eastAsia="zh-CN"/>
        </w:rPr>
        <w:t>，深入落实202</w:t>
      </w:r>
      <w:r>
        <w:rPr>
          <w:rFonts w:hint="eastAsia" w:eastAsia="仿宋_GB2312"/>
          <w:snapToGrid w:val="0"/>
          <w:color w:val="auto"/>
          <w:kern w:val="0"/>
          <w:highlight w:val="none"/>
          <w:lang w:val="en-US" w:eastAsia="zh-CN"/>
        </w:rPr>
        <w:t>6</w:t>
      </w:r>
      <w:r>
        <w:rPr>
          <w:rFonts w:hint="default" w:eastAsia="仿宋_GB2312"/>
          <w:snapToGrid w:val="0"/>
          <w:color w:val="auto"/>
          <w:kern w:val="0"/>
          <w:highlight w:val="none"/>
          <w:lang w:val="en-US" w:eastAsia="zh-CN"/>
        </w:rPr>
        <w:t>年中央一号文件关于“有序推进农村集体经营性建设用地入市，支持入市土地优先用于发展集体经济和乡村产业，严禁用于建设商品住房。”的部署要求，立足新发展阶段，准确贯彻新发展理念，服务和融入新发展格局</w:t>
      </w:r>
      <w:r>
        <w:rPr>
          <w:rFonts w:hint="default" w:eastAsia="仿宋_GB2312"/>
          <w:snapToGrid w:val="0"/>
          <w:color w:val="auto"/>
          <w:kern w:val="0"/>
          <w:highlight w:val="none"/>
          <w:lang w:val="en-US" w:eastAsia="en-US"/>
        </w:rPr>
        <w:t>。</w:t>
      </w:r>
    </w:p>
    <w:p w14:paraId="753481C5">
      <w:pPr>
        <w:pStyle w:val="20"/>
        <w:bidi w:val="0"/>
        <w:rPr>
          <w:rFonts w:hint="default" w:eastAsia="仿宋_GB2312"/>
          <w:snapToGrid w:val="0"/>
          <w:color w:val="000000"/>
          <w:kern w:val="0"/>
          <w:highlight w:val="none"/>
          <w:lang w:val="en-US" w:eastAsia="en-US"/>
        </w:rPr>
      </w:pPr>
      <w:r>
        <w:rPr>
          <w:rStyle w:val="14"/>
          <w:color w:val="auto"/>
          <w:highlight w:val="none"/>
          <w:lang w:val="en-US" w:eastAsia="en-US"/>
        </w:rPr>
        <w:t>工作目标。</w:t>
      </w:r>
      <w:r>
        <w:rPr>
          <w:rFonts w:hint="eastAsia" w:eastAsia="仿宋_GB2312"/>
          <w:snapToGrid w:val="0"/>
          <w:color w:val="000000"/>
          <w:kern w:val="0"/>
          <w:highlight w:val="none"/>
          <w:lang w:val="en-US" w:eastAsia="zh-CN"/>
        </w:rPr>
        <w:t>以健全城乡统一的建设用地市场为目标，以符合国土空间规划、用途管制和依法取得为前提，以落实农村集体经营性建设用地使用权权能、形成竞争公平有序的市场配置机制和监管规则、有力保护市场交易主体权利为主线。坚守土地公有制性质不改变、耕地红线不突破、农民利益不受损三条底线，稳妥有序推进农村集体经营性建设用地与国有建设用地同等入市、同权同价，实现在城乡统一的建设用地市场中交易。探索建立兼顾国家、集体和农民的土地增值收益分配机制，激活农村土地资源要素，提高资源配置效率，促进城乡融合发展和乡村振兴</w:t>
      </w:r>
      <w:r>
        <w:rPr>
          <w:rFonts w:hint="default" w:eastAsia="仿宋_GB2312"/>
          <w:snapToGrid w:val="0"/>
          <w:color w:val="000000"/>
          <w:kern w:val="0"/>
          <w:highlight w:val="none"/>
          <w:lang w:val="en-US" w:eastAsia="en-US"/>
        </w:rPr>
        <w:t>。</w:t>
      </w:r>
    </w:p>
    <w:p w14:paraId="7A5E6CAB">
      <w:pPr>
        <w:pStyle w:val="20"/>
        <w:bidi w:val="0"/>
        <w:rPr>
          <w:color w:val="auto"/>
          <w:highlight w:val="none"/>
          <w:lang w:val="en-US" w:eastAsia="en-US"/>
        </w:rPr>
      </w:pPr>
      <w:r>
        <w:rPr>
          <w:color w:val="auto"/>
          <w:highlight w:val="none"/>
          <w:lang w:val="en-US" w:eastAsia="en-US"/>
        </w:rPr>
        <w:t>基本原则</w:t>
      </w:r>
    </w:p>
    <w:p w14:paraId="386133A6">
      <w:pPr>
        <w:pStyle w:val="23"/>
        <w:bidi w:val="0"/>
        <w:rPr>
          <w:rFonts w:hint="eastAsia" w:eastAsia="仿宋_GB2312"/>
          <w:color w:val="auto"/>
          <w:highlight w:val="none"/>
          <w:lang w:val="en-US" w:eastAsia="zh-CN"/>
        </w:rPr>
      </w:pPr>
      <w:r>
        <w:rPr>
          <w:rFonts w:hint="eastAsia"/>
          <w:color w:val="auto"/>
          <w:highlight w:val="none"/>
          <w:lang w:val="en-US" w:eastAsia="zh-CN"/>
        </w:rPr>
        <w:t>坚持审慎稳妥推进。参照国家关于开展农村集体经营性建设用地入市试点工作的有关精神，严格遵循“两项前置条件”（完成国土空间规划编制、完成集体土地所有权</w:t>
      </w:r>
      <w:r>
        <w:rPr>
          <w:rFonts w:hint="eastAsia"/>
          <w:b w:val="0"/>
          <w:bCs w:val="0"/>
          <w:color w:val="auto"/>
          <w:highlight w:val="none"/>
          <w:lang w:val="en-US" w:eastAsia="zh-CN"/>
        </w:rPr>
        <w:t>和使用权</w:t>
      </w:r>
      <w:r>
        <w:rPr>
          <w:rFonts w:hint="eastAsia"/>
          <w:color w:val="auto"/>
          <w:highlight w:val="none"/>
          <w:lang w:val="en-US" w:eastAsia="zh-CN"/>
        </w:rPr>
        <w:t>确权登记）、“三项负面清单”（不能通过农用地转为新增建设用地入市、不能把宅基地纳入入市范围、符合入市条件的土地不能搞商品房开发），确保入市工作依法依规开展。</w:t>
      </w:r>
    </w:p>
    <w:p w14:paraId="65F83EFC">
      <w:pPr>
        <w:pStyle w:val="23"/>
        <w:bidi w:val="0"/>
        <w:rPr>
          <w:color w:val="auto"/>
          <w:highlight w:val="none"/>
          <w:lang w:val="en-US" w:eastAsia="en-US"/>
        </w:rPr>
      </w:pPr>
      <w:r>
        <w:rPr>
          <w:color w:val="auto"/>
          <w:highlight w:val="none"/>
          <w:lang w:val="en-US" w:eastAsia="en-US"/>
        </w:rPr>
        <w:t>坚持守住底线红线。严守土地公有制性质不改变、耕地红线不突破、农民利益不受损的底线。实行统一的国土空间用途管制，落实“三区三线”管控要求</w:t>
      </w:r>
      <w:r>
        <w:rPr>
          <w:rFonts w:hint="eastAsia"/>
          <w:color w:val="auto"/>
          <w:highlight w:val="none"/>
          <w:lang w:val="en-US" w:eastAsia="zh-CN"/>
        </w:rPr>
        <w:t>。严禁利用入市土地建设商品住宅、别墅大院和私人会馆，切实维护农民和集体在内的各方合法权益</w:t>
      </w:r>
      <w:r>
        <w:rPr>
          <w:color w:val="auto"/>
          <w:highlight w:val="none"/>
          <w:lang w:val="en-US" w:eastAsia="en-US"/>
        </w:rPr>
        <w:t>。</w:t>
      </w:r>
    </w:p>
    <w:p w14:paraId="5FB7D346">
      <w:pPr>
        <w:pStyle w:val="23"/>
        <w:bidi w:val="0"/>
        <w:rPr>
          <w:color w:val="auto"/>
          <w:highlight w:val="none"/>
          <w:lang w:val="en-US" w:eastAsia="en-US"/>
        </w:rPr>
      </w:pPr>
      <w:r>
        <w:rPr>
          <w:color w:val="auto"/>
          <w:highlight w:val="none"/>
          <w:lang w:val="en-US" w:eastAsia="en-US"/>
        </w:rPr>
        <w:t>坚持节约集约用地。坚持严控增量、盘活存量、优化结构、提升效率</w:t>
      </w:r>
      <w:r>
        <w:rPr>
          <w:rFonts w:hint="eastAsia"/>
          <w:color w:val="auto"/>
          <w:highlight w:val="none"/>
          <w:lang w:val="en-US" w:eastAsia="zh-CN"/>
        </w:rPr>
        <w:t>，</w:t>
      </w:r>
      <w:r>
        <w:rPr>
          <w:rFonts w:hint="default"/>
          <w:color w:val="auto"/>
          <w:highlight w:val="none"/>
          <w:lang w:val="en-US" w:eastAsia="en-US"/>
        </w:rPr>
        <w:t>盘活利用空闲、废弃、低效利用的存量集体建设用地，合理布局各用途土地，推进基本公共服务均等化。深入推进农村集体土地整理，优先用于支持乡村振兴和农村一二三产业融合发展，提高集体建设用地节约集约利用水平。</w:t>
      </w:r>
    </w:p>
    <w:p w14:paraId="1AD7E803">
      <w:pPr>
        <w:pStyle w:val="23"/>
        <w:bidi w:val="0"/>
        <w:rPr>
          <w:color w:val="auto"/>
          <w:highlight w:val="none"/>
          <w:lang w:val="en-US" w:eastAsia="en-US"/>
        </w:rPr>
      </w:pPr>
      <w:r>
        <w:rPr>
          <w:color w:val="auto"/>
          <w:highlight w:val="none"/>
          <w:lang w:val="en-US" w:eastAsia="en-US"/>
        </w:rPr>
        <w:t>坚持同地同权同责。</w:t>
      </w:r>
      <w:r>
        <w:rPr>
          <w:rFonts w:hint="eastAsia"/>
          <w:color w:val="auto"/>
          <w:highlight w:val="none"/>
          <w:lang w:val="en-US" w:eastAsia="zh-CN"/>
        </w:rPr>
        <w:t>在符合规划、用途管制和依法取得前提下，推进</w:t>
      </w:r>
      <w:r>
        <w:rPr>
          <w:color w:val="auto"/>
          <w:highlight w:val="none"/>
          <w:lang w:val="en-US" w:eastAsia="en-US"/>
        </w:rPr>
        <w:t>农村集体经营性建设用地与国有建设用地同等</w:t>
      </w:r>
      <w:r>
        <w:rPr>
          <w:rFonts w:hint="eastAsia"/>
          <w:color w:val="auto"/>
          <w:highlight w:val="none"/>
          <w:lang w:val="en-US" w:eastAsia="zh-CN"/>
        </w:rPr>
        <w:t>入市</w:t>
      </w:r>
      <w:r>
        <w:rPr>
          <w:color w:val="auto"/>
          <w:highlight w:val="none"/>
          <w:lang w:val="en-US" w:eastAsia="en-US"/>
        </w:rPr>
        <w:t>、同权同价，在城乡统一的建设用地</w:t>
      </w:r>
      <w:r>
        <w:rPr>
          <w:rFonts w:hint="eastAsia"/>
          <w:color w:val="auto"/>
          <w:highlight w:val="none"/>
          <w:lang w:val="en-US" w:eastAsia="zh-CN"/>
        </w:rPr>
        <w:t>市场</w:t>
      </w:r>
      <w:r>
        <w:rPr>
          <w:color w:val="auto"/>
          <w:highlight w:val="none"/>
          <w:lang w:val="en-US" w:eastAsia="en-US"/>
        </w:rPr>
        <w:t>中交易，</w:t>
      </w:r>
      <w:r>
        <w:rPr>
          <w:rFonts w:hint="eastAsia"/>
          <w:color w:val="auto"/>
          <w:highlight w:val="none"/>
          <w:lang w:val="en-US" w:eastAsia="zh-CN"/>
        </w:rPr>
        <w:t>适用相同规则</w:t>
      </w:r>
      <w:r>
        <w:rPr>
          <w:color w:val="auto"/>
          <w:highlight w:val="none"/>
          <w:lang w:val="en-US" w:eastAsia="en-US"/>
        </w:rPr>
        <w:t>，接受</w:t>
      </w:r>
      <w:r>
        <w:rPr>
          <w:rFonts w:hint="eastAsia"/>
          <w:color w:val="auto"/>
          <w:highlight w:val="none"/>
          <w:lang w:val="en-US" w:eastAsia="zh-CN"/>
        </w:rPr>
        <w:t>市场</w:t>
      </w:r>
      <w:r>
        <w:rPr>
          <w:color w:val="auto"/>
          <w:highlight w:val="none"/>
          <w:lang w:val="en-US" w:eastAsia="en-US"/>
        </w:rPr>
        <w:t>监管。</w:t>
      </w:r>
    </w:p>
    <w:p w14:paraId="0178460D">
      <w:pPr>
        <w:pStyle w:val="5"/>
        <w:bidi w:val="0"/>
        <w:rPr>
          <w:color w:val="auto"/>
          <w:highlight w:val="none"/>
          <w:lang w:eastAsia="en-US"/>
        </w:rPr>
      </w:pPr>
      <w:r>
        <w:rPr>
          <w:rFonts w:hint="eastAsia"/>
          <w:color w:val="auto"/>
          <w:highlight w:val="none"/>
          <w:lang w:eastAsia="zh-CN"/>
        </w:rPr>
        <w:t>工作</w:t>
      </w:r>
      <w:r>
        <w:rPr>
          <w:color w:val="auto"/>
          <w:highlight w:val="none"/>
          <w:lang w:eastAsia="en-US"/>
        </w:rPr>
        <w:t>任务</w:t>
      </w:r>
    </w:p>
    <w:p w14:paraId="6F9761B4">
      <w:pPr>
        <w:pStyle w:val="20"/>
        <w:numPr>
          <w:ilvl w:val="0"/>
          <w:numId w:val="8"/>
        </w:numPr>
        <w:bidi w:val="0"/>
        <w:rPr>
          <w:rFonts w:eastAsia="仿宋_GB2312"/>
          <w:snapToGrid w:val="0"/>
          <w:color w:val="auto"/>
          <w:kern w:val="0"/>
          <w:highlight w:val="none"/>
          <w:lang w:val="en-US" w:eastAsia="en-US"/>
        </w:rPr>
      </w:pPr>
      <w:r>
        <w:rPr>
          <w:rStyle w:val="14"/>
          <w:color w:val="auto"/>
          <w:highlight w:val="none"/>
          <w:lang w:val="en-US" w:eastAsia="en-US"/>
        </w:rPr>
        <w:t>强化规划</w:t>
      </w:r>
      <w:r>
        <w:rPr>
          <w:rFonts w:hint="eastAsia"/>
          <w:color w:val="auto"/>
          <w:highlight w:val="none"/>
          <w:lang w:val="en-US" w:eastAsia="zh-CN"/>
        </w:rPr>
        <w:t>约束</w:t>
      </w:r>
      <w:r>
        <w:rPr>
          <w:rStyle w:val="14"/>
          <w:color w:val="auto"/>
          <w:highlight w:val="none"/>
          <w:lang w:val="en-US" w:eastAsia="en-US"/>
        </w:rPr>
        <w:t>和</w:t>
      </w:r>
      <w:r>
        <w:rPr>
          <w:rFonts w:hint="eastAsia"/>
          <w:color w:val="auto"/>
          <w:highlight w:val="none"/>
          <w:lang w:val="en-US" w:eastAsia="zh-CN"/>
        </w:rPr>
        <w:t>用途管制</w:t>
      </w:r>
      <w:r>
        <w:rPr>
          <w:rStyle w:val="14"/>
          <w:color w:val="auto"/>
          <w:highlight w:val="none"/>
          <w:lang w:val="en-US" w:eastAsia="en-US"/>
        </w:rPr>
        <w:t>。</w:t>
      </w:r>
    </w:p>
    <w:p w14:paraId="4C6D1F18">
      <w:pPr>
        <w:pStyle w:val="25"/>
        <w:bidi w:val="0"/>
        <w:rPr>
          <w:color w:val="auto"/>
          <w:highlight w:val="none"/>
          <w:lang w:eastAsia="en-US"/>
        </w:rPr>
      </w:pPr>
      <w:r>
        <w:rPr>
          <w:color w:val="auto"/>
          <w:highlight w:val="none"/>
          <w:lang w:eastAsia="en-US"/>
        </w:rPr>
        <w:t>坚持规划引领。从国土空间保护开发的长远目标、整体利益和公共利益出发，立足底线管控，统筹工业商业等经营性用途与公益性用途的合理功能协调关系，提高节约集约用地水平，以国土空间规划统领集体经营性建设用地</w:t>
      </w:r>
      <w:r>
        <w:rPr>
          <w:rFonts w:hint="eastAsia"/>
          <w:color w:val="auto"/>
          <w:highlight w:val="none"/>
          <w:lang w:eastAsia="en-US"/>
        </w:rPr>
        <w:t>入市</w:t>
      </w:r>
      <w:r>
        <w:rPr>
          <w:color w:val="auto"/>
          <w:highlight w:val="none"/>
          <w:lang w:eastAsia="en-US"/>
        </w:rPr>
        <w:t>。</w:t>
      </w:r>
    </w:p>
    <w:p w14:paraId="1DF1A4A9">
      <w:pPr>
        <w:pStyle w:val="25"/>
        <w:bidi w:val="0"/>
        <w:rPr>
          <w:color w:val="auto"/>
          <w:highlight w:val="none"/>
          <w:lang w:eastAsia="en-US"/>
        </w:rPr>
      </w:pPr>
      <w:r>
        <w:rPr>
          <w:color w:val="auto"/>
          <w:highlight w:val="none"/>
          <w:lang w:eastAsia="en-US"/>
        </w:rPr>
        <w:t>强化条件约束。未确定规划条件的地块，不得</w:t>
      </w:r>
      <w:r>
        <w:rPr>
          <w:rFonts w:hint="eastAsia"/>
          <w:color w:val="auto"/>
          <w:highlight w:val="none"/>
          <w:lang w:eastAsia="en-US"/>
        </w:rPr>
        <w:t>入市</w:t>
      </w:r>
      <w:r>
        <w:rPr>
          <w:color w:val="auto"/>
          <w:highlight w:val="none"/>
          <w:lang w:eastAsia="en-US"/>
        </w:rPr>
        <w:t>交易。依据村庄规划（控制性村庄规划）或国土空间规划“通则式”管理规定出具规划条件。其中，城镇开发边界内的地块，须</w:t>
      </w:r>
      <w:r>
        <w:rPr>
          <w:rFonts w:hint="eastAsia"/>
          <w:color w:val="auto"/>
          <w:highlight w:val="none"/>
          <w:lang w:eastAsia="zh-CN"/>
        </w:rPr>
        <w:t>根据</w:t>
      </w:r>
      <w:r>
        <w:rPr>
          <w:rFonts w:hint="eastAsia"/>
          <w:color w:val="auto"/>
          <w:highlight w:val="none"/>
          <w:lang w:val="en-US" w:eastAsia="en-US"/>
        </w:rPr>
        <w:t>安阳市</w:t>
      </w:r>
      <w:r>
        <w:rPr>
          <w:color w:val="auto"/>
          <w:highlight w:val="none"/>
          <w:lang w:eastAsia="en-US"/>
        </w:rPr>
        <w:t>人民政府批准的国土空间规划控制性详细规划</w:t>
      </w:r>
      <w:r>
        <w:rPr>
          <w:rFonts w:hint="eastAsia"/>
          <w:color w:val="auto"/>
          <w:highlight w:val="none"/>
          <w:lang w:eastAsia="zh-CN"/>
        </w:rPr>
        <w:t>提取</w:t>
      </w:r>
      <w:r>
        <w:rPr>
          <w:color w:val="auto"/>
          <w:highlight w:val="none"/>
          <w:lang w:eastAsia="en-US"/>
        </w:rPr>
        <w:t>规划条件。</w:t>
      </w:r>
    </w:p>
    <w:p w14:paraId="74FE8683">
      <w:pPr>
        <w:pStyle w:val="25"/>
        <w:bidi w:val="0"/>
        <w:rPr>
          <w:color w:val="auto"/>
          <w:highlight w:val="none"/>
          <w:lang w:eastAsia="en-US"/>
        </w:rPr>
      </w:pPr>
      <w:r>
        <w:rPr>
          <w:rFonts w:hint="eastAsia"/>
          <w:color w:val="auto"/>
          <w:highlight w:val="none"/>
          <w:lang w:eastAsia="zh-CN"/>
        </w:rPr>
        <w:t>加强规划许可管理。</w:t>
      </w:r>
      <w:r>
        <w:rPr>
          <w:color w:val="auto"/>
          <w:highlight w:val="none"/>
          <w:lang w:eastAsia="en-US"/>
        </w:rPr>
        <w:t>进一步规范集体经营性建设用地规划许可，优化事项流程，提高审批效率。在乡村范围内，使用集体经营性建设用地的项目，在取得集体经营性建设用地使用权后，办理乡村建设规划许可证；在城镇开发边界内，使用集体经营性建设用地的项目，在取得集体经营性建设用地使用权后，办理建设用地规划许可证、建设工程规划许可证。</w:t>
      </w:r>
    </w:p>
    <w:p w14:paraId="58A47F1B">
      <w:pPr>
        <w:pStyle w:val="25"/>
        <w:bidi w:val="0"/>
        <w:rPr>
          <w:color w:val="auto"/>
          <w:highlight w:val="none"/>
          <w:lang w:eastAsia="en-US"/>
        </w:rPr>
      </w:pPr>
      <w:r>
        <w:rPr>
          <w:color w:val="auto"/>
          <w:highlight w:val="none"/>
          <w:lang w:eastAsia="en-US"/>
        </w:rPr>
        <w:t>建立</w:t>
      </w:r>
      <w:r>
        <w:rPr>
          <w:rFonts w:hint="eastAsia"/>
          <w:color w:val="auto"/>
          <w:highlight w:val="none"/>
          <w:lang w:eastAsia="zh-CN"/>
        </w:rPr>
        <w:t>农村存量建设用地</w:t>
      </w:r>
      <w:r>
        <w:rPr>
          <w:color w:val="auto"/>
          <w:highlight w:val="none"/>
          <w:lang w:eastAsia="en-US"/>
        </w:rPr>
        <w:t>盘活机制。</w:t>
      </w:r>
      <w:r>
        <w:rPr>
          <w:rFonts w:hint="eastAsia"/>
          <w:color w:val="auto"/>
          <w:highlight w:val="none"/>
          <w:lang w:eastAsia="zh-CN"/>
        </w:rPr>
        <w:t>指导农村集体经济组织在依法妥善处理原有用地相关权利人的利益关系后</w:t>
      </w:r>
      <w:r>
        <w:rPr>
          <w:color w:val="auto"/>
          <w:highlight w:val="none"/>
          <w:lang w:eastAsia="en-US"/>
        </w:rPr>
        <w:t>，将符合规划的存量集体建设用地</w:t>
      </w:r>
      <w:r>
        <w:rPr>
          <w:rFonts w:hint="eastAsia"/>
          <w:color w:val="auto"/>
          <w:highlight w:val="none"/>
          <w:lang w:eastAsia="zh-CN"/>
        </w:rPr>
        <w:t>，按照农村集体经营性建设用地入市</w:t>
      </w:r>
      <w:r>
        <w:rPr>
          <w:color w:val="auto"/>
          <w:highlight w:val="none"/>
          <w:lang w:eastAsia="en-US"/>
        </w:rPr>
        <w:t>。深入推进农村集体土地整理，</w:t>
      </w:r>
      <w:r>
        <w:rPr>
          <w:rFonts w:hint="eastAsia"/>
          <w:color w:val="auto"/>
          <w:highlight w:val="none"/>
          <w:lang w:eastAsia="zh-CN"/>
        </w:rPr>
        <w:t>盘活闲置</w:t>
      </w:r>
      <w:r>
        <w:rPr>
          <w:color w:val="auto"/>
          <w:highlight w:val="none"/>
          <w:lang w:eastAsia="en-US"/>
        </w:rPr>
        <w:t>存量建设用地，优先</w:t>
      </w:r>
      <w:r>
        <w:rPr>
          <w:rFonts w:hint="eastAsia"/>
          <w:color w:val="auto"/>
          <w:highlight w:val="none"/>
          <w:lang w:eastAsia="zh-CN"/>
        </w:rPr>
        <w:t>支持</w:t>
      </w:r>
      <w:r>
        <w:rPr>
          <w:color w:val="auto"/>
          <w:highlight w:val="none"/>
          <w:lang w:eastAsia="en-US"/>
        </w:rPr>
        <w:t>乡村振兴和农村一二三产业融合</w:t>
      </w:r>
      <w:r>
        <w:rPr>
          <w:rFonts w:hint="eastAsia"/>
          <w:color w:val="auto"/>
          <w:highlight w:val="none"/>
          <w:lang w:eastAsia="zh-CN"/>
        </w:rPr>
        <w:t>等</w:t>
      </w:r>
      <w:r>
        <w:rPr>
          <w:color w:val="auto"/>
          <w:highlight w:val="none"/>
          <w:lang w:eastAsia="en-US"/>
        </w:rPr>
        <w:t>发展。</w:t>
      </w:r>
    </w:p>
    <w:p w14:paraId="1390E8F5">
      <w:pPr>
        <w:pStyle w:val="20"/>
        <w:numPr>
          <w:ilvl w:val="0"/>
          <w:numId w:val="8"/>
        </w:numPr>
        <w:bidi w:val="0"/>
        <w:rPr>
          <w:b w:val="0"/>
          <w:bCs w:val="0"/>
          <w:color w:val="auto"/>
          <w:highlight w:val="none"/>
          <w:lang w:eastAsia="en-US"/>
        </w:rPr>
      </w:pPr>
      <w:r>
        <w:rPr>
          <w:rStyle w:val="14"/>
          <w:rFonts w:hint="eastAsia" w:ascii="楷体_GB2312" w:hAnsi="楷体_GB2312" w:cs="楷体_GB2312"/>
          <w:b w:val="0"/>
          <w:bCs w:val="0"/>
          <w:color w:val="auto"/>
          <w:sz w:val="32"/>
          <w:szCs w:val="32"/>
          <w:highlight w:val="none"/>
          <w:lang w:eastAsia="zh-CN"/>
        </w:rPr>
        <w:t>明确土地用途和用地方式</w:t>
      </w:r>
      <w:r>
        <w:rPr>
          <w:rStyle w:val="14"/>
          <w:rFonts w:hint="eastAsia" w:ascii="楷体_GB2312" w:hAnsi="楷体_GB2312" w:eastAsia="楷体_GB2312" w:cs="楷体_GB2312"/>
          <w:b w:val="0"/>
          <w:bCs w:val="0"/>
          <w:color w:val="auto"/>
          <w:sz w:val="32"/>
          <w:szCs w:val="32"/>
          <w:highlight w:val="none"/>
          <w:lang w:eastAsia="en-US"/>
        </w:rPr>
        <w:t>。</w:t>
      </w:r>
    </w:p>
    <w:p w14:paraId="1AEA6F7E">
      <w:pPr>
        <w:pStyle w:val="25"/>
        <w:bidi w:val="0"/>
        <w:rPr>
          <w:rFonts w:ascii="Times New Roman" w:hAnsi="Times New Roman" w:eastAsia="仿宋_GB2312" w:cs="Times New Roman"/>
          <w:snapToGrid/>
          <w:color w:val="auto"/>
          <w:kern w:val="2"/>
          <w:szCs w:val="32"/>
          <w:highlight w:val="none"/>
          <w:lang w:eastAsia="en-US"/>
        </w:rPr>
      </w:pPr>
      <w:r>
        <w:rPr>
          <w:rFonts w:hint="default"/>
          <w:color w:val="auto"/>
          <w:highlight w:val="none"/>
          <w:lang w:eastAsia="en-US"/>
        </w:rPr>
        <w:t>开展</w:t>
      </w:r>
      <w:r>
        <w:rPr>
          <w:rFonts w:hint="default"/>
          <w:b w:val="0"/>
          <w:bCs w:val="0"/>
          <w:color w:val="auto"/>
          <w:highlight w:val="none"/>
          <w:lang w:eastAsia="en-US"/>
        </w:rPr>
        <w:t>入市土地摸底调查。</w:t>
      </w:r>
      <w:r>
        <w:rPr>
          <w:rFonts w:hint="default"/>
          <w:color w:val="auto"/>
          <w:highlight w:val="none"/>
          <w:lang w:eastAsia="en-US"/>
        </w:rPr>
        <w:t>以第三次全国国土调查及其年度变更调查成果为基础，依据国土空间规划确定的范围，合理选择拟入市宗地，开展地籍调查，掌握拟入市土地的坐落、四至、界址、面积、权属、规划、流转情况等，摸清可入市后备土地资源。</w:t>
      </w:r>
    </w:p>
    <w:p w14:paraId="21C8DF30">
      <w:pPr>
        <w:pStyle w:val="25"/>
        <w:bidi w:val="0"/>
        <w:rPr>
          <w:rStyle w:val="27"/>
          <w:color w:val="auto"/>
          <w:highlight w:val="none"/>
          <w:lang w:val="en-US" w:eastAsia="en-US"/>
        </w:rPr>
      </w:pPr>
      <w:r>
        <w:rPr>
          <w:rFonts w:ascii="Times New Roman" w:hAnsi="Times New Roman" w:eastAsia="仿宋_GB2312" w:cs="Times New Roman"/>
          <w:b w:val="0"/>
          <w:bCs w:val="0"/>
          <w:snapToGrid/>
          <w:color w:val="auto"/>
          <w:kern w:val="2"/>
          <w:szCs w:val="32"/>
          <w:highlight w:val="none"/>
          <w:lang w:eastAsia="en-US"/>
        </w:rPr>
        <w:t>探索使用方式。在符合规划条件、产业准入和生态环境保护等要求前提下，探索通过出让、出租等方式进行农村集体经营性建设用地</w:t>
      </w:r>
      <w:r>
        <w:rPr>
          <w:rFonts w:hint="default" w:ascii="Times New Roman" w:hAnsi="Times New Roman" w:eastAsia="仿宋_GB2312" w:cs="Times New Roman"/>
          <w:b w:val="0"/>
          <w:bCs w:val="0"/>
          <w:snapToGrid/>
          <w:color w:val="auto"/>
          <w:kern w:val="2"/>
          <w:szCs w:val="32"/>
          <w:highlight w:val="none"/>
          <w:lang w:eastAsia="en-US"/>
        </w:rPr>
        <w:t>入市</w:t>
      </w:r>
      <w:r>
        <w:rPr>
          <w:rFonts w:ascii="Times New Roman" w:hAnsi="Times New Roman" w:eastAsia="仿宋_GB2312" w:cs="Times New Roman"/>
          <w:b w:val="0"/>
          <w:bCs w:val="0"/>
          <w:snapToGrid/>
          <w:color w:val="auto"/>
          <w:kern w:val="2"/>
          <w:szCs w:val="32"/>
          <w:highlight w:val="none"/>
          <w:lang w:eastAsia="en-US"/>
        </w:rPr>
        <w:t>的具体途径，</w:t>
      </w:r>
      <w:r>
        <w:rPr>
          <w:rFonts w:ascii="Times New Roman" w:hAnsi="Times New Roman" w:eastAsia="仿宋_GB2312" w:cs="Times New Roman"/>
          <w:b w:val="0"/>
          <w:bCs w:val="0"/>
          <w:strike w:val="0"/>
          <w:dstrike w:val="0"/>
          <w:snapToGrid/>
          <w:color w:val="auto"/>
          <w:kern w:val="2"/>
          <w:szCs w:val="32"/>
          <w:highlight w:val="none"/>
          <w:lang w:eastAsia="en-US"/>
        </w:rPr>
        <w:t>交易形式包括招标、拍卖、挂牌和协议</w:t>
      </w:r>
      <w:r>
        <w:rPr>
          <w:rFonts w:hint="eastAsia" w:cs="Times New Roman"/>
          <w:b w:val="0"/>
          <w:bCs w:val="0"/>
          <w:strike w:val="0"/>
          <w:dstrike w:val="0"/>
          <w:snapToGrid/>
          <w:color w:val="auto"/>
          <w:kern w:val="2"/>
          <w:szCs w:val="32"/>
          <w:highlight w:val="none"/>
          <w:lang w:eastAsia="zh-CN"/>
        </w:rPr>
        <w:t>出让</w:t>
      </w:r>
      <w:r>
        <w:rPr>
          <w:rFonts w:ascii="Times New Roman" w:hAnsi="Times New Roman" w:eastAsia="仿宋_GB2312" w:cs="Times New Roman"/>
          <w:b w:val="0"/>
          <w:bCs w:val="0"/>
          <w:snapToGrid/>
          <w:color w:val="auto"/>
          <w:kern w:val="2"/>
          <w:szCs w:val="32"/>
          <w:highlight w:val="none"/>
          <w:lang w:eastAsia="en-US"/>
        </w:rPr>
        <w:t>。</w:t>
      </w:r>
      <w:r>
        <w:rPr>
          <w:rFonts w:hint="eastAsia" w:cs="Times New Roman"/>
          <w:b w:val="0"/>
          <w:bCs w:val="0"/>
          <w:snapToGrid/>
          <w:color w:val="auto"/>
          <w:kern w:val="2"/>
          <w:szCs w:val="32"/>
          <w:highlight w:val="none"/>
          <w:lang w:eastAsia="zh-CN"/>
        </w:rPr>
        <w:t>指导农村集体经济组织将一定年限的农村集体经营性建设用地使用权评估作价，以入股、联营等形式与其他单位或个人共同兴办企业。</w:t>
      </w:r>
      <w:r>
        <w:rPr>
          <w:rFonts w:ascii="Times New Roman" w:hAnsi="Times New Roman" w:eastAsia="仿宋_GB2312" w:cs="Times New Roman"/>
          <w:b w:val="0"/>
          <w:bCs w:val="0"/>
          <w:snapToGrid/>
          <w:color w:val="auto"/>
          <w:kern w:val="2"/>
          <w:szCs w:val="32"/>
          <w:highlight w:val="none"/>
          <w:lang w:eastAsia="en-US"/>
        </w:rPr>
        <w:t>鼓励农村集体经济组织探索长期租赁、先租后让、租让结合、弹性年期等供应方式。</w:t>
      </w:r>
    </w:p>
    <w:p w14:paraId="264809AF">
      <w:pPr>
        <w:pStyle w:val="25"/>
        <w:bidi w:val="0"/>
        <w:rPr>
          <w:color w:val="auto"/>
          <w:highlight w:val="none"/>
          <w:lang w:eastAsia="en-US"/>
        </w:rPr>
      </w:pPr>
      <w:r>
        <w:rPr>
          <w:color w:val="auto"/>
          <w:highlight w:val="none"/>
          <w:lang w:eastAsia="en-US"/>
        </w:rPr>
        <w:t>完善用途管理</w:t>
      </w:r>
      <w:r>
        <w:rPr>
          <w:rFonts w:hint="eastAsia"/>
          <w:color w:val="auto"/>
          <w:highlight w:val="none"/>
          <w:lang w:eastAsia="zh-CN"/>
        </w:rPr>
        <w:t>办法</w:t>
      </w:r>
      <w:r>
        <w:rPr>
          <w:color w:val="auto"/>
          <w:highlight w:val="none"/>
          <w:lang w:eastAsia="en-US"/>
        </w:rPr>
        <w:t>。结合我</w:t>
      </w:r>
      <w:r>
        <w:rPr>
          <w:rFonts w:hint="eastAsia"/>
          <w:color w:val="auto"/>
          <w:highlight w:val="none"/>
          <w:lang w:eastAsia="zh-CN"/>
        </w:rPr>
        <w:t>区</w:t>
      </w:r>
      <w:r>
        <w:rPr>
          <w:color w:val="auto"/>
          <w:highlight w:val="none"/>
          <w:lang w:eastAsia="en-US"/>
        </w:rPr>
        <w:t>实际细化</w:t>
      </w:r>
      <w:r>
        <w:rPr>
          <w:rFonts w:hint="eastAsia"/>
          <w:color w:val="auto"/>
          <w:highlight w:val="none"/>
          <w:lang w:eastAsia="zh-CN"/>
        </w:rPr>
        <w:t>入市</w:t>
      </w:r>
      <w:r>
        <w:rPr>
          <w:color w:val="auto"/>
          <w:highlight w:val="none"/>
          <w:lang w:eastAsia="en-US"/>
        </w:rPr>
        <w:t>土地的经营性用途</w:t>
      </w:r>
      <w:r>
        <w:rPr>
          <w:rFonts w:hint="eastAsia"/>
          <w:color w:val="auto"/>
          <w:highlight w:val="none"/>
          <w:lang w:eastAsia="zh-CN"/>
        </w:rPr>
        <w:t>，</w:t>
      </w:r>
      <w:r>
        <w:rPr>
          <w:color w:val="auto"/>
          <w:highlight w:val="none"/>
          <w:lang w:eastAsia="en-US"/>
        </w:rPr>
        <w:t>探索</w:t>
      </w:r>
      <w:r>
        <w:rPr>
          <w:rFonts w:hint="eastAsia"/>
          <w:color w:val="auto"/>
          <w:highlight w:val="none"/>
          <w:lang w:eastAsia="zh-CN"/>
        </w:rPr>
        <w:t>入市</w:t>
      </w:r>
      <w:r>
        <w:rPr>
          <w:color w:val="auto"/>
          <w:highlight w:val="none"/>
          <w:lang w:eastAsia="en-US"/>
        </w:rPr>
        <w:t>土地用于工业、商业、保障性租赁住房等不同用途的管理办法。指导农村集体经济组织参照同类用途的国有建设用地确定</w:t>
      </w:r>
      <w:r>
        <w:rPr>
          <w:rFonts w:hint="eastAsia"/>
          <w:color w:val="auto"/>
          <w:highlight w:val="none"/>
          <w:lang w:eastAsia="zh-CN"/>
        </w:rPr>
        <w:t>入市</w:t>
      </w:r>
      <w:r>
        <w:rPr>
          <w:color w:val="auto"/>
          <w:highlight w:val="none"/>
          <w:lang w:eastAsia="en-US"/>
        </w:rPr>
        <w:t>土地使用年限。</w:t>
      </w:r>
    </w:p>
    <w:p w14:paraId="0E964464">
      <w:pPr>
        <w:pStyle w:val="25"/>
        <w:bidi w:val="0"/>
        <w:rPr>
          <w:color w:val="auto"/>
          <w:highlight w:val="none"/>
          <w:lang w:eastAsia="en-US"/>
        </w:rPr>
      </w:pPr>
      <w:r>
        <w:rPr>
          <w:color w:val="auto"/>
          <w:highlight w:val="none"/>
          <w:lang w:eastAsia="en-US"/>
        </w:rPr>
        <w:t>规范</w:t>
      </w:r>
      <w:r>
        <w:rPr>
          <w:rFonts w:hint="eastAsia"/>
          <w:color w:val="auto"/>
          <w:highlight w:val="none"/>
          <w:lang w:eastAsia="zh-CN"/>
        </w:rPr>
        <w:t>入市</w:t>
      </w:r>
      <w:r>
        <w:rPr>
          <w:color w:val="auto"/>
          <w:highlight w:val="none"/>
          <w:lang w:eastAsia="en-US"/>
        </w:rPr>
        <w:t>流程。在依法落实民主决策机制基础上，指导农村集体经济组织编制农村集体经营性建设用地出让、出租等方案</w:t>
      </w:r>
      <w:r>
        <w:rPr>
          <w:rFonts w:hint="eastAsia"/>
          <w:color w:val="auto"/>
          <w:highlight w:val="none"/>
          <w:lang w:eastAsia="zh-CN"/>
        </w:rPr>
        <w:t>，</w:t>
      </w:r>
      <w:r>
        <w:rPr>
          <w:color w:val="auto"/>
          <w:highlight w:val="none"/>
          <w:lang w:eastAsia="en-US"/>
        </w:rPr>
        <w:t>参照基准地价等政府公示价格，参考土地专业评估机构的评估结果，研究确定</w:t>
      </w:r>
      <w:r>
        <w:rPr>
          <w:rFonts w:hint="eastAsia"/>
          <w:color w:val="auto"/>
          <w:highlight w:val="none"/>
          <w:lang w:eastAsia="zh-CN"/>
        </w:rPr>
        <w:t>入市</w:t>
      </w:r>
      <w:r>
        <w:rPr>
          <w:color w:val="auto"/>
          <w:highlight w:val="none"/>
          <w:lang w:eastAsia="en-US"/>
        </w:rPr>
        <w:t>标底或底价的定价规则。探索建立</w:t>
      </w:r>
      <w:r>
        <w:rPr>
          <w:rFonts w:hint="eastAsia"/>
          <w:color w:val="auto"/>
          <w:highlight w:val="none"/>
          <w:lang w:eastAsia="zh-CN"/>
        </w:rPr>
        <w:t>政府牵头、部门联审</w:t>
      </w:r>
      <w:r>
        <w:rPr>
          <w:color w:val="auto"/>
          <w:highlight w:val="none"/>
          <w:lang w:eastAsia="en-US"/>
        </w:rPr>
        <w:t>的工作机制</w:t>
      </w:r>
      <w:r>
        <w:rPr>
          <w:rFonts w:hint="eastAsia"/>
          <w:color w:val="auto"/>
          <w:highlight w:val="none"/>
          <w:lang w:eastAsia="zh-CN"/>
        </w:rPr>
        <w:t>。</w:t>
      </w:r>
      <w:r>
        <w:rPr>
          <w:color w:val="auto"/>
          <w:highlight w:val="none"/>
          <w:lang w:eastAsia="en-US"/>
        </w:rPr>
        <w:t>指导农村集体经济组织根据方案确定的交易方式，在</w:t>
      </w:r>
      <w:r>
        <w:rPr>
          <w:rFonts w:hint="eastAsia"/>
          <w:color w:val="auto"/>
          <w:highlight w:val="none"/>
          <w:lang w:eastAsia="zh-CN"/>
        </w:rPr>
        <w:t>统一的交易平台</w:t>
      </w:r>
      <w:r>
        <w:rPr>
          <w:color w:val="auto"/>
          <w:highlight w:val="none"/>
          <w:lang w:eastAsia="en-US"/>
        </w:rPr>
        <w:t>公开交易并确定土地使用权人。完善农村集体经营性建设用地</w:t>
      </w:r>
      <w:r>
        <w:rPr>
          <w:rFonts w:hint="eastAsia"/>
          <w:color w:val="auto"/>
          <w:highlight w:val="none"/>
          <w:lang w:eastAsia="zh-CN"/>
        </w:rPr>
        <w:t>入市</w:t>
      </w:r>
      <w:r>
        <w:rPr>
          <w:color w:val="auto"/>
          <w:highlight w:val="none"/>
          <w:lang w:eastAsia="en-US"/>
        </w:rPr>
        <w:t>的</w:t>
      </w:r>
      <w:r>
        <w:rPr>
          <w:rFonts w:hint="eastAsia"/>
          <w:color w:val="auto"/>
          <w:highlight w:val="none"/>
          <w:lang w:eastAsia="zh-CN"/>
        </w:rPr>
        <w:t>市场</w:t>
      </w:r>
      <w:r>
        <w:rPr>
          <w:color w:val="auto"/>
          <w:highlight w:val="none"/>
          <w:lang w:eastAsia="en-US"/>
        </w:rPr>
        <w:t>规则</w:t>
      </w:r>
      <w:r>
        <w:rPr>
          <w:rFonts w:hint="eastAsia"/>
          <w:color w:val="auto"/>
          <w:highlight w:val="none"/>
          <w:lang w:eastAsia="zh-CN"/>
        </w:rPr>
        <w:t>、定价机制和市场</w:t>
      </w:r>
      <w:r>
        <w:rPr>
          <w:color w:val="auto"/>
          <w:highlight w:val="none"/>
          <w:lang w:eastAsia="en-US"/>
        </w:rPr>
        <w:t>竞争机制。</w:t>
      </w:r>
    </w:p>
    <w:p w14:paraId="5BF8FD0F">
      <w:pPr>
        <w:pStyle w:val="20"/>
        <w:numPr>
          <w:ilvl w:val="0"/>
          <w:numId w:val="8"/>
        </w:numPr>
        <w:bidi w:val="0"/>
        <w:rPr>
          <w:rStyle w:val="27"/>
          <w:color w:val="auto"/>
          <w:highlight w:val="none"/>
          <w:lang w:val="en-US" w:eastAsia="en-US"/>
        </w:rPr>
      </w:pPr>
      <w:r>
        <w:rPr>
          <w:color w:val="auto"/>
          <w:highlight w:val="none"/>
          <w:lang w:val="en-US" w:eastAsia="en-US"/>
        </w:rPr>
        <w:t>建立开发利用监管</w:t>
      </w:r>
      <w:r>
        <w:rPr>
          <w:rFonts w:hint="eastAsia"/>
          <w:color w:val="auto"/>
          <w:highlight w:val="none"/>
          <w:lang w:val="en-US" w:eastAsia="zh-CN"/>
        </w:rPr>
        <w:t>制度</w:t>
      </w:r>
      <w:r>
        <w:rPr>
          <w:color w:val="auto"/>
          <w:highlight w:val="none"/>
          <w:lang w:val="en-US" w:eastAsia="en-US"/>
        </w:rPr>
        <w:t>。</w:t>
      </w:r>
    </w:p>
    <w:p w14:paraId="209F092D">
      <w:pPr>
        <w:pStyle w:val="25"/>
        <w:bidi w:val="0"/>
        <w:rPr>
          <w:color w:val="auto"/>
          <w:highlight w:val="none"/>
          <w:lang w:eastAsia="en-US"/>
        </w:rPr>
      </w:pPr>
      <w:r>
        <w:rPr>
          <w:color w:val="auto"/>
          <w:highlight w:val="none"/>
          <w:lang w:eastAsia="en-US"/>
        </w:rPr>
        <w:t>建立监管制度。按照同地同权同责的原则，通过年度</w:t>
      </w:r>
      <w:r>
        <w:rPr>
          <w:rFonts w:hint="eastAsia"/>
          <w:color w:val="auto"/>
          <w:highlight w:val="none"/>
          <w:lang w:eastAsia="zh-CN"/>
        </w:rPr>
        <w:t>集体经营性</w:t>
      </w:r>
      <w:r>
        <w:rPr>
          <w:color w:val="auto"/>
          <w:highlight w:val="none"/>
          <w:lang w:eastAsia="en-US"/>
        </w:rPr>
        <w:t>建设用地供应计划</w:t>
      </w:r>
      <w:r>
        <w:rPr>
          <w:rFonts w:hint="eastAsia"/>
          <w:color w:val="auto"/>
          <w:highlight w:val="none"/>
          <w:lang w:eastAsia="zh-CN"/>
        </w:rPr>
        <w:t>管理</w:t>
      </w:r>
      <w:r>
        <w:rPr>
          <w:color w:val="auto"/>
          <w:highlight w:val="none"/>
          <w:lang w:eastAsia="en-US"/>
        </w:rPr>
        <w:t>、</w:t>
      </w:r>
      <w:r>
        <w:rPr>
          <w:rFonts w:hint="eastAsia"/>
          <w:color w:val="auto"/>
          <w:highlight w:val="none"/>
          <w:lang w:eastAsia="zh-CN"/>
        </w:rPr>
        <w:t>入市</w:t>
      </w:r>
      <w:r>
        <w:rPr>
          <w:color w:val="auto"/>
          <w:highlight w:val="none"/>
          <w:lang w:eastAsia="en-US"/>
        </w:rPr>
        <w:t>价格监管、开发利用申报、土地</w:t>
      </w:r>
      <w:r>
        <w:rPr>
          <w:rFonts w:hint="eastAsia"/>
          <w:color w:val="auto"/>
          <w:highlight w:val="none"/>
          <w:lang w:eastAsia="zh-CN"/>
        </w:rPr>
        <w:t>市场</w:t>
      </w:r>
      <w:r>
        <w:rPr>
          <w:color w:val="auto"/>
          <w:highlight w:val="none"/>
          <w:lang w:eastAsia="en-US"/>
        </w:rPr>
        <w:t>动态巡查、信用体系管理等措施，建立和完善城乡统一的建设用地</w:t>
      </w:r>
      <w:r>
        <w:rPr>
          <w:rFonts w:hint="eastAsia"/>
          <w:color w:val="auto"/>
          <w:highlight w:val="none"/>
          <w:lang w:eastAsia="zh-CN"/>
        </w:rPr>
        <w:t>市场</w:t>
      </w:r>
      <w:r>
        <w:rPr>
          <w:color w:val="auto"/>
          <w:highlight w:val="none"/>
          <w:lang w:eastAsia="en-US"/>
        </w:rPr>
        <w:t>监管机制。</w:t>
      </w:r>
      <w:r>
        <w:rPr>
          <w:rFonts w:hint="eastAsia"/>
          <w:color w:val="auto"/>
          <w:highlight w:val="none"/>
          <w:lang w:eastAsia="zh-CN"/>
        </w:rPr>
        <w:t>研究建立三方监管协议，明确区、镇两级政府及街道办事处共同对农村集体经济组织和土地使用权人使用农村集体经营性建设用地进行监管的事项清单和具体措施。</w:t>
      </w:r>
    </w:p>
    <w:p w14:paraId="7F85B505">
      <w:pPr>
        <w:pStyle w:val="25"/>
        <w:bidi w:val="0"/>
        <w:rPr>
          <w:color w:val="auto"/>
          <w:highlight w:val="none"/>
          <w:lang w:eastAsia="en-US"/>
        </w:rPr>
      </w:pPr>
      <w:r>
        <w:rPr>
          <w:color w:val="auto"/>
          <w:highlight w:val="none"/>
          <w:lang w:eastAsia="en-US"/>
        </w:rPr>
        <w:t>促进节约集约。</w:t>
      </w:r>
      <w:r>
        <w:rPr>
          <w:rFonts w:hint="eastAsia"/>
          <w:color w:val="auto"/>
          <w:highlight w:val="none"/>
          <w:lang w:eastAsia="zh-CN"/>
        </w:rPr>
        <w:t>参照国有建设用地中闲置土地的处置要求，</w:t>
      </w:r>
      <w:r>
        <w:rPr>
          <w:color w:val="auto"/>
          <w:highlight w:val="none"/>
          <w:lang w:eastAsia="en-US"/>
        </w:rPr>
        <w:t>探索政府与农村集体经济组织共同监管的形式，加强对</w:t>
      </w:r>
      <w:r>
        <w:rPr>
          <w:rFonts w:hint="eastAsia"/>
          <w:color w:val="auto"/>
          <w:highlight w:val="none"/>
          <w:lang w:eastAsia="zh-CN"/>
        </w:rPr>
        <w:t>入市</w:t>
      </w:r>
      <w:r>
        <w:rPr>
          <w:color w:val="auto"/>
          <w:highlight w:val="none"/>
          <w:lang w:eastAsia="en-US"/>
        </w:rPr>
        <w:t>土地闲置的监管和处置。探索建立覆盖农村集体建设用地的土地使用标准体系，总结推广农村集体建设用地适用的节地技术和节地模式，更多发挥</w:t>
      </w:r>
      <w:r>
        <w:rPr>
          <w:rFonts w:hint="eastAsia"/>
          <w:color w:val="auto"/>
          <w:highlight w:val="none"/>
          <w:lang w:eastAsia="zh-CN"/>
        </w:rPr>
        <w:t>市场</w:t>
      </w:r>
      <w:r>
        <w:rPr>
          <w:color w:val="auto"/>
          <w:highlight w:val="none"/>
          <w:lang w:eastAsia="en-US"/>
        </w:rPr>
        <w:t>机制促进节约集约用地。</w:t>
      </w:r>
    </w:p>
    <w:p w14:paraId="1B4DF626">
      <w:pPr>
        <w:pStyle w:val="25"/>
        <w:bidi w:val="0"/>
        <w:rPr>
          <w:strike w:val="0"/>
          <w:dstrike w:val="0"/>
          <w:color w:val="auto"/>
          <w:highlight w:val="none"/>
          <w:lang w:eastAsia="en-US"/>
        </w:rPr>
      </w:pPr>
      <w:r>
        <w:rPr>
          <w:strike w:val="0"/>
          <w:dstrike w:val="0"/>
          <w:color w:val="auto"/>
          <w:highlight w:val="none"/>
          <w:lang w:eastAsia="en-US"/>
        </w:rPr>
        <w:t>妥善</w:t>
      </w:r>
      <w:r>
        <w:rPr>
          <w:rFonts w:hint="eastAsia"/>
          <w:strike w:val="0"/>
          <w:dstrike w:val="0"/>
          <w:color w:val="auto"/>
          <w:highlight w:val="none"/>
          <w:lang w:eastAsia="zh-CN"/>
        </w:rPr>
        <w:t>处理</w:t>
      </w:r>
      <w:r>
        <w:rPr>
          <w:strike w:val="0"/>
          <w:dstrike w:val="0"/>
          <w:color w:val="auto"/>
          <w:highlight w:val="none"/>
          <w:lang w:eastAsia="en-US"/>
        </w:rPr>
        <w:t>遗留问题。探索解决集体建设用地历史遗留问题的政策措施，研究对2009年以前已经形成并经第二次全国土地调查为建设用地、但尚未取得合法用地手续的历史遗留建设用地的处置办法。在合法合规的基础上，充分发挥村民自治作用，稳妥解决缺乏合法手续、土地利用效率低等历史遗留问题。</w:t>
      </w:r>
    </w:p>
    <w:p w14:paraId="7D31B789">
      <w:pPr>
        <w:pStyle w:val="20"/>
        <w:numPr>
          <w:ilvl w:val="0"/>
          <w:numId w:val="8"/>
        </w:numPr>
        <w:bidi w:val="0"/>
        <w:rPr>
          <w:rStyle w:val="27"/>
          <w:color w:val="auto"/>
          <w:highlight w:val="none"/>
          <w:lang w:val="en-US" w:eastAsia="en-US"/>
        </w:rPr>
      </w:pPr>
      <w:r>
        <w:rPr>
          <w:color w:val="auto"/>
          <w:highlight w:val="none"/>
          <w:lang w:val="en-US" w:eastAsia="en-US"/>
        </w:rPr>
        <w:t>健全土地增值收益分配机制。</w:t>
      </w:r>
    </w:p>
    <w:p w14:paraId="228EE394">
      <w:pPr>
        <w:pStyle w:val="25"/>
        <w:bidi w:val="0"/>
        <w:rPr>
          <w:b w:val="0"/>
          <w:bCs w:val="0"/>
          <w:color w:val="auto"/>
          <w:highlight w:val="none"/>
          <w:lang w:eastAsia="en-US"/>
        </w:rPr>
      </w:pPr>
      <w:r>
        <w:rPr>
          <w:b w:val="0"/>
          <w:bCs w:val="0"/>
          <w:color w:val="auto"/>
          <w:highlight w:val="none"/>
          <w:lang w:eastAsia="en-US"/>
        </w:rPr>
        <w:t>完善</w:t>
      </w:r>
      <w:r>
        <w:rPr>
          <w:rFonts w:hint="eastAsia"/>
          <w:b w:val="0"/>
          <w:bCs w:val="0"/>
          <w:color w:val="auto"/>
          <w:highlight w:val="none"/>
          <w:lang w:eastAsia="zh-CN"/>
        </w:rPr>
        <w:t>土地增值收益管理机制</w:t>
      </w:r>
      <w:r>
        <w:rPr>
          <w:b w:val="0"/>
          <w:bCs w:val="0"/>
          <w:color w:val="auto"/>
          <w:highlight w:val="none"/>
          <w:lang w:eastAsia="en-US"/>
        </w:rPr>
        <w:t>。综合分析农村集体经营性建设用地用于工业、商业和保障性租赁住房建设等不同用途的土地增值收益情况，确保农村集体经济组织及其成员从不同用途</w:t>
      </w:r>
      <w:r>
        <w:rPr>
          <w:rFonts w:hint="eastAsia"/>
          <w:b w:val="0"/>
          <w:bCs w:val="0"/>
          <w:color w:val="auto"/>
          <w:highlight w:val="none"/>
          <w:lang w:eastAsia="zh-CN"/>
        </w:rPr>
        <w:t>入市</w:t>
      </w:r>
      <w:r>
        <w:rPr>
          <w:b w:val="0"/>
          <w:bCs w:val="0"/>
          <w:color w:val="auto"/>
          <w:highlight w:val="none"/>
          <w:lang w:eastAsia="en-US"/>
        </w:rPr>
        <w:t>土地所得收益基本均衡。坚持兼顾国家、农村集体经济组织和农民利益，结合我</w:t>
      </w:r>
      <w:r>
        <w:rPr>
          <w:rFonts w:hint="eastAsia"/>
          <w:b w:val="0"/>
          <w:bCs w:val="0"/>
          <w:color w:val="auto"/>
          <w:highlight w:val="none"/>
          <w:lang w:eastAsia="zh-CN"/>
        </w:rPr>
        <w:t>区</w:t>
      </w:r>
      <w:r>
        <w:rPr>
          <w:b w:val="0"/>
          <w:bCs w:val="0"/>
          <w:color w:val="auto"/>
          <w:highlight w:val="none"/>
          <w:lang w:eastAsia="en-US"/>
        </w:rPr>
        <w:t>实际，</w:t>
      </w:r>
      <w:r>
        <w:rPr>
          <w:rFonts w:hint="eastAsia"/>
          <w:b w:val="0"/>
          <w:bCs w:val="0"/>
          <w:color w:val="auto"/>
          <w:highlight w:val="none"/>
          <w:lang w:eastAsia="zh-CN"/>
        </w:rPr>
        <w:t>指导农村集体经济组织之间合作入市、合理分配收益。</w:t>
      </w:r>
    </w:p>
    <w:p w14:paraId="45147A73">
      <w:pPr>
        <w:pStyle w:val="25"/>
        <w:bidi w:val="0"/>
        <w:rPr>
          <w:color w:val="auto"/>
          <w:highlight w:val="none"/>
          <w:lang w:eastAsia="en-US"/>
        </w:rPr>
      </w:pPr>
      <w:r>
        <w:rPr>
          <w:color w:val="auto"/>
          <w:highlight w:val="none"/>
          <w:lang w:eastAsia="en-US"/>
        </w:rPr>
        <w:t>规范</w:t>
      </w:r>
      <w:r>
        <w:rPr>
          <w:rFonts w:hint="eastAsia"/>
          <w:color w:val="auto"/>
          <w:highlight w:val="none"/>
          <w:lang w:eastAsia="zh-CN"/>
        </w:rPr>
        <w:t>农民集体</w:t>
      </w:r>
      <w:r>
        <w:rPr>
          <w:color w:val="auto"/>
          <w:highlight w:val="none"/>
          <w:lang w:eastAsia="en-US"/>
        </w:rPr>
        <w:t>收益分配。指导农村集体经济组织设立农村集体经营性建设用地</w:t>
      </w:r>
      <w:r>
        <w:rPr>
          <w:rFonts w:hint="eastAsia"/>
          <w:color w:val="auto"/>
          <w:highlight w:val="none"/>
          <w:lang w:eastAsia="zh-CN"/>
        </w:rPr>
        <w:t>入市</w:t>
      </w:r>
      <w:r>
        <w:rPr>
          <w:color w:val="auto"/>
          <w:highlight w:val="none"/>
          <w:lang w:eastAsia="en-US"/>
        </w:rPr>
        <w:t>资金专门账户，按规定比例留归集体的土地增值收益，纳入农村集体资产统一管理，及时公开资金使用情况。完善相应政策措施，明确分配原则，规范分配程序，监督收益使用，规避资金风险，坚决杜绝</w:t>
      </w:r>
      <w:r>
        <w:rPr>
          <w:rFonts w:hint="eastAsia"/>
          <w:color w:val="auto"/>
          <w:highlight w:val="none"/>
          <w:lang w:eastAsia="zh-CN"/>
        </w:rPr>
        <w:t>入市</w:t>
      </w:r>
      <w:r>
        <w:rPr>
          <w:color w:val="auto"/>
          <w:highlight w:val="none"/>
          <w:lang w:eastAsia="en-US"/>
        </w:rPr>
        <w:t>收益被</w:t>
      </w:r>
      <w:r>
        <w:rPr>
          <w:rFonts w:hint="eastAsia"/>
          <w:color w:val="auto"/>
          <w:highlight w:val="none"/>
          <w:lang w:eastAsia="zh-CN"/>
        </w:rPr>
        <w:t>截留</w:t>
      </w:r>
      <w:r>
        <w:rPr>
          <w:color w:val="auto"/>
          <w:highlight w:val="none"/>
          <w:lang w:eastAsia="en-US"/>
        </w:rPr>
        <w:t>、挪用，切实维护农村集体经济组织及其成员的合法权益。</w:t>
      </w:r>
    </w:p>
    <w:p w14:paraId="228F77B0">
      <w:pPr>
        <w:pStyle w:val="20"/>
        <w:numPr>
          <w:ilvl w:val="0"/>
          <w:numId w:val="8"/>
        </w:numPr>
        <w:shd w:val="clear"/>
        <w:bidi w:val="0"/>
        <w:rPr>
          <w:rStyle w:val="27"/>
          <w:color w:val="auto"/>
          <w:highlight w:val="none"/>
          <w:lang w:val="en-US" w:eastAsia="en-US"/>
        </w:rPr>
      </w:pPr>
      <w:r>
        <w:rPr>
          <w:rFonts w:hint="eastAsia"/>
          <w:color w:val="auto"/>
          <w:highlight w:val="none"/>
          <w:lang w:val="en-US" w:eastAsia="zh-CN"/>
        </w:rPr>
        <w:t>完善入市</w:t>
      </w:r>
      <w:r>
        <w:rPr>
          <w:color w:val="auto"/>
          <w:highlight w:val="none"/>
          <w:lang w:val="en-US" w:eastAsia="en-US"/>
        </w:rPr>
        <w:t>和征收</w:t>
      </w:r>
      <w:r>
        <w:rPr>
          <w:rFonts w:hint="eastAsia"/>
          <w:color w:val="auto"/>
          <w:highlight w:val="none"/>
          <w:lang w:val="en-US" w:eastAsia="zh-CN"/>
        </w:rPr>
        <w:t>协同机制</w:t>
      </w:r>
      <w:r>
        <w:rPr>
          <w:color w:val="auto"/>
          <w:highlight w:val="none"/>
          <w:lang w:val="en-US" w:eastAsia="en-US"/>
        </w:rPr>
        <w:t>。</w:t>
      </w:r>
    </w:p>
    <w:p w14:paraId="1B37533C">
      <w:pPr>
        <w:pStyle w:val="25"/>
        <w:bidi w:val="0"/>
        <w:rPr>
          <w:color w:val="auto"/>
          <w:highlight w:val="none"/>
          <w:lang w:eastAsia="en-US"/>
        </w:rPr>
      </w:pPr>
      <w:r>
        <w:rPr>
          <w:color w:val="auto"/>
          <w:highlight w:val="none"/>
          <w:lang w:eastAsia="en-US"/>
        </w:rPr>
        <w:t>保障项目用地。按照宏观经济调控、产业发展布局、基础设施配套等要求，统筹国有和集体建设用地数量</w:t>
      </w:r>
      <w:r>
        <w:rPr>
          <w:rFonts w:hint="eastAsia"/>
          <w:color w:val="auto"/>
          <w:highlight w:val="none"/>
          <w:lang w:eastAsia="zh-CN"/>
        </w:rPr>
        <w:t>，制定</w:t>
      </w:r>
      <w:r>
        <w:rPr>
          <w:rFonts w:hint="eastAsia"/>
          <w:color w:val="auto"/>
          <w:highlight w:val="none"/>
          <w:lang w:val="en-US" w:eastAsia="zh-CN"/>
        </w:rPr>
        <w:t>集体经营性建设用地年度供应计划，探索实现</w:t>
      </w:r>
      <w:r>
        <w:rPr>
          <w:rFonts w:hint="eastAsia"/>
          <w:color w:val="auto"/>
          <w:highlight w:val="none"/>
          <w:lang w:eastAsia="zh-CN"/>
        </w:rPr>
        <w:t>两种用地制度相互补充的政策措施</w:t>
      </w:r>
      <w:r>
        <w:rPr>
          <w:rFonts w:hint="eastAsia"/>
          <w:color w:val="auto"/>
          <w:highlight w:val="none"/>
          <w:u w:val="none"/>
          <w:lang w:eastAsia="zh-CN"/>
        </w:rPr>
        <w:t>。</w:t>
      </w:r>
    </w:p>
    <w:p w14:paraId="5245AD93">
      <w:pPr>
        <w:pStyle w:val="25"/>
        <w:bidi w:val="0"/>
        <w:rPr>
          <w:color w:val="auto"/>
          <w:highlight w:val="none"/>
          <w:lang w:eastAsia="en-US"/>
        </w:rPr>
      </w:pPr>
      <w:r>
        <w:rPr>
          <w:color w:val="auto"/>
          <w:highlight w:val="none"/>
          <w:lang w:eastAsia="en-US"/>
        </w:rPr>
        <w:t>保护农民权益。按照不低于被征地农民补偿水平的标准，指导农村集体经济组织做好</w:t>
      </w:r>
      <w:r>
        <w:rPr>
          <w:rFonts w:hint="eastAsia"/>
          <w:color w:val="auto"/>
          <w:highlight w:val="none"/>
          <w:lang w:eastAsia="zh-CN"/>
        </w:rPr>
        <w:t>入市</w:t>
      </w:r>
      <w:r>
        <w:rPr>
          <w:color w:val="auto"/>
          <w:highlight w:val="none"/>
          <w:lang w:eastAsia="en-US"/>
        </w:rPr>
        <w:t>涉及使用权调整相关农民的补偿等工作。研究集体建设用地</w:t>
      </w:r>
      <w:r>
        <w:rPr>
          <w:rFonts w:hint="eastAsia"/>
          <w:color w:val="auto"/>
          <w:highlight w:val="none"/>
          <w:lang w:eastAsia="zh-CN"/>
        </w:rPr>
        <w:t>入市</w:t>
      </w:r>
      <w:r>
        <w:rPr>
          <w:color w:val="auto"/>
          <w:highlight w:val="none"/>
          <w:lang w:eastAsia="en-US"/>
        </w:rPr>
        <w:t>收益与土地征收补偿大体平衡的有效措施。</w:t>
      </w:r>
    </w:p>
    <w:p w14:paraId="669B48CB">
      <w:pPr>
        <w:pStyle w:val="20"/>
        <w:numPr>
          <w:ilvl w:val="0"/>
          <w:numId w:val="8"/>
        </w:numPr>
        <w:bidi w:val="0"/>
        <w:rPr>
          <w:rStyle w:val="27"/>
          <w:color w:val="auto"/>
          <w:highlight w:val="none"/>
          <w:lang w:val="en-US" w:eastAsia="en-US"/>
        </w:rPr>
      </w:pPr>
      <w:r>
        <w:rPr>
          <w:color w:val="auto"/>
          <w:highlight w:val="none"/>
          <w:lang w:val="en-US" w:eastAsia="en-US"/>
        </w:rPr>
        <w:t>探索</w:t>
      </w:r>
      <w:r>
        <w:rPr>
          <w:rFonts w:hint="eastAsia"/>
          <w:color w:val="auto"/>
          <w:highlight w:val="none"/>
          <w:lang w:val="en-US" w:eastAsia="zh-CN"/>
        </w:rPr>
        <w:t>入市</w:t>
      </w:r>
      <w:r>
        <w:rPr>
          <w:color w:val="auto"/>
          <w:highlight w:val="none"/>
          <w:lang w:val="en-US" w:eastAsia="en-US"/>
        </w:rPr>
        <w:t>土地用于保障性租赁住房建设。</w:t>
      </w:r>
    </w:p>
    <w:p w14:paraId="1DA6D25A">
      <w:pPr>
        <w:pStyle w:val="25"/>
        <w:bidi w:val="0"/>
        <w:rPr>
          <w:color w:val="auto"/>
          <w:highlight w:val="none"/>
          <w:lang w:eastAsia="en-US"/>
        </w:rPr>
      </w:pPr>
      <w:r>
        <w:rPr>
          <w:rFonts w:hint="eastAsia"/>
          <w:color w:val="auto"/>
          <w:highlight w:val="none"/>
          <w:lang w:eastAsia="zh-CN"/>
        </w:rPr>
        <w:t>支持</w:t>
      </w:r>
      <w:r>
        <w:rPr>
          <w:color w:val="auto"/>
          <w:highlight w:val="none"/>
          <w:lang w:eastAsia="en-US"/>
        </w:rPr>
        <w:t>建设保障性租赁住房。</w:t>
      </w:r>
      <w:r>
        <w:rPr>
          <w:rFonts w:hint="eastAsia"/>
          <w:color w:val="auto"/>
          <w:highlight w:val="none"/>
          <w:lang w:eastAsia="zh-CN"/>
        </w:rPr>
        <w:t>落实国家加快发展保障性租赁住房发展要求，</w:t>
      </w:r>
      <w:r>
        <w:rPr>
          <w:color w:val="auto"/>
          <w:highlight w:val="none"/>
          <w:lang w:eastAsia="en-US"/>
        </w:rPr>
        <w:t>探索利用</w:t>
      </w:r>
      <w:r>
        <w:rPr>
          <w:rFonts w:hint="eastAsia"/>
          <w:color w:val="auto"/>
          <w:highlight w:val="none"/>
          <w:lang w:eastAsia="zh-CN"/>
        </w:rPr>
        <w:t>入市</w:t>
      </w:r>
      <w:r>
        <w:rPr>
          <w:color w:val="auto"/>
          <w:highlight w:val="none"/>
          <w:lang w:eastAsia="en-US"/>
        </w:rPr>
        <w:t>土地建设保障性租赁住房，合理解决符合条件的新</w:t>
      </w:r>
      <w:r>
        <w:rPr>
          <w:rFonts w:hint="eastAsia"/>
          <w:color w:val="auto"/>
          <w:highlight w:val="none"/>
          <w:lang w:eastAsia="zh-CN"/>
        </w:rPr>
        <w:t>市</w:t>
      </w:r>
      <w:r>
        <w:rPr>
          <w:color w:val="auto"/>
          <w:highlight w:val="none"/>
          <w:lang w:eastAsia="en-US"/>
        </w:rPr>
        <w:t>民、青年人等群体的住房困难问题。建设保障性租赁住房应充分考虑职住平衡，综合区位、配套基础设施建设等因素，优先使用城区、靠近产业园区或交通便利区域的土地。</w:t>
      </w:r>
    </w:p>
    <w:p w14:paraId="1137920B">
      <w:pPr>
        <w:pStyle w:val="25"/>
        <w:bidi w:val="0"/>
        <w:rPr>
          <w:color w:val="auto"/>
          <w:highlight w:val="none"/>
          <w:lang w:eastAsia="en-US"/>
        </w:rPr>
      </w:pPr>
      <w:r>
        <w:rPr>
          <w:color w:val="auto"/>
          <w:highlight w:val="none"/>
          <w:lang w:eastAsia="en-US"/>
        </w:rPr>
        <w:t>严格监督管理。</w:t>
      </w:r>
      <w:r>
        <w:rPr>
          <w:rFonts w:hint="eastAsia"/>
          <w:color w:val="auto"/>
          <w:highlight w:val="none"/>
          <w:lang w:eastAsia="zh-CN"/>
        </w:rPr>
        <w:t>入市土地不得用于建设商品住房。</w:t>
      </w:r>
      <w:r>
        <w:rPr>
          <w:color w:val="auto"/>
          <w:highlight w:val="none"/>
          <w:lang w:eastAsia="en-US"/>
        </w:rPr>
        <w:t>用于保障性租赁住房建设的</w:t>
      </w:r>
      <w:r>
        <w:rPr>
          <w:rFonts w:hint="eastAsia"/>
          <w:color w:val="auto"/>
          <w:highlight w:val="none"/>
          <w:lang w:eastAsia="zh-CN"/>
        </w:rPr>
        <w:t>入市</w:t>
      </w:r>
      <w:r>
        <w:rPr>
          <w:color w:val="auto"/>
          <w:highlight w:val="none"/>
          <w:lang w:eastAsia="en-US"/>
        </w:rPr>
        <w:t>土地一并纳入</w:t>
      </w:r>
      <w:r>
        <w:rPr>
          <w:rFonts w:hint="eastAsia"/>
          <w:color w:val="auto"/>
          <w:highlight w:val="none"/>
          <w:lang w:eastAsia="zh-CN"/>
        </w:rPr>
        <w:t>集体经营性建设用地年度</w:t>
      </w:r>
      <w:r>
        <w:rPr>
          <w:color w:val="auto"/>
          <w:highlight w:val="none"/>
          <w:lang w:eastAsia="en-US"/>
        </w:rPr>
        <w:t>供应计划</w:t>
      </w:r>
      <w:r>
        <w:rPr>
          <w:rFonts w:hint="eastAsia"/>
          <w:color w:val="auto"/>
          <w:highlight w:val="none"/>
          <w:lang w:eastAsia="zh-CN"/>
        </w:rPr>
        <w:t>。</w:t>
      </w:r>
      <w:r>
        <w:rPr>
          <w:color w:val="auto"/>
          <w:highlight w:val="none"/>
          <w:lang w:eastAsia="en-US"/>
        </w:rPr>
        <w:t>保障性租赁住房以建筑面积不超过70平方米的小户型为主，严禁改变保障性租赁住房性质，不得上</w:t>
      </w:r>
      <w:r>
        <w:rPr>
          <w:rFonts w:hint="eastAsia"/>
          <w:color w:val="auto"/>
          <w:highlight w:val="none"/>
          <w:lang w:eastAsia="zh-CN"/>
        </w:rPr>
        <w:t>市</w:t>
      </w:r>
      <w:r>
        <w:rPr>
          <w:color w:val="auto"/>
          <w:highlight w:val="none"/>
          <w:lang w:eastAsia="en-US"/>
        </w:rPr>
        <w:t>销售或变相销售，严禁以保障性租赁住房为名违规经营或骗取优惠政策。</w:t>
      </w:r>
    </w:p>
    <w:p w14:paraId="61526119">
      <w:pPr>
        <w:pStyle w:val="20"/>
        <w:numPr>
          <w:ilvl w:val="0"/>
          <w:numId w:val="8"/>
        </w:numPr>
        <w:shd w:val="clear"/>
        <w:bidi w:val="0"/>
        <w:rPr>
          <w:rFonts w:ascii="仿宋_GB2312" w:hAnsi="仿宋_GB2312" w:eastAsia="仿宋_GB2312" w:cs="仿宋_GB2312"/>
          <w:snapToGrid w:val="0"/>
          <w:color w:val="auto"/>
          <w:kern w:val="0"/>
          <w:sz w:val="31"/>
          <w:szCs w:val="31"/>
          <w:highlight w:val="none"/>
          <w:lang w:eastAsia="en-US"/>
        </w:rPr>
      </w:pPr>
      <w:r>
        <w:rPr>
          <w:color w:val="auto"/>
          <w:highlight w:val="none"/>
          <w:lang w:val="en-US" w:eastAsia="en-US"/>
        </w:rPr>
        <w:t>维护</w:t>
      </w:r>
      <w:r>
        <w:rPr>
          <w:rFonts w:hint="eastAsia"/>
          <w:color w:val="auto"/>
          <w:highlight w:val="none"/>
          <w:lang w:val="en-US" w:eastAsia="zh-CN"/>
        </w:rPr>
        <w:t>市场</w:t>
      </w:r>
      <w:r>
        <w:rPr>
          <w:color w:val="auto"/>
          <w:highlight w:val="none"/>
          <w:lang w:val="en-US" w:eastAsia="en-US"/>
        </w:rPr>
        <w:t>主体合法权益。</w:t>
      </w:r>
    </w:p>
    <w:p w14:paraId="414E9F1C">
      <w:pPr>
        <w:pStyle w:val="25"/>
        <w:bidi w:val="0"/>
        <w:rPr>
          <w:color w:val="auto"/>
          <w:highlight w:val="none"/>
          <w:lang w:eastAsia="en-US"/>
        </w:rPr>
      </w:pPr>
      <w:r>
        <w:rPr>
          <w:color w:val="auto"/>
          <w:highlight w:val="none"/>
          <w:lang w:eastAsia="en-US"/>
        </w:rPr>
        <w:t>明确使用权权能。</w:t>
      </w:r>
      <w:r>
        <w:rPr>
          <w:rFonts w:hint="eastAsia"/>
          <w:color w:val="auto"/>
          <w:highlight w:val="none"/>
          <w:lang w:eastAsia="zh-CN"/>
        </w:rPr>
        <w:t>参照同类用途的国有建设用地，确定出让方</w:t>
      </w:r>
      <w:r>
        <w:rPr>
          <w:rFonts w:hint="eastAsia"/>
          <w:b w:val="0"/>
          <w:bCs w:val="0"/>
          <w:color w:val="auto"/>
          <w:highlight w:val="none"/>
          <w:lang w:eastAsia="zh-CN"/>
        </w:rPr>
        <w:t>式、出让年限和适用范围等。</w:t>
      </w:r>
      <w:r>
        <w:rPr>
          <w:b w:val="0"/>
          <w:bCs w:val="0"/>
          <w:color w:val="auto"/>
          <w:highlight w:val="none"/>
          <w:lang w:eastAsia="en-US"/>
        </w:rPr>
        <w:t>探索村集体经营性建设用地土地二级</w:t>
      </w:r>
      <w:r>
        <w:rPr>
          <w:rFonts w:hint="eastAsia"/>
          <w:b w:val="0"/>
          <w:bCs w:val="0"/>
          <w:color w:val="auto"/>
          <w:highlight w:val="none"/>
          <w:lang w:eastAsia="zh-CN"/>
        </w:rPr>
        <w:t>市场的交易规则，</w:t>
      </w:r>
      <w:r>
        <w:rPr>
          <w:b w:val="0"/>
          <w:bCs w:val="0"/>
          <w:color w:val="auto"/>
          <w:highlight w:val="none"/>
          <w:lang w:eastAsia="en-US"/>
        </w:rPr>
        <w:t>明确除法律、行政法规另有规定或者合同双方另有约定外，以出让等方式取得的农村集体经营性建设用地使用权可以转让、互换、出资、赠与或者抵押等。研究细化因镇村公共设施和公益事业建设等需要收回农村集体经营性建设用地使用权的具体情形，探索依法给予土地使用权人合理补偿的</w:t>
      </w:r>
      <w:r>
        <w:rPr>
          <w:rFonts w:hint="eastAsia"/>
          <w:b w:val="0"/>
          <w:bCs w:val="0"/>
          <w:color w:val="auto"/>
          <w:highlight w:val="none"/>
          <w:lang w:eastAsia="zh-CN"/>
        </w:rPr>
        <w:t>标准规范</w:t>
      </w:r>
      <w:r>
        <w:rPr>
          <w:b w:val="0"/>
          <w:bCs w:val="0"/>
          <w:color w:val="auto"/>
          <w:highlight w:val="none"/>
          <w:lang w:eastAsia="en-US"/>
        </w:rPr>
        <w:t>。</w:t>
      </w:r>
    </w:p>
    <w:p w14:paraId="6B973148">
      <w:pPr>
        <w:pStyle w:val="25"/>
        <w:bidi w:val="0"/>
        <w:rPr>
          <w:color w:val="auto"/>
          <w:highlight w:val="none"/>
          <w:lang w:eastAsia="en-US"/>
        </w:rPr>
      </w:pPr>
      <w:r>
        <w:rPr>
          <w:color w:val="auto"/>
          <w:highlight w:val="none"/>
          <w:lang w:eastAsia="en-US"/>
        </w:rPr>
        <w:t>创新抵押金融产品。规范</w:t>
      </w:r>
      <w:r>
        <w:rPr>
          <w:rFonts w:hint="eastAsia"/>
          <w:color w:val="auto"/>
          <w:highlight w:val="none"/>
          <w:lang w:eastAsia="zh-CN"/>
        </w:rPr>
        <w:t>入市</w:t>
      </w:r>
      <w:r>
        <w:rPr>
          <w:color w:val="auto"/>
          <w:highlight w:val="none"/>
          <w:lang w:eastAsia="en-US"/>
        </w:rPr>
        <w:t>土地抵押管理，各类已</w:t>
      </w:r>
      <w:r>
        <w:rPr>
          <w:rFonts w:hint="eastAsia"/>
          <w:color w:val="auto"/>
          <w:highlight w:val="none"/>
          <w:lang w:eastAsia="zh-CN"/>
        </w:rPr>
        <w:t>入市</w:t>
      </w:r>
      <w:r>
        <w:rPr>
          <w:color w:val="auto"/>
          <w:highlight w:val="none"/>
          <w:lang w:eastAsia="en-US"/>
        </w:rPr>
        <w:t>的农村集体经营性建设用地使用权可以办理抵押贷款，</w:t>
      </w:r>
      <w:r>
        <w:rPr>
          <w:b w:val="0"/>
          <w:bCs w:val="0"/>
          <w:color w:val="auto"/>
          <w:highlight w:val="none"/>
          <w:lang w:eastAsia="en-US"/>
        </w:rPr>
        <w:t>探索金融机构、企业、自然人作为抵押权人，申请以农村集体经营性建设用地使用权办理不动产抵押的具体路径。结合国家出台的</w:t>
      </w:r>
      <w:r>
        <w:rPr>
          <w:rFonts w:hint="eastAsia"/>
          <w:b w:val="0"/>
          <w:bCs w:val="0"/>
          <w:color w:val="auto"/>
          <w:highlight w:val="none"/>
          <w:lang w:eastAsia="zh-CN"/>
        </w:rPr>
        <w:t>入市</w:t>
      </w:r>
      <w:r>
        <w:rPr>
          <w:b w:val="0"/>
          <w:bCs w:val="0"/>
          <w:color w:val="auto"/>
          <w:highlight w:val="none"/>
          <w:lang w:eastAsia="en-US"/>
        </w:rPr>
        <w:t>土地抵押贷款管理办法，研究制定农村集体经营性建设用地</w:t>
      </w:r>
      <w:r>
        <w:rPr>
          <w:rFonts w:hint="eastAsia"/>
          <w:b w:val="0"/>
          <w:bCs w:val="0"/>
          <w:color w:val="auto"/>
          <w:highlight w:val="none"/>
          <w:lang w:eastAsia="zh-CN"/>
        </w:rPr>
        <w:t>入市</w:t>
      </w:r>
      <w:r>
        <w:rPr>
          <w:b w:val="0"/>
          <w:bCs w:val="0"/>
          <w:color w:val="auto"/>
          <w:highlight w:val="none"/>
          <w:lang w:eastAsia="en-US"/>
        </w:rPr>
        <w:t>融资方案，在同权同价同责的原则下，探索适应农村集体经营性建设用地的融资政策，推出更合适的金融产品与服务，满足多元化融资需求。</w:t>
      </w:r>
    </w:p>
    <w:p w14:paraId="40F99BE6">
      <w:pPr>
        <w:pStyle w:val="25"/>
        <w:bidi w:val="0"/>
        <w:rPr>
          <w:color w:val="auto"/>
          <w:highlight w:val="none"/>
          <w:lang w:eastAsia="en-US"/>
        </w:rPr>
      </w:pPr>
      <w:r>
        <w:rPr>
          <w:color w:val="auto"/>
          <w:highlight w:val="none"/>
          <w:lang w:eastAsia="en-US"/>
        </w:rPr>
        <w:t>完善信息公开制度。按照土地</w:t>
      </w:r>
      <w:r>
        <w:rPr>
          <w:rFonts w:hint="eastAsia"/>
          <w:color w:val="auto"/>
          <w:highlight w:val="none"/>
          <w:lang w:eastAsia="zh-CN"/>
        </w:rPr>
        <w:t>市场</w:t>
      </w:r>
      <w:r>
        <w:rPr>
          <w:color w:val="auto"/>
          <w:highlight w:val="none"/>
          <w:lang w:eastAsia="en-US"/>
        </w:rPr>
        <w:t>信息公开要求、政府公示地价制度等，</w:t>
      </w:r>
      <w:r>
        <w:rPr>
          <w:b w:val="0"/>
          <w:bCs w:val="0"/>
          <w:color w:val="auto"/>
          <w:highlight w:val="none"/>
          <w:lang w:eastAsia="en-US"/>
        </w:rPr>
        <w:t>及时向</w:t>
      </w:r>
      <w:r>
        <w:rPr>
          <w:rFonts w:hint="eastAsia"/>
          <w:b w:val="0"/>
          <w:bCs w:val="0"/>
          <w:color w:val="auto"/>
          <w:highlight w:val="none"/>
          <w:lang w:eastAsia="zh-CN"/>
        </w:rPr>
        <w:t>市场</w:t>
      </w:r>
      <w:r>
        <w:rPr>
          <w:b w:val="0"/>
          <w:bCs w:val="0"/>
          <w:color w:val="auto"/>
          <w:highlight w:val="none"/>
          <w:lang w:eastAsia="en-US"/>
        </w:rPr>
        <w:t>发布用地政策、用地价格、供应计划、供应公告、供应结果等相关信息</w:t>
      </w:r>
      <w:r>
        <w:rPr>
          <w:color w:val="auto"/>
          <w:highlight w:val="none"/>
          <w:lang w:eastAsia="en-US"/>
        </w:rPr>
        <w:t>，畅通农村集体经营性建设用地等交易主体获得</w:t>
      </w:r>
      <w:r>
        <w:rPr>
          <w:rFonts w:hint="eastAsia"/>
          <w:color w:val="auto"/>
          <w:highlight w:val="none"/>
          <w:lang w:eastAsia="zh-CN"/>
        </w:rPr>
        <w:t>市场</w:t>
      </w:r>
      <w:r>
        <w:rPr>
          <w:color w:val="auto"/>
          <w:highlight w:val="none"/>
          <w:lang w:eastAsia="en-US"/>
        </w:rPr>
        <w:t>整体信息的基本渠道，保障农村集体经营性建设用地等公开交易。</w:t>
      </w:r>
    </w:p>
    <w:p w14:paraId="5172AB1C">
      <w:pPr>
        <w:pStyle w:val="25"/>
        <w:bidi w:val="0"/>
        <w:rPr>
          <w:color w:val="auto"/>
          <w:highlight w:val="none"/>
          <w:lang w:eastAsia="en-US"/>
        </w:rPr>
      </w:pPr>
      <w:r>
        <w:rPr>
          <w:color w:val="auto"/>
          <w:highlight w:val="none"/>
          <w:lang w:eastAsia="en-US"/>
        </w:rPr>
        <w:t>规范</w:t>
      </w:r>
      <w:r>
        <w:rPr>
          <w:rFonts w:hint="eastAsia"/>
          <w:color w:val="auto"/>
          <w:highlight w:val="none"/>
          <w:lang w:eastAsia="zh-CN"/>
        </w:rPr>
        <w:t>入市</w:t>
      </w:r>
      <w:r>
        <w:rPr>
          <w:color w:val="auto"/>
          <w:highlight w:val="none"/>
          <w:lang w:eastAsia="en-US"/>
        </w:rPr>
        <w:t>合同管理。</w:t>
      </w:r>
      <w:r>
        <w:rPr>
          <w:rFonts w:hint="eastAsia"/>
          <w:color w:val="auto"/>
          <w:highlight w:val="none"/>
          <w:lang w:eastAsia="zh-CN"/>
        </w:rPr>
        <w:t>入市</w:t>
      </w:r>
      <w:r>
        <w:rPr>
          <w:color w:val="auto"/>
          <w:highlight w:val="none"/>
          <w:lang w:eastAsia="en-US"/>
        </w:rPr>
        <w:t>土地成交并完成公示后，指导农村集体经济组织与土地使用权人参照合同示范文本签订书面合同，载明土地界址、面积、用途、规划条件、使用期限、交易价款支付、交地时间和开竣工期限、产业准入和生态环境保护要求，约定提前收回的条件、补偿方式、土地使用权届满续期和地上建筑物、构筑物等附着物处理方式，以及违约责任和解决争议的方法等。</w:t>
      </w:r>
      <w:r>
        <w:rPr>
          <w:rFonts w:hint="eastAsia"/>
          <w:color w:val="auto"/>
          <w:highlight w:val="none"/>
          <w:lang w:eastAsia="zh-CN"/>
        </w:rPr>
        <w:t>入市</w:t>
      </w:r>
      <w:r>
        <w:rPr>
          <w:color w:val="auto"/>
          <w:highlight w:val="none"/>
          <w:lang w:eastAsia="en-US"/>
        </w:rPr>
        <w:t>合同报</w:t>
      </w:r>
      <w:r>
        <w:rPr>
          <w:rFonts w:hint="eastAsia"/>
          <w:color w:val="auto"/>
          <w:highlight w:val="none"/>
          <w:lang w:eastAsia="zh-CN"/>
        </w:rPr>
        <w:t>区</w:t>
      </w:r>
      <w:r>
        <w:rPr>
          <w:color w:val="auto"/>
          <w:highlight w:val="none"/>
          <w:lang w:eastAsia="en-US"/>
        </w:rPr>
        <w:t>自然资源局备案。</w:t>
      </w:r>
    </w:p>
    <w:p w14:paraId="6595823C">
      <w:pPr>
        <w:pStyle w:val="25"/>
        <w:bidi w:val="0"/>
        <w:rPr>
          <w:color w:val="auto"/>
          <w:highlight w:val="none"/>
          <w:lang w:eastAsia="en-US"/>
        </w:rPr>
      </w:pPr>
      <w:r>
        <w:rPr>
          <w:color w:val="auto"/>
          <w:highlight w:val="none"/>
          <w:lang w:eastAsia="en-US"/>
        </w:rPr>
        <w:t>建立三方监管协议制度。自然人、法人和其他组织均可依法取得农村集体经营性建设用地使用权，按合同约定的相关权利义务进行土地开发、利用和经营。在出让合同基础上，依据农村集体经营性建设用地开发利用要求，本着平等、自愿、诚信、守约的原则，通过政府、集体经济组织与土地使用权人三方签订监管协议等方式</w:t>
      </w:r>
      <w:r>
        <w:rPr>
          <w:rFonts w:hint="eastAsia"/>
          <w:color w:val="auto"/>
          <w:highlight w:val="none"/>
          <w:lang w:eastAsia="zh-CN"/>
        </w:rPr>
        <w:t>，明确</w:t>
      </w:r>
      <w:r>
        <w:rPr>
          <w:color w:val="auto"/>
          <w:highlight w:val="none"/>
          <w:lang w:eastAsia="en-US"/>
        </w:rPr>
        <w:t>政府、农村集体经济组织与土地使用权人等各方权利和义务。</w:t>
      </w:r>
    </w:p>
    <w:p w14:paraId="70B5C292">
      <w:pPr>
        <w:pStyle w:val="20"/>
        <w:spacing w:beforeLines="0" w:afterLines="0"/>
        <w:rPr>
          <w:rStyle w:val="27"/>
          <w:rFonts w:hint="eastAsia"/>
          <w:color w:val="auto"/>
          <w:sz w:val="32"/>
          <w:szCs w:val="32"/>
          <w:highlight w:val="none"/>
        </w:rPr>
      </w:pPr>
      <w:r>
        <w:rPr>
          <w:rFonts w:hint="eastAsia" w:eastAsia="楷体_GB2312"/>
          <w:color w:val="auto"/>
          <w:sz w:val="32"/>
          <w:szCs w:val="32"/>
          <w:highlight w:val="none"/>
          <w:lang w:eastAsia="en-US"/>
        </w:rPr>
        <w:t>尊重农民</w:t>
      </w:r>
      <w:r>
        <w:rPr>
          <w:rFonts w:hint="eastAsia" w:eastAsia="楷体_GB2312"/>
          <w:color w:val="auto"/>
          <w:sz w:val="32"/>
          <w:szCs w:val="32"/>
          <w:highlight w:val="none"/>
        </w:rPr>
        <w:t>入市</w:t>
      </w:r>
      <w:r>
        <w:rPr>
          <w:rFonts w:hint="eastAsia" w:eastAsia="楷体_GB2312"/>
          <w:color w:val="auto"/>
          <w:sz w:val="32"/>
          <w:szCs w:val="32"/>
          <w:highlight w:val="none"/>
          <w:lang w:eastAsia="en-US"/>
        </w:rPr>
        <w:t>主体地位。</w:t>
      </w:r>
    </w:p>
    <w:p w14:paraId="73C09ACD">
      <w:pPr>
        <w:pStyle w:val="25"/>
        <w:spacing w:beforeLines="0" w:afterLines="0"/>
        <w:ind w:firstLine="640"/>
        <w:rPr>
          <w:rFonts w:hint="eastAsia"/>
          <w:color w:val="auto"/>
          <w:sz w:val="32"/>
          <w:szCs w:val="32"/>
          <w:highlight w:val="none"/>
          <w:lang w:eastAsia="en-US"/>
        </w:rPr>
      </w:pPr>
      <w:r>
        <w:rPr>
          <w:rFonts w:hint="eastAsia" w:eastAsia="仿宋_GB2312"/>
          <w:color w:val="auto"/>
          <w:sz w:val="32"/>
          <w:szCs w:val="32"/>
          <w:highlight w:val="none"/>
          <w:lang w:eastAsia="en-US"/>
        </w:rPr>
        <w:t>明确</w:t>
      </w:r>
      <w:r>
        <w:rPr>
          <w:rFonts w:hint="eastAsia" w:eastAsia="仿宋_GB2312"/>
          <w:color w:val="auto"/>
          <w:sz w:val="32"/>
          <w:szCs w:val="32"/>
          <w:highlight w:val="none"/>
        </w:rPr>
        <w:t>入市</w:t>
      </w:r>
      <w:r>
        <w:rPr>
          <w:rFonts w:hint="eastAsia" w:eastAsia="仿宋_GB2312"/>
          <w:color w:val="auto"/>
          <w:sz w:val="32"/>
          <w:szCs w:val="32"/>
          <w:highlight w:val="none"/>
          <w:lang w:eastAsia="en-US"/>
        </w:rPr>
        <w:t>主体。根据镇、村、组等集体经济组织的不同形态和发育程度，指导农村集体经济组织综合分析</w:t>
      </w:r>
      <w:r>
        <w:rPr>
          <w:rFonts w:hint="eastAsia" w:eastAsia="仿宋_GB2312"/>
          <w:color w:val="auto"/>
          <w:sz w:val="32"/>
          <w:szCs w:val="32"/>
          <w:highlight w:val="none"/>
        </w:rPr>
        <w:t>入市</w:t>
      </w:r>
      <w:r>
        <w:rPr>
          <w:rFonts w:hint="eastAsia" w:eastAsia="仿宋_GB2312"/>
          <w:color w:val="auto"/>
          <w:sz w:val="32"/>
          <w:szCs w:val="32"/>
          <w:highlight w:val="none"/>
          <w:lang w:eastAsia="en-US"/>
        </w:rPr>
        <w:t>和成片开发土地征收的利弊和影响，尊重农村集体经济组织成员对</w:t>
      </w:r>
      <w:r>
        <w:rPr>
          <w:rFonts w:hint="eastAsia" w:eastAsia="仿宋_GB2312"/>
          <w:color w:val="auto"/>
          <w:sz w:val="32"/>
          <w:szCs w:val="32"/>
          <w:highlight w:val="none"/>
        </w:rPr>
        <w:t>入市</w:t>
      </w:r>
      <w:r>
        <w:rPr>
          <w:rFonts w:hint="eastAsia" w:eastAsia="仿宋_GB2312"/>
          <w:color w:val="auto"/>
          <w:sz w:val="32"/>
          <w:szCs w:val="32"/>
          <w:highlight w:val="none"/>
          <w:lang w:eastAsia="en-US"/>
        </w:rPr>
        <w:t>、成片开发土地征收的选择权，充分听取其意见建议和合理诉求。对拟</w:t>
      </w:r>
      <w:r>
        <w:rPr>
          <w:rFonts w:hint="eastAsia" w:eastAsia="仿宋_GB2312"/>
          <w:color w:val="auto"/>
          <w:sz w:val="32"/>
          <w:szCs w:val="32"/>
          <w:highlight w:val="none"/>
        </w:rPr>
        <w:t>入市</w:t>
      </w:r>
      <w:r>
        <w:rPr>
          <w:rFonts w:hint="eastAsia" w:eastAsia="仿宋_GB2312"/>
          <w:color w:val="auto"/>
          <w:sz w:val="32"/>
          <w:szCs w:val="32"/>
          <w:highlight w:val="none"/>
          <w:lang w:eastAsia="en-US"/>
        </w:rPr>
        <w:t>土地属于乡镇集体所有的，由乡镇集体经济组织代表集体行使所有权，未成立集体经济组织的由乡镇人民政府行使所有权</w:t>
      </w:r>
      <w:r>
        <w:rPr>
          <w:rFonts w:hint="eastAsia" w:eastAsia="仿宋_GB2312"/>
          <w:color w:val="auto"/>
          <w:sz w:val="32"/>
          <w:szCs w:val="32"/>
          <w:highlight w:val="none"/>
        </w:rPr>
        <w:t>；</w:t>
      </w:r>
      <w:r>
        <w:rPr>
          <w:rFonts w:hint="eastAsia" w:eastAsia="仿宋_GB2312"/>
          <w:color w:val="auto"/>
          <w:sz w:val="32"/>
          <w:szCs w:val="32"/>
          <w:highlight w:val="none"/>
          <w:lang w:eastAsia="en-US"/>
        </w:rPr>
        <w:t>属于村集体所有的，由村集体经济组织代表集体行使所有权，未成立集体经济组织的由村委会代表行使所有权；属于村内两个以上集体所有的，由村内对应集体经济组织代表集体行使所有权，未成立集体经济组织的由村民小组代表行使所有权。</w:t>
      </w:r>
    </w:p>
    <w:p w14:paraId="3B7F89DE">
      <w:pPr>
        <w:pStyle w:val="25"/>
        <w:numPr>
          <w:ilvl w:val="-1"/>
          <w:numId w:val="0"/>
        </w:numPr>
        <w:spacing w:beforeLines="0" w:afterLines="0"/>
        <w:ind w:leftChars="0" w:firstLine="640"/>
        <w:rPr>
          <w:rFonts w:hint="eastAsia"/>
          <w:color w:val="auto"/>
          <w:sz w:val="32"/>
          <w:szCs w:val="32"/>
          <w:highlight w:val="none"/>
          <w:lang w:eastAsia="en-US"/>
        </w:rPr>
      </w:pPr>
      <w:r>
        <w:rPr>
          <w:rFonts w:hint="eastAsia" w:eastAsia="仿宋_GB2312"/>
          <w:color w:val="auto"/>
          <w:sz w:val="32"/>
          <w:szCs w:val="32"/>
          <w:highlight w:val="none"/>
          <w:lang w:eastAsia="en-US"/>
        </w:rPr>
        <w:t>集体经济组织完成登记赋码依法取得法人资格的，可以作为入市的实施主体，也可以委托其他具有法人资格的组织代理实施入市；尚未依法取得法人资格的，可以通过授权或者委托其他具有法人资格的组织代理实施入市，并通过授权委托明确双方权利义务关系。</w:t>
      </w:r>
    </w:p>
    <w:p w14:paraId="4E4DFBEE">
      <w:pPr>
        <w:pStyle w:val="25"/>
        <w:bidi w:val="0"/>
        <w:spacing w:beforeLines="0" w:afterLines="0"/>
        <w:ind w:firstLine="640"/>
        <w:rPr>
          <w:color w:val="auto"/>
          <w:highlight w:val="none"/>
          <w:lang w:eastAsia="en-US"/>
        </w:rPr>
      </w:pPr>
      <w:r>
        <w:rPr>
          <w:rFonts w:hint="eastAsia" w:eastAsia="仿宋_GB2312"/>
          <w:color w:val="auto"/>
          <w:sz w:val="32"/>
          <w:szCs w:val="32"/>
          <w:highlight w:val="none"/>
          <w:lang w:eastAsia="en-US"/>
        </w:rPr>
        <w:t>健全民主决策</w:t>
      </w:r>
      <w:r>
        <w:rPr>
          <w:rFonts w:hint="eastAsia"/>
          <w:color w:val="auto"/>
          <w:sz w:val="32"/>
          <w:szCs w:val="32"/>
          <w:highlight w:val="none"/>
          <w:lang w:eastAsia="zh-CN"/>
        </w:rPr>
        <w:t>机制</w:t>
      </w:r>
      <w:r>
        <w:rPr>
          <w:rFonts w:hint="eastAsia" w:eastAsia="仿宋_GB2312"/>
          <w:color w:val="auto"/>
          <w:sz w:val="32"/>
          <w:szCs w:val="32"/>
          <w:highlight w:val="none"/>
          <w:lang w:eastAsia="en-US"/>
        </w:rPr>
        <w:t>。注重发挥基层党组织的领导核心作用，完善</w:t>
      </w:r>
      <w:r>
        <w:rPr>
          <w:rFonts w:hint="eastAsia" w:eastAsia="仿宋_GB2312"/>
          <w:color w:val="auto"/>
          <w:sz w:val="32"/>
          <w:szCs w:val="32"/>
          <w:highlight w:val="none"/>
        </w:rPr>
        <w:t>入市</w:t>
      </w:r>
      <w:r>
        <w:rPr>
          <w:rFonts w:hint="eastAsia" w:eastAsia="仿宋_GB2312"/>
          <w:color w:val="auto"/>
          <w:sz w:val="32"/>
          <w:szCs w:val="32"/>
          <w:highlight w:val="none"/>
          <w:lang w:eastAsia="en-US"/>
        </w:rPr>
        <w:t>相关议事决策机制，按照村民自治原则，实现农民集体对农村集体经营性建设用地的自主管理和民主决策</w:t>
      </w:r>
      <w:r>
        <w:rPr>
          <w:rFonts w:hint="eastAsia"/>
          <w:color w:val="auto"/>
          <w:sz w:val="32"/>
          <w:szCs w:val="32"/>
          <w:highlight w:val="none"/>
          <w:lang w:eastAsia="zh-CN"/>
        </w:rPr>
        <w:t>。</w:t>
      </w:r>
      <w:r>
        <w:rPr>
          <w:rFonts w:hint="eastAsia" w:eastAsia="仿宋_GB2312"/>
          <w:color w:val="auto"/>
          <w:sz w:val="32"/>
          <w:szCs w:val="32"/>
          <w:highlight w:val="none"/>
          <w:lang w:eastAsia="en-US"/>
        </w:rPr>
        <w:t>依法拟定</w:t>
      </w:r>
      <w:r>
        <w:rPr>
          <w:rFonts w:hint="eastAsia" w:eastAsia="仿宋_GB2312"/>
          <w:color w:val="auto"/>
          <w:sz w:val="32"/>
          <w:szCs w:val="32"/>
          <w:highlight w:val="none"/>
        </w:rPr>
        <w:t>入市</w:t>
      </w:r>
      <w:r>
        <w:rPr>
          <w:rFonts w:hint="eastAsia" w:eastAsia="仿宋_GB2312"/>
          <w:color w:val="auto"/>
          <w:sz w:val="32"/>
          <w:szCs w:val="32"/>
          <w:highlight w:val="none"/>
          <w:lang w:eastAsia="en-US"/>
        </w:rPr>
        <w:t>方案、土地收益分配、资金使用等事项，落实财务公开和信息公示制度，及时公示</w:t>
      </w:r>
      <w:r>
        <w:rPr>
          <w:rFonts w:hint="eastAsia" w:eastAsia="仿宋_GB2312"/>
          <w:color w:val="auto"/>
          <w:sz w:val="32"/>
          <w:szCs w:val="32"/>
          <w:highlight w:val="none"/>
        </w:rPr>
        <w:t>入市</w:t>
      </w:r>
      <w:r>
        <w:rPr>
          <w:rFonts w:hint="eastAsia" w:eastAsia="仿宋_GB2312"/>
          <w:color w:val="auto"/>
          <w:sz w:val="32"/>
          <w:szCs w:val="32"/>
          <w:highlight w:val="none"/>
          <w:lang w:eastAsia="en-US"/>
        </w:rPr>
        <w:t>土地成交价格、交易费用、税费缴纳和收益支出等情况，切实保护农村集体经济组织成员的权利。</w:t>
      </w:r>
    </w:p>
    <w:p w14:paraId="3AA26FDF">
      <w:pPr>
        <w:pStyle w:val="5"/>
        <w:bidi w:val="0"/>
        <w:rPr>
          <w:color w:val="auto"/>
          <w:highlight w:val="none"/>
          <w:lang w:eastAsia="en-US"/>
        </w:rPr>
      </w:pPr>
      <w:r>
        <w:rPr>
          <w:color w:val="auto"/>
          <w:highlight w:val="none"/>
          <w:lang w:eastAsia="en-US"/>
        </w:rPr>
        <w:t>工作步骤</w:t>
      </w:r>
    </w:p>
    <w:p w14:paraId="4B3689C8">
      <w:pPr>
        <w:pStyle w:val="20"/>
        <w:numPr>
          <w:ilvl w:val="0"/>
          <w:numId w:val="9"/>
        </w:numPr>
        <w:bidi w:val="0"/>
        <w:rPr>
          <w:rFonts w:hint="eastAsia" w:ascii="仿宋_GB2312" w:hAnsi="仿宋_GB2312" w:eastAsia="仿宋_GB2312" w:cs="仿宋_GB2312"/>
          <w:color w:val="auto"/>
          <w:highlight w:val="none"/>
          <w:lang w:eastAsia="zh-CN"/>
        </w:rPr>
      </w:pPr>
      <w:r>
        <w:rPr>
          <w:rFonts w:hint="eastAsia"/>
          <w:highlight w:val="none"/>
          <w:lang w:eastAsia="en-US"/>
        </w:rPr>
        <w:t>强化统筹，压实责任</w:t>
      </w:r>
      <w:r>
        <w:rPr>
          <w:rFonts w:hint="eastAsia"/>
          <w:color w:val="auto"/>
          <w:highlight w:val="none"/>
          <w:lang w:val="en-US" w:eastAsia="zh-CN"/>
        </w:rPr>
        <w:t>。</w:t>
      </w:r>
      <w:r>
        <w:rPr>
          <w:rFonts w:hint="eastAsia" w:ascii="仿宋_GB2312" w:hAnsi="仿宋_GB2312" w:eastAsia="仿宋_GB2312" w:cs="仿宋_GB2312"/>
          <w:color w:val="auto"/>
          <w:highlight w:val="none"/>
          <w:lang w:eastAsia="zh-CN"/>
        </w:rPr>
        <w:t>区政府高度重视，</w:t>
      </w:r>
      <w:r>
        <w:rPr>
          <w:rFonts w:hint="eastAsia" w:ascii="仿宋_GB2312" w:hAnsi="仿宋_GB2312" w:eastAsia="仿宋_GB2312" w:cs="仿宋_GB2312"/>
          <w:color w:val="auto"/>
          <w:highlight w:val="none"/>
          <w:lang w:eastAsia="en-US"/>
        </w:rPr>
        <w:t>成立领导组织，明确工作机构，经政府常务会研究通过后，确保</w:t>
      </w:r>
      <w:r>
        <w:rPr>
          <w:rFonts w:hint="eastAsia" w:ascii="仿宋_GB2312" w:hAnsi="仿宋_GB2312" w:eastAsia="仿宋_GB2312" w:cs="仿宋_GB2312"/>
          <w:color w:val="auto"/>
          <w:highlight w:val="none"/>
          <w:lang w:eastAsia="zh-CN"/>
        </w:rPr>
        <w:t>入市</w:t>
      </w:r>
      <w:r>
        <w:rPr>
          <w:rFonts w:hint="eastAsia" w:ascii="仿宋_GB2312" w:hAnsi="仿宋_GB2312" w:eastAsia="仿宋_GB2312" w:cs="仿宋_GB2312"/>
          <w:color w:val="auto"/>
          <w:highlight w:val="none"/>
          <w:lang w:eastAsia="en-US"/>
        </w:rPr>
        <w:t>工作稳妥有序开展。</w:t>
      </w:r>
      <w:r>
        <w:rPr>
          <w:rFonts w:hint="eastAsia" w:ascii="仿宋_GB2312" w:hAnsi="仿宋_GB2312" w:eastAsia="仿宋_GB2312" w:cs="仿宋_GB2312"/>
          <w:color w:val="auto"/>
          <w:highlight w:val="none"/>
          <w:lang w:eastAsia="zh-CN"/>
        </w:rPr>
        <w:t>同时，</w:t>
      </w:r>
      <w:r>
        <w:rPr>
          <w:rFonts w:hint="eastAsia" w:ascii="仿宋_GB2312" w:hAnsi="仿宋_GB2312" w:eastAsia="仿宋_GB2312" w:cs="仿宋_GB2312"/>
          <w:color w:val="auto"/>
          <w:highlight w:val="none"/>
          <w:lang w:eastAsia="en-US"/>
        </w:rPr>
        <w:t>开展调查摸底</w:t>
      </w:r>
      <w:r>
        <w:rPr>
          <w:rFonts w:hint="eastAsia" w:ascii="仿宋_GB2312" w:hAnsi="仿宋_GB2312" w:eastAsia="仿宋_GB2312" w:cs="仿宋_GB2312"/>
          <w:color w:val="auto"/>
          <w:highlight w:val="none"/>
          <w:lang w:eastAsia="zh-CN"/>
        </w:rPr>
        <w:t>和</w:t>
      </w:r>
      <w:r>
        <w:rPr>
          <w:rFonts w:hint="eastAsia" w:ascii="仿宋_GB2312" w:hAnsi="仿宋_GB2312" w:eastAsia="仿宋_GB2312" w:cs="仿宋_GB2312"/>
          <w:color w:val="auto"/>
          <w:highlight w:val="none"/>
          <w:lang w:eastAsia="en-US"/>
        </w:rPr>
        <w:t>政策培训</w:t>
      </w:r>
      <w:r>
        <w:rPr>
          <w:rFonts w:hint="eastAsia" w:ascii="仿宋_GB2312" w:hAnsi="仿宋_GB2312" w:eastAsia="仿宋_GB2312" w:cs="仿宋_GB2312"/>
          <w:color w:val="auto"/>
          <w:highlight w:val="none"/>
          <w:lang w:eastAsia="zh-CN"/>
        </w:rPr>
        <w:t>，筑牢工作基础。</w:t>
      </w:r>
    </w:p>
    <w:p w14:paraId="671A35E0">
      <w:pPr>
        <w:pStyle w:val="20"/>
        <w:numPr>
          <w:ilvl w:val="0"/>
          <w:numId w:val="9"/>
        </w:numPr>
        <w:bidi w:val="0"/>
        <w:rPr>
          <w:rFonts w:hint="eastAsia" w:ascii="仿宋_GB2312" w:hAnsi="仿宋_GB2312" w:eastAsia="仿宋_GB2312" w:cs="仿宋_GB2312"/>
          <w:color w:val="auto"/>
          <w:highlight w:val="none"/>
          <w:lang w:eastAsia="en-US"/>
        </w:rPr>
      </w:pPr>
      <w:r>
        <w:rPr>
          <w:rFonts w:hint="eastAsia"/>
          <w:highlight w:val="none"/>
        </w:rPr>
        <w:t>完善政策，依规推进</w:t>
      </w:r>
      <w:r>
        <w:rPr>
          <w:color w:val="auto"/>
          <w:highlight w:val="none"/>
          <w:lang w:eastAsia="en-US"/>
        </w:rPr>
        <w:t>。</w:t>
      </w:r>
      <w:r>
        <w:rPr>
          <w:rFonts w:hint="eastAsia" w:ascii="仿宋_GB2312" w:hAnsi="仿宋_GB2312" w:eastAsia="仿宋_GB2312" w:cs="仿宋_GB2312"/>
          <w:color w:val="auto"/>
          <w:highlight w:val="none"/>
          <w:lang w:eastAsia="zh-CN"/>
        </w:rPr>
        <w:t>区</w:t>
      </w:r>
      <w:r>
        <w:rPr>
          <w:rFonts w:hint="eastAsia" w:ascii="仿宋_GB2312" w:hAnsi="仿宋_GB2312" w:eastAsia="仿宋_GB2312" w:cs="仿宋_GB2312"/>
          <w:color w:val="auto"/>
          <w:highlight w:val="none"/>
          <w:lang w:eastAsia="en-US"/>
        </w:rPr>
        <w:t>政府</w:t>
      </w:r>
      <w:r>
        <w:rPr>
          <w:rFonts w:hint="eastAsia" w:ascii="仿宋_GB2312" w:hAnsi="仿宋_GB2312" w:eastAsia="仿宋_GB2312" w:cs="仿宋_GB2312"/>
          <w:color w:val="auto"/>
          <w:highlight w:val="none"/>
          <w:lang w:eastAsia="zh-CN"/>
        </w:rPr>
        <w:t>组织相关部门</w:t>
      </w:r>
      <w:r>
        <w:rPr>
          <w:rFonts w:hint="eastAsia" w:ascii="仿宋_GB2312" w:hAnsi="仿宋_GB2312" w:eastAsia="仿宋_GB2312" w:cs="仿宋_GB2312"/>
          <w:color w:val="auto"/>
          <w:highlight w:val="none"/>
          <w:lang w:eastAsia="en-US"/>
        </w:rPr>
        <w:t>，制定完善集体建设用地使用权</w:t>
      </w:r>
      <w:r>
        <w:rPr>
          <w:rFonts w:hint="eastAsia" w:ascii="仿宋_GB2312" w:hAnsi="仿宋_GB2312" w:eastAsia="仿宋_GB2312" w:cs="仿宋_GB2312"/>
          <w:color w:val="auto"/>
          <w:highlight w:val="none"/>
          <w:lang w:eastAsia="zh-CN"/>
        </w:rPr>
        <w:t>入市</w:t>
      </w:r>
      <w:r>
        <w:rPr>
          <w:rFonts w:hint="eastAsia" w:ascii="仿宋_GB2312" w:hAnsi="仿宋_GB2312" w:eastAsia="仿宋_GB2312" w:cs="仿宋_GB2312"/>
          <w:color w:val="auto"/>
          <w:highlight w:val="none"/>
          <w:lang w:eastAsia="en-US"/>
        </w:rPr>
        <w:t>、地价管理、</w:t>
      </w:r>
      <w:r>
        <w:rPr>
          <w:rFonts w:hint="eastAsia" w:ascii="仿宋_GB2312" w:hAnsi="仿宋_GB2312" w:eastAsia="仿宋_GB2312" w:cs="仿宋_GB2312"/>
          <w:color w:val="auto"/>
          <w:highlight w:val="none"/>
          <w:lang w:eastAsia="zh-CN"/>
        </w:rPr>
        <w:t>入市</w:t>
      </w:r>
      <w:r>
        <w:rPr>
          <w:rFonts w:hint="eastAsia" w:ascii="仿宋_GB2312" w:hAnsi="仿宋_GB2312" w:eastAsia="仿宋_GB2312" w:cs="仿宋_GB2312"/>
          <w:color w:val="auto"/>
          <w:highlight w:val="none"/>
          <w:lang w:eastAsia="en-US"/>
        </w:rPr>
        <w:t>收益分配管理规定等配套政策文件。</w:t>
      </w:r>
    </w:p>
    <w:p w14:paraId="49CD8D5D">
      <w:pPr>
        <w:pStyle w:val="20"/>
        <w:numPr>
          <w:ilvl w:val="0"/>
          <w:numId w:val="9"/>
        </w:numPr>
        <w:rPr>
          <w:rFonts w:hint="eastAsia" w:ascii="仿宋_GB2312" w:hAnsi="仿宋_GB2312" w:eastAsia="仿宋_GB2312" w:cs="仿宋_GB2312"/>
          <w:color w:val="auto"/>
          <w:highlight w:val="none"/>
          <w:lang w:eastAsia="en-US"/>
        </w:rPr>
      </w:pPr>
      <w:r>
        <w:rPr>
          <w:rFonts w:hint="eastAsia"/>
          <w:color w:val="auto"/>
          <w:highlight w:val="none"/>
        </w:rPr>
        <w:t>摸清底数，夯实根基</w:t>
      </w:r>
      <w:r>
        <w:rPr>
          <w:color w:val="auto"/>
          <w:highlight w:val="none"/>
          <w:lang w:eastAsia="en-US"/>
        </w:rPr>
        <w:t>。</w:t>
      </w:r>
      <w:r>
        <w:rPr>
          <w:rFonts w:hint="default" w:ascii="仿宋_GB2312" w:hAnsi="仿宋_GB2312" w:eastAsia="仿宋_GB2312" w:cs="仿宋_GB2312"/>
          <w:b w:val="0"/>
          <w:bCs w:val="0"/>
          <w:color w:val="auto"/>
          <w:highlight w:val="none"/>
          <w:lang w:eastAsia="en-US"/>
        </w:rPr>
        <w:t>开展入市土地摸底调查</w:t>
      </w:r>
      <w:r>
        <w:rPr>
          <w:rFonts w:hint="eastAsia" w:ascii="仿宋_GB2312" w:hAnsi="仿宋_GB2312" w:eastAsia="仿宋_GB2312" w:cs="仿宋_GB2312"/>
          <w:b w:val="0"/>
          <w:bCs w:val="0"/>
          <w:color w:val="auto"/>
          <w:highlight w:val="none"/>
          <w:lang w:eastAsia="zh-CN"/>
        </w:rPr>
        <w:t>，</w:t>
      </w:r>
      <w:r>
        <w:rPr>
          <w:rFonts w:hint="default" w:ascii="仿宋_GB2312" w:hAnsi="仿宋_GB2312" w:eastAsia="仿宋_GB2312" w:cs="仿宋_GB2312"/>
          <w:b w:val="0"/>
          <w:bCs w:val="0"/>
          <w:color w:val="auto"/>
          <w:highlight w:val="none"/>
          <w:lang w:eastAsia="en-US"/>
        </w:rPr>
        <w:t>摸清资源</w:t>
      </w:r>
      <w:r>
        <w:rPr>
          <w:rFonts w:hint="eastAsia" w:ascii="仿宋_GB2312" w:hAnsi="仿宋_GB2312" w:eastAsia="仿宋_GB2312" w:cs="仿宋_GB2312"/>
          <w:b w:val="0"/>
          <w:bCs w:val="0"/>
          <w:color w:val="auto"/>
          <w:highlight w:val="none"/>
          <w:lang w:eastAsia="zh-CN"/>
        </w:rPr>
        <w:t>底。</w:t>
      </w:r>
      <w:r>
        <w:rPr>
          <w:rFonts w:hint="eastAsia" w:ascii="仿宋_GB2312" w:hAnsi="仿宋_GB2312" w:eastAsia="仿宋_GB2312" w:cs="仿宋_GB2312"/>
          <w:b w:val="0"/>
          <w:bCs w:val="0"/>
          <w:color w:val="auto"/>
          <w:highlight w:val="none"/>
          <w:lang w:eastAsia="en-US"/>
        </w:rPr>
        <w:t>完成村级集体经济组织登记、集体土地所有权登记、集体建设用地使用权登记等工作。</w:t>
      </w:r>
    </w:p>
    <w:p w14:paraId="5B2415C0">
      <w:pPr>
        <w:pStyle w:val="20"/>
        <w:numPr>
          <w:ilvl w:val="0"/>
          <w:numId w:val="9"/>
        </w:numPr>
        <w:bidi w:val="0"/>
        <w:rPr>
          <w:rFonts w:hint="eastAsia" w:ascii="仿宋_GB2312" w:hAnsi="仿宋_GB2312" w:eastAsia="仿宋_GB2312" w:cs="仿宋_GB2312"/>
          <w:color w:val="auto"/>
          <w:highlight w:val="none"/>
          <w:lang w:eastAsia="en-US"/>
        </w:rPr>
      </w:pPr>
      <w:r>
        <w:rPr>
          <w:rFonts w:hint="eastAsia"/>
          <w:highlight w:val="none"/>
          <w:lang w:eastAsia="en-US"/>
        </w:rPr>
        <w:t>总结提升，健全长效</w:t>
      </w:r>
      <w:r>
        <w:rPr>
          <w:color w:val="auto"/>
          <w:highlight w:val="none"/>
          <w:lang w:eastAsia="en-US"/>
        </w:rPr>
        <w:t>。</w:t>
      </w:r>
      <w:r>
        <w:rPr>
          <w:rFonts w:hint="eastAsia" w:ascii="仿宋_GB2312" w:hAnsi="仿宋_GB2312" w:eastAsia="仿宋_GB2312" w:cs="仿宋_GB2312"/>
          <w:color w:val="auto"/>
          <w:highlight w:val="none"/>
          <w:lang w:eastAsia="en-US"/>
        </w:rPr>
        <w:t>注重学习借鉴其他试点县（</w:t>
      </w:r>
      <w:r>
        <w:rPr>
          <w:rFonts w:hint="eastAsia" w:ascii="仿宋_GB2312" w:hAnsi="仿宋_GB2312" w:eastAsia="仿宋_GB2312" w:cs="仿宋_GB2312"/>
          <w:color w:val="auto"/>
          <w:highlight w:val="none"/>
          <w:lang w:eastAsia="zh-CN"/>
        </w:rPr>
        <w:t>市</w:t>
      </w:r>
      <w:r>
        <w:rPr>
          <w:rFonts w:hint="eastAsia" w:ascii="仿宋_GB2312" w:hAnsi="仿宋_GB2312" w:eastAsia="仿宋_GB2312" w:cs="仿宋_GB2312"/>
          <w:color w:val="auto"/>
          <w:highlight w:val="none"/>
          <w:lang w:eastAsia="en-US"/>
        </w:rPr>
        <w:t>、区）的相关经验做法，不断丰富、深化和提升我</w:t>
      </w:r>
      <w:r>
        <w:rPr>
          <w:rFonts w:hint="eastAsia" w:ascii="仿宋_GB2312" w:hAnsi="仿宋_GB2312" w:eastAsia="仿宋_GB2312" w:cs="仿宋_GB2312"/>
          <w:color w:val="auto"/>
          <w:highlight w:val="none"/>
          <w:lang w:eastAsia="zh-CN"/>
        </w:rPr>
        <w:t>区入市</w:t>
      </w:r>
      <w:r>
        <w:rPr>
          <w:rFonts w:hint="eastAsia" w:ascii="仿宋_GB2312" w:hAnsi="仿宋_GB2312" w:eastAsia="仿宋_GB2312" w:cs="仿宋_GB2312"/>
          <w:color w:val="auto"/>
          <w:highlight w:val="none"/>
          <w:lang w:eastAsia="en-US"/>
        </w:rPr>
        <w:t>工作</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en-US"/>
        </w:rPr>
        <w:t>及时总结完善</w:t>
      </w:r>
      <w:r>
        <w:rPr>
          <w:rFonts w:hint="eastAsia" w:ascii="仿宋_GB2312" w:hAnsi="仿宋_GB2312" w:eastAsia="仿宋_GB2312" w:cs="仿宋_GB2312"/>
          <w:color w:val="auto"/>
          <w:highlight w:val="none"/>
          <w:lang w:eastAsia="zh-CN"/>
        </w:rPr>
        <w:t>工作</w:t>
      </w:r>
      <w:r>
        <w:rPr>
          <w:rFonts w:hint="eastAsia" w:ascii="仿宋_GB2312" w:hAnsi="仿宋_GB2312" w:eastAsia="仿宋_GB2312" w:cs="仿宋_GB2312"/>
          <w:color w:val="auto"/>
          <w:highlight w:val="none"/>
          <w:lang w:eastAsia="en-US"/>
        </w:rPr>
        <w:t>经验，逐步</w:t>
      </w:r>
      <w:r>
        <w:rPr>
          <w:rFonts w:hint="eastAsia" w:ascii="仿宋_GB2312" w:hAnsi="仿宋_GB2312" w:eastAsia="仿宋_GB2312" w:cs="仿宋_GB2312"/>
          <w:color w:val="auto"/>
          <w:highlight w:val="none"/>
          <w:lang w:eastAsia="zh-CN"/>
        </w:rPr>
        <w:t>完善</w:t>
      </w:r>
      <w:r>
        <w:rPr>
          <w:rFonts w:hint="eastAsia" w:ascii="仿宋_GB2312" w:hAnsi="仿宋_GB2312" w:eastAsia="仿宋_GB2312" w:cs="仿宋_GB2312"/>
          <w:color w:val="auto"/>
          <w:highlight w:val="none"/>
          <w:lang w:eastAsia="en-US"/>
        </w:rPr>
        <w:t>城乡统一的集体经营性建设用地</w:t>
      </w:r>
      <w:r>
        <w:rPr>
          <w:rFonts w:hint="eastAsia" w:ascii="仿宋_GB2312" w:hAnsi="仿宋_GB2312" w:eastAsia="仿宋_GB2312" w:cs="仿宋_GB2312"/>
          <w:color w:val="auto"/>
          <w:highlight w:val="none"/>
          <w:lang w:eastAsia="zh-CN"/>
        </w:rPr>
        <w:t>入市</w:t>
      </w:r>
      <w:r>
        <w:rPr>
          <w:rFonts w:hint="eastAsia" w:ascii="仿宋_GB2312" w:hAnsi="仿宋_GB2312" w:eastAsia="仿宋_GB2312" w:cs="仿宋_GB2312"/>
          <w:color w:val="auto"/>
          <w:highlight w:val="none"/>
          <w:lang w:eastAsia="en-US"/>
        </w:rPr>
        <w:t>规则体系以及收益分配制度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en-US"/>
        </w:rPr>
        <w:t>建立集体经营性建设用地</w:t>
      </w:r>
      <w:r>
        <w:rPr>
          <w:rFonts w:hint="eastAsia" w:ascii="仿宋_GB2312" w:hAnsi="仿宋_GB2312" w:eastAsia="仿宋_GB2312" w:cs="仿宋_GB2312"/>
          <w:color w:val="auto"/>
          <w:highlight w:val="none"/>
          <w:lang w:eastAsia="zh-CN"/>
        </w:rPr>
        <w:t>入市</w:t>
      </w:r>
      <w:r>
        <w:rPr>
          <w:rFonts w:hint="eastAsia" w:ascii="仿宋_GB2312" w:hAnsi="仿宋_GB2312" w:eastAsia="仿宋_GB2312" w:cs="仿宋_GB2312"/>
          <w:color w:val="auto"/>
          <w:highlight w:val="none"/>
          <w:lang w:eastAsia="en-US"/>
        </w:rPr>
        <w:t>长效</w:t>
      </w:r>
      <w:r>
        <w:rPr>
          <w:rFonts w:hint="eastAsia" w:ascii="仿宋_GB2312" w:hAnsi="仿宋_GB2312" w:eastAsia="仿宋_GB2312" w:cs="仿宋_GB2312"/>
          <w:color w:val="auto"/>
          <w:highlight w:val="none"/>
          <w:lang w:eastAsia="zh-CN"/>
        </w:rPr>
        <w:t>机制</w:t>
      </w:r>
      <w:r>
        <w:rPr>
          <w:rFonts w:hint="eastAsia" w:ascii="仿宋_GB2312" w:hAnsi="仿宋_GB2312" w:eastAsia="仿宋_GB2312" w:cs="仿宋_GB2312"/>
          <w:color w:val="auto"/>
          <w:highlight w:val="none"/>
          <w:lang w:eastAsia="en-US"/>
        </w:rPr>
        <w:t>。</w:t>
      </w:r>
    </w:p>
    <w:p w14:paraId="4CC79C5B">
      <w:pPr>
        <w:pStyle w:val="5"/>
        <w:bidi w:val="0"/>
        <w:rPr>
          <w:color w:val="auto"/>
          <w:highlight w:val="none"/>
          <w:lang w:eastAsia="en-US"/>
        </w:rPr>
      </w:pPr>
      <w:r>
        <w:rPr>
          <w:color w:val="auto"/>
          <w:highlight w:val="none"/>
          <w:lang w:eastAsia="en-US"/>
        </w:rPr>
        <w:t>保障措施</w:t>
      </w:r>
    </w:p>
    <w:p w14:paraId="4E4226F2">
      <w:pPr>
        <w:pStyle w:val="20"/>
        <w:numPr>
          <w:ilvl w:val="0"/>
          <w:numId w:val="10"/>
        </w:numPr>
        <w:bidi w:val="0"/>
        <w:rPr>
          <w:rStyle w:val="27"/>
          <w:color w:val="auto"/>
          <w:highlight w:val="none"/>
          <w:lang w:val="en-US" w:eastAsia="en-US"/>
        </w:rPr>
      </w:pPr>
      <w:r>
        <w:rPr>
          <w:color w:val="auto"/>
          <w:highlight w:val="none"/>
          <w:lang w:val="en-US" w:eastAsia="en-US"/>
        </w:rPr>
        <w:t>加强组织领导。</w:t>
      </w:r>
      <w:r>
        <w:rPr>
          <w:rStyle w:val="27"/>
          <w:rFonts w:hint="eastAsia"/>
          <w:color w:val="auto"/>
          <w:highlight w:val="none"/>
          <w:lang w:val="en-US" w:eastAsia="zh-CN"/>
        </w:rPr>
        <w:t>区</w:t>
      </w:r>
      <w:r>
        <w:rPr>
          <w:rStyle w:val="27"/>
          <w:color w:val="auto"/>
          <w:highlight w:val="none"/>
          <w:lang w:val="en-US" w:eastAsia="en-US"/>
        </w:rPr>
        <w:t>政府成立</w:t>
      </w:r>
      <w:r>
        <w:rPr>
          <w:rStyle w:val="27"/>
          <w:rFonts w:hint="eastAsia"/>
          <w:color w:val="auto"/>
          <w:highlight w:val="none"/>
          <w:lang w:val="en-US" w:eastAsia="zh-CN"/>
        </w:rPr>
        <w:t>文峰区</w:t>
      </w:r>
      <w:r>
        <w:rPr>
          <w:rStyle w:val="27"/>
          <w:color w:val="auto"/>
          <w:highlight w:val="none"/>
          <w:lang w:val="en-US" w:eastAsia="en-US"/>
        </w:rPr>
        <w:t>农村集体经营性建设用地</w:t>
      </w:r>
      <w:r>
        <w:rPr>
          <w:rStyle w:val="27"/>
          <w:rFonts w:hint="eastAsia"/>
          <w:color w:val="auto"/>
          <w:highlight w:val="none"/>
          <w:lang w:val="en-US" w:eastAsia="zh-CN"/>
        </w:rPr>
        <w:t>入市</w:t>
      </w:r>
      <w:r>
        <w:rPr>
          <w:rStyle w:val="27"/>
          <w:color w:val="auto"/>
          <w:highlight w:val="none"/>
          <w:lang w:val="en-US" w:eastAsia="en-US"/>
        </w:rPr>
        <w:t>工作领导小组，统筹推进、指导全</w:t>
      </w:r>
      <w:r>
        <w:rPr>
          <w:rStyle w:val="27"/>
          <w:rFonts w:hint="eastAsia"/>
          <w:color w:val="auto"/>
          <w:highlight w:val="none"/>
          <w:lang w:val="en-US" w:eastAsia="zh-CN"/>
        </w:rPr>
        <w:t>区</w:t>
      </w:r>
      <w:r>
        <w:rPr>
          <w:rStyle w:val="27"/>
          <w:rFonts w:hint="eastAsia" w:eastAsia="仿宋_GB2312"/>
          <w:color w:val="auto"/>
          <w:highlight w:val="none"/>
          <w:lang w:val="en-US" w:eastAsia="zh-CN"/>
        </w:rPr>
        <w:t>入市</w:t>
      </w:r>
      <w:r>
        <w:rPr>
          <w:rStyle w:val="27"/>
          <w:color w:val="auto"/>
          <w:highlight w:val="none"/>
          <w:lang w:val="en-US" w:eastAsia="en-US"/>
        </w:rPr>
        <w:t>工作。镇</w:t>
      </w:r>
      <w:r>
        <w:rPr>
          <w:rStyle w:val="27"/>
          <w:rFonts w:hint="eastAsia" w:eastAsia="仿宋_GB2312"/>
          <w:color w:val="auto"/>
          <w:highlight w:val="none"/>
          <w:lang w:val="en-US" w:eastAsia="zh-CN"/>
        </w:rPr>
        <w:t>政府、</w:t>
      </w:r>
      <w:r>
        <w:rPr>
          <w:rStyle w:val="27"/>
          <w:color w:val="auto"/>
          <w:highlight w:val="none"/>
          <w:lang w:val="en-US" w:eastAsia="en-US"/>
        </w:rPr>
        <w:t>各</w:t>
      </w:r>
      <w:r>
        <w:rPr>
          <w:rStyle w:val="27"/>
          <w:rFonts w:hint="eastAsia" w:eastAsia="仿宋_GB2312"/>
          <w:color w:val="auto"/>
          <w:highlight w:val="none"/>
          <w:lang w:val="en-US" w:eastAsia="zh-CN"/>
        </w:rPr>
        <w:t>街道办事处</w:t>
      </w:r>
      <w:r>
        <w:rPr>
          <w:rStyle w:val="27"/>
          <w:color w:val="auto"/>
          <w:highlight w:val="none"/>
          <w:lang w:val="en-US" w:eastAsia="en-US"/>
        </w:rPr>
        <w:t>增强主体意识，充分发挥主动性和创造性，对本区域</w:t>
      </w:r>
      <w:r>
        <w:rPr>
          <w:rStyle w:val="27"/>
          <w:rFonts w:hint="eastAsia"/>
          <w:color w:val="auto"/>
          <w:highlight w:val="none"/>
          <w:lang w:val="en-US" w:eastAsia="zh-CN"/>
        </w:rPr>
        <w:t>入市</w:t>
      </w:r>
      <w:r>
        <w:rPr>
          <w:rStyle w:val="27"/>
          <w:color w:val="auto"/>
          <w:highlight w:val="none"/>
          <w:lang w:val="en-US" w:eastAsia="en-US"/>
        </w:rPr>
        <w:t>工作负总责，制定具体工作方案，细化年度工作计划，建立工作台账和时间表、路线图，切实推动重点任务和措施落到实处。</w:t>
      </w:r>
    </w:p>
    <w:p w14:paraId="3B44586D">
      <w:pPr>
        <w:pStyle w:val="23"/>
        <w:numPr>
          <w:ilvl w:val="0"/>
          <w:numId w:val="10"/>
        </w:numPr>
        <w:bidi w:val="0"/>
        <w:rPr>
          <w:color w:val="auto"/>
          <w:highlight w:val="none"/>
          <w:lang w:eastAsia="en-US"/>
        </w:rPr>
      </w:pPr>
      <w:r>
        <w:rPr>
          <w:color w:val="auto"/>
          <w:highlight w:val="none"/>
          <w:lang w:val="en-US" w:eastAsia="en-US"/>
        </w:rPr>
        <w:t>规范稳妥推进。深化</w:t>
      </w:r>
      <w:r>
        <w:rPr>
          <w:rFonts w:hint="eastAsia"/>
          <w:color w:val="auto"/>
          <w:highlight w:val="none"/>
          <w:lang w:val="en-US" w:eastAsia="zh-CN"/>
        </w:rPr>
        <w:t>入市</w:t>
      </w:r>
      <w:r>
        <w:rPr>
          <w:color w:val="auto"/>
          <w:highlight w:val="none"/>
          <w:lang w:val="en-US" w:eastAsia="en-US"/>
        </w:rPr>
        <w:t>工作，事关农民切身利益，涉及各方面利益重大调整，必须严格准入条件、规范程序。遇到的重</w:t>
      </w:r>
      <w:r>
        <w:rPr>
          <w:color w:val="auto"/>
          <w:highlight w:val="none"/>
          <w:lang w:eastAsia="en-US"/>
        </w:rPr>
        <w:t>大问题要及时汇报、及时研究、及时处置。要强化风险防范意识，做好风险评估和应对预案，加强指导和监测监管。</w:t>
      </w:r>
    </w:p>
    <w:p w14:paraId="6CE4D3FA">
      <w:pPr>
        <w:pStyle w:val="20"/>
        <w:numPr>
          <w:ilvl w:val="0"/>
          <w:numId w:val="10"/>
        </w:numPr>
        <w:bidi w:val="0"/>
        <w:rPr>
          <w:rStyle w:val="27"/>
          <w:color w:val="auto"/>
          <w:highlight w:val="none"/>
          <w:lang w:val="en-US" w:eastAsia="en-US"/>
        </w:rPr>
      </w:pPr>
      <w:r>
        <w:rPr>
          <w:color w:val="auto"/>
          <w:highlight w:val="none"/>
          <w:lang w:val="en-US" w:eastAsia="en-US"/>
        </w:rPr>
        <w:t>健全工作机制。</w:t>
      </w:r>
      <w:r>
        <w:rPr>
          <w:rStyle w:val="27"/>
          <w:color w:val="auto"/>
          <w:highlight w:val="none"/>
          <w:lang w:val="en-US" w:eastAsia="en-US"/>
        </w:rPr>
        <w:t>自然资源部门会同发改、财政、生态环境、住建、农业农村等建立部门协调机制，统筹指导</w:t>
      </w:r>
      <w:r>
        <w:rPr>
          <w:rStyle w:val="27"/>
          <w:rFonts w:hint="eastAsia"/>
          <w:color w:val="auto"/>
          <w:highlight w:val="none"/>
          <w:lang w:val="en-US" w:eastAsia="zh-CN"/>
        </w:rPr>
        <w:t>入市</w:t>
      </w:r>
      <w:r>
        <w:rPr>
          <w:rStyle w:val="27"/>
          <w:color w:val="auto"/>
          <w:highlight w:val="none"/>
          <w:lang w:val="en-US" w:eastAsia="en-US"/>
        </w:rPr>
        <w:t>。各部门立足自身职能，明确任务分工，加强协调配合，确保</w:t>
      </w:r>
      <w:r>
        <w:rPr>
          <w:rStyle w:val="27"/>
          <w:rFonts w:hint="eastAsia" w:eastAsia="仿宋_GB2312"/>
          <w:color w:val="auto"/>
          <w:highlight w:val="none"/>
          <w:lang w:val="en-US" w:eastAsia="zh-CN"/>
        </w:rPr>
        <w:t>入市</w:t>
      </w:r>
      <w:r>
        <w:rPr>
          <w:rStyle w:val="27"/>
          <w:color w:val="auto"/>
          <w:highlight w:val="none"/>
          <w:lang w:val="en-US" w:eastAsia="en-US"/>
        </w:rPr>
        <w:t>工作有序推进。发改部门负责指导建立健全产业准入、重点支持领域等制度，参与相关政策制定等工作；财政和税务部门负责研究出台</w:t>
      </w:r>
      <w:r>
        <w:rPr>
          <w:rStyle w:val="27"/>
          <w:rFonts w:hint="eastAsia"/>
          <w:color w:val="auto"/>
          <w:highlight w:val="none"/>
          <w:lang w:val="en-US" w:eastAsia="zh-CN"/>
        </w:rPr>
        <w:t>入市</w:t>
      </w:r>
      <w:r>
        <w:rPr>
          <w:rStyle w:val="27"/>
          <w:color w:val="auto"/>
          <w:highlight w:val="none"/>
          <w:lang w:val="en-US" w:eastAsia="en-US"/>
        </w:rPr>
        <w:t>增值收益调节金管理办法，做好</w:t>
      </w:r>
      <w:r>
        <w:rPr>
          <w:rStyle w:val="27"/>
          <w:rFonts w:hint="eastAsia"/>
          <w:color w:val="auto"/>
          <w:highlight w:val="none"/>
          <w:lang w:val="en-US" w:eastAsia="zh-CN"/>
        </w:rPr>
        <w:t>入市</w:t>
      </w:r>
      <w:r>
        <w:rPr>
          <w:rStyle w:val="27"/>
          <w:color w:val="auto"/>
          <w:highlight w:val="none"/>
          <w:lang w:val="en-US" w:eastAsia="en-US"/>
        </w:rPr>
        <w:t>土地增值收益调节金</w:t>
      </w:r>
      <w:r>
        <w:rPr>
          <w:rStyle w:val="27"/>
          <w:rFonts w:hint="eastAsia" w:eastAsia="仿宋_GB2312"/>
          <w:color w:val="auto"/>
          <w:highlight w:val="none"/>
          <w:lang w:val="en-US" w:eastAsia="zh-CN"/>
        </w:rPr>
        <w:t>的</w:t>
      </w:r>
      <w:r>
        <w:rPr>
          <w:rStyle w:val="27"/>
          <w:color w:val="auto"/>
          <w:highlight w:val="none"/>
          <w:lang w:val="en-US" w:eastAsia="en-US"/>
        </w:rPr>
        <w:t>征缴</w:t>
      </w:r>
      <w:r>
        <w:rPr>
          <w:rStyle w:val="27"/>
          <w:rFonts w:hint="eastAsia" w:eastAsia="仿宋_GB2312"/>
          <w:color w:val="auto"/>
          <w:highlight w:val="none"/>
          <w:lang w:val="en-US" w:eastAsia="zh-CN"/>
        </w:rPr>
        <w:t>工作</w:t>
      </w:r>
      <w:r>
        <w:rPr>
          <w:rStyle w:val="27"/>
          <w:color w:val="auto"/>
          <w:highlight w:val="none"/>
          <w:lang w:val="en-US" w:eastAsia="en-US"/>
        </w:rPr>
        <w:t>；生态环境部门负责做好落实生态环境保护等要求的指导</w:t>
      </w:r>
      <w:r>
        <w:rPr>
          <w:rStyle w:val="27"/>
          <w:rFonts w:hint="eastAsia" w:eastAsia="仿宋_GB2312"/>
          <w:color w:val="auto"/>
          <w:highlight w:val="none"/>
          <w:lang w:val="en-US" w:eastAsia="zh-CN"/>
        </w:rPr>
        <w:t>工作</w:t>
      </w:r>
      <w:r>
        <w:rPr>
          <w:rStyle w:val="27"/>
          <w:color w:val="auto"/>
          <w:highlight w:val="none"/>
          <w:lang w:val="en-US" w:eastAsia="en-US"/>
        </w:rPr>
        <w:t>；住建部门负责做好将</w:t>
      </w:r>
      <w:r>
        <w:rPr>
          <w:rStyle w:val="27"/>
          <w:rFonts w:hint="eastAsia"/>
          <w:color w:val="auto"/>
          <w:highlight w:val="none"/>
          <w:lang w:val="en-US" w:eastAsia="zh-CN"/>
        </w:rPr>
        <w:t>入市</w:t>
      </w:r>
      <w:r>
        <w:rPr>
          <w:rStyle w:val="27"/>
          <w:color w:val="auto"/>
          <w:highlight w:val="none"/>
          <w:lang w:val="en-US" w:eastAsia="en-US"/>
        </w:rPr>
        <w:t>土地用于保障性租赁住房建设工作；农业农村部门负责做好深化农村宅基地制度改革、农村集体产权制度改革等相关工作与</w:t>
      </w:r>
      <w:r>
        <w:rPr>
          <w:rStyle w:val="27"/>
          <w:rFonts w:hint="eastAsia" w:eastAsia="仿宋_GB2312"/>
          <w:color w:val="auto"/>
          <w:highlight w:val="none"/>
          <w:lang w:val="en-US" w:eastAsia="zh-CN"/>
        </w:rPr>
        <w:t>入市</w:t>
      </w:r>
      <w:r>
        <w:rPr>
          <w:rStyle w:val="27"/>
          <w:color w:val="auto"/>
          <w:highlight w:val="none"/>
          <w:lang w:val="en-US" w:eastAsia="en-US"/>
        </w:rPr>
        <w:t>工作的衔接。自然资源部门负责加强对工作任务的跟踪督促，及时向各成员单位通报有关情况，重大事项及时向</w:t>
      </w:r>
      <w:r>
        <w:rPr>
          <w:rStyle w:val="27"/>
          <w:rFonts w:hint="eastAsia"/>
          <w:color w:val="auto"/>
          <w:highlight w:val="none"/>
          <w:lang w:val="en-US" w:eastAsia="zh-CN"/>
        </w:rPr>
        <w:t>区</w:t>
      </w:r>
      <w:r>
        <w:rPr>
          <w:rStyle w:val="27"/>
          <w:color w:val="auto"/>
          <w:highlight w:val="none"/>
          <w:lang w:val="en-US" w:eastAsia="en-US"/>
        </w:rPr>
        <w:t>政府请示报告。</w:t>
      </w:r>
    </w:p>
    <w:p w14:paraId="39D7AA08">
      <w:pPr>
        <w:rPr>
          <w:rFonts w:ascii="黑体" w:hAnsi="黑体" w:eastAsia="黑体" w:cs="黑体"/>
          <w:snapToGrid w:val="0"/>
          <w:color w:val="auto"/>
          <w:spacing w:val="-6"/>
          <w:kern w:val="0"/>
          <w:sz w:val="31"/>
          <w:szCs w:val="31"/>
          <w:highlight w:val="none"/>
          <w:lang w:eastAsia="en-US"/>
        </w:rPr>
      </w:pPr>
      <w:r>
        <w:rPr>
          <w:color w:val="auto"/>
          <w:highlight w:val="none"/>
          <w:lang w:val="en-US" w:eastAsia="en-US"/>
        </w:rPr>
        <w:t>强化宣传引导。</w:t>
      </w:r>
      <w:r>
        <w:rPr>
          <w:rStyle w:val="27"/>
          <w:color w:val="auto"/>
          <w:highlight w:val="none"/>
          <w:lang w:val="en-US" w:eastAsia="en-US"/>
        </w:rPr>
        <w:t>正确把握舆论导向，准确发布农村集体经营性建设用地</w:t>
      </w:r>
      <w:r>
        <w:rPr>
          <w:rStyle w:val="27"/>
          <w:rFonts w:hint="eastAsia"/>
          <w:color w:val="auto"/>
          <w:highlight w:val="none"/>
          <w:lang w:val="en-US" w:eastAsia="zh-CN"/>
        </w:rPr>
        <w:t>入市</w:t>
      </w:r>
      <w:r>
        <w:rPr>
          <w:rStyle w:val="27"/>
          <w:color w:val="auto"/>
          <w:highlight w:val="none"/>
          <w:lang w:val="en-US" w:eastAsia="en-US"/>
        </w:rPr>
        <w:t>相关政策解读和</w:t>
      </w:r>
      <w:r>
        <w:rPr>
          <w:rStyle w:val="27"/>
          <w:rFonts w:hint="eastAsia"/>
          <w:color w:val="auto"/>
          <w:highlight w:val="none"/>
          <w:lang w:val="en-US" w:eastAsia="zh-CN"/>
        </w:rPr>
        <w:t>市场</w:t>
      </w:r>
      <w:r>
        <w:rPr>
          <w:rStyle w:val="27"/>
          <w:color w:val="auto"/>
          <w:highlight w:val="none"/>
          <w:lang w:val="en-US" w:eastAsia="en-US"/>
        </w:rPr>
        <w:t>信息，正确引导舆论，妥善回应社会关切，防止出现社会不稳定问题或舆情事件。加强对典型案例、</w:t>
      </w:r>
      <w:r>
        <w:rPr>
          <w:rStyle w:val="27"/>
          <w:rFonts w:hint="eastAsia" w:eastAsia="仿宋_GB2312"/>
          <w:color w:val="auto"/>
          <w:highlight w:val="none"/>
          <w:lang w:val="en-US" w:eastAsia="zh-CN"/>
        </w:rPr>
        <w:t>入市</w:t>
      </w:r>
      <w:r>
        <w:rPr>
          <w:rStyle w:val="27"/>
          <w:color w:val="auto"/>
          <w:highlight w:val="none"/>
          <w:lang w:val="en-US" w:eastAsia="en-US"/>
        </w:rPr>
        <w:t>成效的总结推广，</w:t>
      </w:r>
      <w:r>
        <w:rPr>
          <w:rStyle w:val="27"/>
          <w:color w:val="auto"/>
          <w:highlight w:val="none"/>
          <w:lang w:eastAsia="en-US"/>
        </w:rPr>
        <w:t>及时宣传报道</w:t>
      </w:r>
      <w:r>
        <w:rPr>
          <w:rStyle w:val="27"/>
          <w:rFonts w:hint="eastAsia" w:eastAsia="仿宋_GB2312"/>
          <w:color w:val="auto"/>
          <w:highlight w:val="none"/>
          <w:lang w:eastAsia="zh-CN"/>
        </w:rPr>
        <w:t>入市</w:t>
      </w:r>
      <w:r>
        <w:rPr>
          <w:rStyle w:val="27"/>
          <w:color w:val="auto"/>
          <w:highlight w:val="none"/>
          <w:lang w:eastAsia="en-US"/>
        </w:rPr>
        <w:t>工作中的新举措、新成效、新亮点，为深化</w:t>
      </w:r>
      <w:r>
        <w:rPr>
          <w:rStyle w:val="27"/>
          <w:rFonts w:hint="eastAsia"/>
          <w:color w:val="auto"/>
          <w:highlight w:val="none"/>
          <w:lang w:eastAsia="zh-CN"/>
        </w:rPr>
        <w:t>入市</w:t>
      </w:r>
      <w:r>
        <w:rPr>
          <w:rStyle w:val="27"/>
          <w:color w:val="auto"/>
          <w:highlight w:val="none"/>
          <w:lang w:eastAsia="en-US"/>
        </w:rPr>
        <w:t>工作营造良好舆论环境和社会氛围。及时总结提炼经验做法，通过编发简报、报送信息等方式，反映工作成效和存在的问题。进一步健全信息发布制度，充分调动农村集体经济组织和</w:t>
      </w:r>
      <w:r>
        <w:rPr>
          <w:rStyle w:val="27"/>
          <w:rFonts w:hint="eastAsia"/>
          <w:color w:val="auto"/>
          <w:highlight w:val="none"/>
          <w:lang w:eastAsia="zh-CN"/>
        </w:rPr>
        <w:t>市场</w:t>
      </w:r>
      <w:r>
        <w:rPr>
          <w:rStyle w:val="27"/>
          <w:color w:val="auto"/>
          <w:highlight w:val="none"/>
          <w:lang w:eastAsia="en-US"/>
        </w:rPr>
        <w:t>主体参与</w:t>
      </w:r>
      <w:r>
        <w:rPr>
          <w:rStyle w:val="27"/>
          <w:rFonts w:hint="eastAsia"/>
          <w:color w:val="auto"/>
          <w:highlight w:val="none"/>
          <w:lang w:eastAsia="zh-CN"/>
        </w:rPr>
        <w:t>入市</w:t>
      </w:r>
      <w:r>
        <w:rPr>
          <w:rStyle w:val="27"/>
          <w:color w:val="auto"/>
          <w:highlight w:val="none"/>
          <w:lang w:eastAsia="en-US"/>
        </w:rPr>
        <w:t>工作的积极性，提高社会各界的参与感和获得感，促进农村集体经营性建设用地</w:t>
      </w:r>
      <w:r>
        <w:rPr>
          <w:rStyle w:val="27"/>
          <w:rFonts w:hint="eastAsia"/>
          <w:color w:val="auto"/>
          <w:highlight w:val="none"/>
          <w:lang w:eastAsia="zh-CN"/>
        </w:rPr>
        <w:t>市场</w:t>
      </w:r>
      <w:r>
        <w:rPr>
          <w:rStyle w:val="27"/>
          <w:color w:val="auto"/>
          <w:highlight w:val="none"/>
          <w:lang w:eastAsia="en-US"/>
        </w:rPr>
        <w:t>的培育和发展。</w:t>
      </w:r>
      <w:bookmarkStart w:id="0" w:name="_GoBack"/>
      <w:bookmarkEnd w:id="0"/>
    </w:p>
    <w:sectPr>
      <w:footerReference r:id="rId5" w:type="default"/>
      <w:pgSz w:w="11905" w:h="16839"/>
      <w:pgMar w:top="1431" w:right="1674" w:bottom="1114" w:left="1731" w:header="0" w:footer="8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ED7F">
    <w:pPr>
      <w:widowControl/>
      <w:kinsoku w:val="0"/>
      <w:autoSpaceDE w:val="0"/>
      <w:autoSpaceDN w:val="0"/>
      <w:bidi w:val="0"/>
      <w:adjustRightInd w:val="0"/>
      <w:snapToGrid w:val="0"/>
      <w:spacing w:line="234" w:lineRule="auto"/>
      <w:ind w:left="0" w:leftChars="0" w:firstLine="0" w:firstLineChars="0"/>
      <w:jc w:val="left"/>
      <w:textAlignment w:val="baseline"/>
      <w:rPr>
        <w:rFonts w:ascii="宋体" w:hAnsi="宋体" w:eastAsia="宋体" w:cs="宋体"/>
        <w:snapToGrid w:val="0"/>
        <w:color w:val="000000"/>
        <w:kern w:val="0"/>
        <w:sz w:val="24"/>
        <w:szCs w:val="24"/>
        <w:lang w:eastAsia="en-US"/>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1F33">
                          <w:pPr>
                            <w:pStyle w:val="10"/>
                            <w:ind w:left="0" w:leftChars="0"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161F33">
                    <w:pPr>
                      <w:pStyle w:val="10"/>
                      <w:ind w:left="0" w:leftChars="0"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58290">
                          <w:pPr>
                            <w:pStyle w:val="10"/>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858290">
                    <w:pPr>
                      <w:pStyle w:val="10"/>
                      <w:ind w:left="0" w:leftChars="0" w:firstLine="0" w:firstLineChars="0"/>
                    </w:pP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6B485">
                          <w:pPr>
                            <w:pStyle w:val="10"/>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A6B485">
                    <w:pPr>
                      <w:pStyle w:val="10"/>
                      <w:ind w:left="0" w:leftChars="0" w:firstLine="0" w:firstLineChars="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8579"/>
    <w:multiLevelType w:val="singleLevel"/>
    <w:tmpl w:val="80308579"/>
    <w:lvl w:ilvl="0" w:tentative="0">
      <w:start w:val="1"/>
      <w:numFmt w:val="chineseCounting"/>
      <w:pStyle w:val="6"/>
      <w:suff w:val="nothing"/>
      <w:lvlText w:val="（%1）"/>
      <w:lvlJc w:val="left"/>
      <w:pPr>
        <w:ind w:left="0" w:firstLine="420"/>
      </w:pPr>
      <w:rPr>
        <w:rFonts w:hint="eastAsia"/>
      </w:rPr>
    </w:lvl>
  </w:abstractNum>
  <w:abstractNum w:abstractNumId="1">
    <w:nsid w:val="81A8781E"/>
    <w:multiLevelType w:val="multilevel"/>
    <w:tmpl w:val="81A8781E"/>
    <w:lvl w:ilvl="0" w:tentative="0">
      <w:start w:val="1"/>
      <w:numFmt w:val="chineseCounting"/>
      <w:pStyle w:val="20"/>
      <w:suff w:val="nothing"/>
      <w:lvlText w:val="（%1）"/>
      <w:lvlJc w:val="left"/>
      <w:pPr>
        <w:ind w:left="0" w:firstLine="40"/>
      </w:pPr>
      <w:rPr>
        <w:rFonts w:hint="eastAsia" w:eastAsia="楷体_GB2312"/>
        <w:sz w:val="32"/>
        <w:szCs w:val="32"/>
      </w:rPr>
    </w:lvl>
    <w:lvl w:ilvl="1" w:tentative="0">
      <w:start w:val="1"/>
      <w:numFmt w:val="decimal"/>
      <w:suff w:val="nothing"/>
      <w:lvlText w:val="%2．"/>
      <w:lvlJc w:val="left"/>
      <w:pPr>
        <w:ind w:left="0" w:firstLine="40"/>
      </w:pPr>
      <w:rPr>
        <w:rFonts w:hint="eastAsia" w:eastAsia="楷体_GB2312"/>
        <w:sz w:val="32"/>
        <w:szCs w:val="32"/>
      </w:rPr>
    </w:lvl>
    <w:lvl w:ilvl="2" w:tentative="0">
      <w:start w:val="1"/>
      <w:numFmt w:val="decimal"/>
      <w:suff w:val="nothing"/>
      <w:lvlText w:val="（%3）"/>
      <w:lvlJc w:val="left"/>
      <w:pPr>
        <w:ind w:left="0" w:firstLine="40"/>
      </w:pPr>
      <w:rPr>
        <w:rFonts w:hint="eastAsia" w:eastAsia="楷体_GB2312"/>
        <w:sz w:val="32"/>
        <w:szCs w:val="32"/>
      </w:rPr>
    </w:lvl>
    <w:lvl w:ilvl="3" w:tentative="0">
      <w:start w:val="1"/>
      <w:numFmt w:val="decimalEnclosedCircleChinese"/>
      <w:suff w:val="nothing"/>
      <w:lvlText w:val="%4"/>
      <w:lvlJc w:val="left"/>
      <w:pPr>
        <w:ind w:left="0" w:firstLine="40"/>
      </w:pPr>
      <w:rPr>
        <w:rFonts w:hint="eastAsia" w:eastAsia="楷体_GB2312"/>
        <w:sz w:val="32"/>
        <w:szCs w:val="32"/>
      </w:rPr>
    </w:lvl>
    <w:lvl w:ilvl="4" w:tentative="0">
      <w:start w:val="1"/>
      <w:numFmt w:val="decimal"/>
      <w:suff w:val="nothing"/>
      <w:lvlText w:val="%5）"/>
      <w:lvlJc w:val="left"/>
      <w:pPr>
        <w:ind w:left="0" w:firstLine="40"/>
      </w:pPr>
      <w:rPr>
        <w:rFonts w:hint="eastAsia" w:eastAsia="楷体_GB2312"/>
        <w:sz w:val="32"/>
        <w:szCs w:val="32"/>
      </w:rPr>
    </w:lvl>
    <w:lvl w:ilvl="5" w:tentative="0">
      <w:start w:val="1"/>
      <w:numFmt w:val="lowerLetter"/>
      <w:suff w:val="nothing"/>
      <w:lvlText w:val="%6．"/>
      <w:lvlJc w:val="left"/>
      <w:pPr>
        <w:ind w:left="0" w:firstLine="40"/>
      </w:pPr>
      <w:rPr>
        <w:rFonts w:hint="eastAsia" w:eastAsia="楷体_GB2312"/>
        <w:sz w:val="32"/>
        <w:szCs w:val="32"/>
      </w:rPr>
    </w:lvl>
    <w:lvl w:ilvl="6" w:tentative="0">
      <w:start w:val="1"/>
      <w:numFmt w:val="lowerLetter"/>
      <w:suff w:val="nothing"/>
      <w:lvlText w:val="%7）"/>
      <w:lvlJc w:val="left"/>
      <w:pPr>
        <w:ind w:left="0" w:firstLine="40"/>
      </w:pPr>
      <w:rPr>
        <w:rFonts w:hint="eastAsia" w:eastAsia="楷体_GB2312"/>
        <w:sz w:val="32"/>
        <w:szCs w:val="32"/>
      </w:rPr>
    </w:lvl>
    <w:lvl w:ilvl="7" w:tentative="0">
      <w:start w:val="1"/>
      <w:numFmt w:val="lowerRoman"/>
      <w:suff w:val="nothing"/>
      <w:lvlText w:val="%8．"/>
      <w:lvlJc w:val="left"/>
      <w:pPr>
        <w:ind w:left="0" w:firstLine="40"/>
      </w:pPr>
      <w:rPr>
        <w:rFonts w:hint="eastAsia" w:eastAsia="楷体_GB2312"/>
        <w:sz w:val="32"/>
        <w:szCs w:val="32"/>
      </w:rPr>
    </w:lvl>
    <w:lvl w:ilvl="8" w:tentative="0">
      <w:start w:val="1"/>
      <w:numFmt w:val="lowerRoman"/>
      <w:suff w:val="nothing"/>
      <w:lvlText w:val="%9）"/>
      <w:lvlJc w:val="left"/>
      <w:pPr>
        <w:ind w:left="0" w:firstLine="40"/>
      </w:pPr>
      <w:rPr>
        <w:rFonts w:hint="eastAsia" w:eastAsia="楷体_GB2312"/>
        <w:sz w:val="32"/>
        <w:szCs w:val="32"/>
      </w:rPr>
    </w:lvl>
  </w:abstractNum>
  <w:abstractNum w:abstractNumId="2">
    <w:nsid w:val="9A20934C"/>
    <w:multiLevelType w:val="singleLevel"/>
    <w:tmpl w:val="9A20934C"/>
    <w:lvl w:ilvl="0" w:tentative="0">
      <w:start w:val="1"/>
      <w:numFmt w:val="chineseCounting"/>
      <w:pStyle w:val="5"/>
      <w:suff w:val="nothing"/>
      <w:lvlText w:val="%1、"/>
      <w:lvlJc w:val="left"/>
      <w:pPr>
        <w:ind w:left="0" w:firstLine="397"/>
      </w:pPr>
      <w:rPr>
        <w:rFonts w:hint="eastAsia" w:eastAsia="黑体"/>
        <w:sz w:val="32"/>
        <w:szCs w:val="32"/>
      </w:rPr>
    </w:lvl>
  </w:abstractNum>
  <w:abstractNum w:abstractNumId="3">
    <w:nsid w:val="A9FA441E"/>
    <w:multiLevelType w:val="singleLevel"/>
    <w:tmpl w:val="A9FA441E"/>
    <w:lvl w:ilvl="0" w:tentative="0">
      <w:start w:val="1"/>
      <w:numFmt w:val="decimal"/>
      <w:pStyle w:val="8"/>
      <w:suff w:val="nothing"/>
      <w:lvlText w:val="（%1）"/>
      <w:lvlJc w:val="left"/>
      <w:pPr>
        <w:tabs>
          <w:tab w:val="left" w:pos="420"/>
        </w:tabs>
        <w:ind w:left="425" w:leftChars="0" w:hanging="425" w:firstLineChars="0"/>
      </w:pPr>
      <w:rPr>
        <w:rFonts w:hint="default"/>
      </w:rPr>
    </w:lvl>
  </w:abstractNum>
  <w:abstractNum w:abstractNumId="4">
    <w:nsid w:val="ECB2AC16"/>
    <w:multiLevelType w:val="singleLevel"/>
    <w:tmpl w:val="ECB2AC16"/>
    <w:lvl w:ilvl="0" w:tentative="0">
      <w:start w:val="1"/>
      <w:numFmt w:val="decimal"/>
      <w:pStyle w:val="7"/>
      <w:suff w:val="nothing"/>
      <w:lvlText w:val="%1．"/>
      <w:lvlJc w:val="left"/>
      <w:pPr>
        <w:ind w:left="0" w:firstLine="400"/>
      </w:pPr>
      <w:rPr>
        <w:rFonts w:hint="default"/>
      </w:rPr>
    </w:lvl>
  </w:abstractNum>
  <w:abstractNum w:abstractNumId="5">
    <w:nsid w:val="FB1F73B7"/>
    <w:multiLevelType w:val="multilevel"/>
    <w:tmpl w:val="FB1F73B7"/>
    <w:lvl w:ilvl="0" w:tentative="0">
      <w:start w:val="1"/>
      <w:numFmt w:val="decimal"/>
      <w:pStyle w:val="25"/>
      <w:suff w:val="nothing"/>
      <w:lvlText w:val="%1．"/>
      <w:lvlJc w:val="left"/>
      <w:pPr>
        <w:ind w:left="0" w:firstLine="397"/>
      </w:pPr>
      <w:rPr>
        <w:rFonts w:hint="default" w:eastAsia="仿宋_GB2312"/>
        <w:sz w:val="32"/>
        <w:szCs w:val="32"/>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70A7D59E"/>
    <w:multiLevelType w:val="singleLevel"/>
    <w:tmpl w:val="70A7D59E"/>
    <w:lvl w:ilvl="0" w:tentative="0">
      <w:start w:val="1"/>
      <w:numFmt w:val="chineseCounting"/>
      <w:pStyle w:val="4"/>
      <w:suff w:val="nothing"/>
      <w:lvlText w:val="%1、"/>
      <w:lvlJc w:val="left"/>
      <w:pPr>
        <w:ind w:left="0" w:firstLine="397"/>
      </w:pPr>
      <w:rPr>
        <w:rFonts w:hint="eastAsia" w:eastAsia="黑体"/>
        <w:sz w:val="32"/>
        <w:szCs w:val="32"/>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6123A1"/>
    <w:rsid w:val="026B2817"/>
    <w:rsid w:val="03A870DF"/>
    <w:rsid w:val="04B732F3"/>
    <w:rsid w:val="051F15AE"/>
    <w:rsid w:val="05A3035A"/>
    <w:rsid w:val="06CD1995"/>
    <w:rsid w:val="075C0A0C"/>
    <w:rsid w:val="0825788B"/>
    <w:rsid w:val="08EC4507"/>
    <w:rsid w:val="0A232B4E"/>
    <w:rsid w:val="0AB950BE"/>
    <w:rsid w:val="0BF056CB"/>
    <w:rsid w:val="0BFA670A"/>
    <w:rsid w:val="0C0A675F"/>
    <w:rsid w:val="0C632119"/>
    <w:rsid w:val="0CEE441F"/>
    <w:rsid w:val="0CF24092"/>
    <w:rsid w:val="0EA87391"/>
    <w:rsid w:val="0EB2020F"/>
    <w:rsid w:val="0F6C7CDA"/>
    <w:rsid w:val="10593966"/>
    <w:rsid w:val="12276AA5"/>
    <w:rsid w:val="129B1196"/>
    <w:rsid w:val="13946135"/>
    <w:rsid w:val="13E575E6"/>
    <w:rsid w:val="15B13177"/>
    <w:rsid w:val="15B348B4"/>
    <w:rsid w:val="15B50D11"/>
    <w:rsid w:val="18A4310A"/>
    <w:rsid w:val="195971B4"/>
    <w:rsid w:val="1A936E0D"/>
    <w:rsid w:val="1D1E494D"/>
    <w:rsid w:val="1DA33EC6"/>
    <w:rsid w:val="1E645700"/>
    <w:rsid w:val="1E9754E8"/>
    <w:rsid w:val="1F1B1853"/>
    <w:rsid w:val="20D90167"/>
    <w:rsid w:val="214301F8"/>
    <w:rsid w:val="219F6B29"/>
    <w:rsid w:val="24FF2735"/>
    <w:rsid w:val="259F14C8"/>
    <w:rsid w:val="25B023DF"/>
    <w:rsid w:val="26A10D41"/>
    <w:rsid w:val="278B3737"/>
    <w:rsid w:val="289436BF"/>
    <w:rsid w:val="299F6FE4"/>
    <w:rsid w:val="2C0F6B5F"/>
    <w:rsid w:val="2C40389F"/>
    <w:rsid w:val="2CCF04B2"/>
    <w:rsid w:val="2CF14596"/>
    <w:rsid w:val="2E5C5D76"/>
    <w:rsid w:val="2E6E01C5"/>
    <w:rsid w:val="2EDC19F8"/>
    <w:rsid w:val="308D7B79"/>
    <w:rsid w:val="30B6186D"/>
    <w:rsid w:val="31385D69"/>
    <w:rsid w:val="318748DC"/>
    <w:rsid w:val="3214691B"/>
    <w:rsid w:val="32AB5560"/>
    <w:rsid w:val="33D37043"/>
    <w:rsid w:val="34CA4C54"/>
    <w:rsid w:val="351647A5"/>
    <w:rsid w:val="359A7B25"/>
    <w:rsid w:val="35F63A0A"/>
    <w:rsid w:val="36035EE7"/>
    <w:rsid w:val="36277B6E"/>
    <w:rsid w:val="380B7508"/>
    <w:rsid w:val="3AD06DCC"/>
    <w:rsid w:val="3B175CFB"/>
    <w:rsid w:val="3B342D8F"/>
    <w:rsid w:val="3C4900DB"/>
    <w:rsid w:val="3DA66CA1"/>
    <w:rsid w:val="3DD536D9"/>
    <w:rsid w:val="3F297A7B"/>
    <w:rsid w:val="3FAB3ED2"/>
    <w:rsid w:val="408E76D5"/>
    <w:rsid w:val="40CC31ED"/>
    <w:rsid w:val="41517D2D"/>
    <w:rsid w:val="43123E07"/>
    <w:rsid w:val="449D5E82"/>
    <w:rsid w:val="44D66CFF"/>
    <w:rsid w:val="44E35950"/>
    <w:rsid w:val="47BB36B5"/>
    <w:rsid w:val="485F3913"/>
    <w:rsid w:val="49F92273"/>
    <w:rsid w:val="4B3C7917"/>
    <w:rsid w:val="4DA527BF"/>
    <w:rsid w:val="4F837195"/>
    <w:rsid w:val="4FAE60B5"/>
    <w:rsid w:val="50D4618A"/>
    <w:rsid w:val="513F78D4"/>
    <w:rsid w:val="51937BE2"/>
    <w:rsid w:val="527B7C34"/>
    <w:rsid w:val="53362AB4"/>
    <w:rsid w:val="535857C8"/>
    <w:rsid w:val="54623B15"/>
    <w:rsid w:val="54AA76CA"/>
    <w:rsid w:val="54E6D082"/>
    <w:rsid w:val="5500743C"/>
    <w:rsid w:val="558812A7"/>
    <w:rsid w:val="5627572A"/>
    <w:rsid w:val="56DA4169"/>
    <w:rsid w:val="56DF4B2D"/>
    <w:rsid w:val="56F411F5"/>
    <w:rsid w:val="570375C9"/>
    <w:rsid w:val="57D4431F"/>
    <w:rsid w:val="58F20F01"/>
    <w:rsid w:val="595E1265"/>
    <w:rsid w:val="5A396A40"/>
    <w:rsid w:val="5A6E7688"/>
    <w:rsid w:val="5A8C2C8F"/>
    <w:rsid w:val="5B6A15DE"/>
    <w:rsid w:val="5BE82147"/>
    <w:rsid w:val="5CFB06F8"/>
    <w:rsid w:val="5D617C4E"/>
    <w:rsid w:val="5E0FDF97"/>
    <w:rsid w:val="5E1F667D"/>
    <w:rsid w:val="5F0668CA"/>
    <w:rsid w:val="5F2D3E6A"/>
    <w:rsid w:val="606C5C20"/>
    <w:rsid w:val="61D261ED"/>
    <w:rsid w:val="61F15C51"/>
    <w:rsid w:val="627F1E8D"/>
    <w:rsid w:val="62EE098B"/>
    <w:rsid w:val="65E67A7B"/>
    <w:rsid w:val="66263EDC"/>
    <w:rsid w:val="662863AF"/>
    <w:rsid w:val="68064081"/>
    <w:rsid w:val="69674CB3"/>
    <w:rsid w:val="69913047"/>
    <w:rsid w:val="69CC0331"/>
    <w:rsid w:val="69FA106C"/>
    <w:rsid w:val="6A881849"/>
    <w:rsid w:val="6AA110E9"/>
    <w:rsid w:val="6AFF61FD"/>
    <w:rsid w:val="6C0B05E0"/>
    <w:rsid w:val="6C997144"/>
    <w:rsid w:val="6E216993"/>
    <w:rsid w:val="6EBA049D"/>
    <w:rsid w:val="6F3DC5F1"/>
    <w:rsid w:val="6FCB08AD"/>
    <w:rsid w:val="70042156"/>
    <w:rsid w:val="70286C3E"/>
    <w:rsid w:val="70F64AE0"/>
    <w:rsid w:val="713F6856"/>
    <w:rsid w:val="72B158F0"/>
    <w:rsid w:val="73467A8E"/>
    <w:rsid w:val="7369536E"/>
    <w:rsid w:val="74511518"/>
    <w:rsid w:val="74A929F3"/>
    <w:rsid w:val="776D40C1"/>
    <w:rsid w:val="78B10710"/>
    <w:rsid w:val="79166DBE"/>
    <w:rsid w:val="7AD0650C"/>
    <w:rsid w:val="7B6B0973"/>
    <w:rsid w:val="7B6E4B32"/>
    <w:rsid w:val="7B7F8675"/>
    <w:rsid w:val="7BFD19D3"/>
    <w:rsid w:val="7D7F1039"/>
    <w:rsid w:val="7ED34CB3"/>
    <w:rsid w:val="7FE1C7F1"/>
    <w:rsid w:val="AB42A88F"/>
    <w:rsid w:val="BFF99279"/>
    <w:rsid w:val="DAFBC618"/>
    <w:rsid w:val="DB680261"/>
    <w:rsid w:val="DFFFCAE6"/>
    <w:rsid w:val="F3FD104C"/>
    <w:rsid w:val="F7B75B7F"/>
    <w:rsid w:val="FA7E6EA9"/>
    <w:rsid w:val="FAEBEE62"/>
    <w:rsid w:val="FF4F0704"/>
    <w:rsid w:val="FFBF8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560" w:lineRule="exact"/>
      <w:ind w:firstLine="640" w:firstLineChars="200"/>
      <w:jc w:val="both"/>
    </w:pPr>
    <w:rPr>
      <w:rFonts w:ascii="Times New Roman" w:hAnsi="Times New Roman" w:eastAsia="仿宋_GB2312" w:cs="Times New Roman"/>
      <w:color w:val="auto"/>
      <w:kern w:val="2"/>
      <w:sz w:val="32"/>
      <w:szCs w:val="32"/>
      <w:lang w:val="en-US" w:eastAsia="zh-CN" w:bidi="ar-SA"/>
    </w:rPr>
  </w:style>
  <w:style w:type="paragraph" w:styleId="2">
    <w:name w:val="heading 1"/>
    <w:basedOn w:val="3"/>
    <w:next w:val="1"/>
    <w:qFormat/>
    <w:uiPriority w:val="0"/>
    <w:pPr>
      <w:spacing w:after="100" w:afterLines="100"/>
      <w:outlineLvl w:val="0"/>
    </w:pPr>
  </w:style>
  <w:style w:type="paragraph" w:styleId="4">
    <w:name w:val="heading 2"/>
    <w:basedOn w:val="5"/>
    <w:next w:val="1"/>
    <w:semiHidden/>
    <w:unhideWhenUsed/>
    <w:qFormat/>
    <w:uiPriority w:val="0"/>
    <w:pPr>
      <w:numPr>
        <w:numId w:val="1"/>
      </w:numPr>
      <w:outlineLvl w:val="1"/>
    </w:pPr>
  </w:style>
  <w:style w:type="paragraph" w:styleId="6">
    <w:name w:val="heading 3"/>
    <w:basedOn w:val="1"/>
    <w:next w:val="1"/>
    <w:link w:val="30"/>
    <w:semiHidden/>
    <w:unhideWhenUsed/>
    <w:qFormat/>
    <w:uiPriority w:val="0"/>
    <w:pPr>
      <w:numPr>
        <w:ilvl w:val="0"/>
        <w:numId w:val="2"/>
      </w:numPr>
      <w:ind w:firstLine="420" w:firstLineChars="0"/>
      <w:outlineLvl w:val="2"/>
    </w:pPr>
    <w:rPr>
      <w:rFonts w:ascii="楷体_GB2312" w:hAnsi="楷体_GB2312" w:eastAsia="楷体_GB2312" w:cs="楷体_GB2312"/>
    </w:rPr>
  </w:style>
  <w:style w:type="paragraph" w:styleId="7">
    <w:name w:val="heading 4"/>
    <w:basedOn w:val="1"/>
    <w:next w:val="1"/>
    <w:semiHidden/>
    <w:unhideWhenUsed/>
    <w:qFormat/>
    <w:uiPriority w:val="0"/>
    <w:pPr>
      <w:numPr>
        <w:ilvl w:val="0"/>
        <w:numId w:val="3"/>
      </w:numPr>
      <w:outlineLvl w:val="3"/>
    </w:pPr>
    <w:rPr>
      <w:rFonts w:ascii="Times New Roman" w:hAnsi="Times New Roman" w:cs="Times New Roman"/>
    </w:rPr>
  </w:style>
  <w:style w:type="paragraph" w:styleId="8">
    <w:name w:val="heading 5"/>
    <w:basedOn w:val="7"/>
    <w:next w:val="1"/>
    <w:semiHidden/>
    <w:unhideWhenUsed/>
    <w:qFormat/>
    <w:uiPriority w:val="0"/>
    <w:pPr>
      <w:numPr>
        <w:numId w:val="4"/>
      </w:numPr>
      <w:tabs>
        <w:tab w:val="left" w:pos="420"/>
      </w:tabs>
      <w:ind w:left="0" w:firstLine="880" w:firstLineChars="200"/>
      <w:outlineLvl w:val="4"/>
    </w:pPr>
    <w:rPr>
      <w:rFonts w:ascii="Times New Roman" w:hAnsi="Times New Roman"/>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3">
    <w:name w:val="材料标题"/>
    <w:basedOn w:val="1"/>
    <w:link w:val="16"/>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5">
    <w:name w:val="材料一级标题"/>
    <w:basedOn w:val="1"/>
    <w:link w:val="26"/>
    <w:qFormat/>
    <w:uiPriority w:val="0"/>
    <w:pPr>
      <w:numPr>
        <w:ilvl w:val="0"/>
        <w:numId w:val="5"/>
      </w:numPr>
      <w:spacing w:line="560" w:lineRule="exact"/>
      <w:ind w:firstLine="880" w:firstLineChars="200"/>
    </w:pPr>
    <w:rPr>
      <w:rFonts w:hint="eastAsia" w:ascii="黑体" w:hAnsi="黑体" w:eastAsia="黑体" w:cs="黑体"/>
      <w:sz w:val="32"/>
      <w:szCs w:val="32"/>
    </w:r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Hyperlink"/>
    <w:basedOn w:val="14"/>
    <w:qFormat/>
    <w:uiPriority w:val="0"/>
    <w:rPr>
      <w:color w:val="0000FF"/>
      <w:u w:val="single"/>
    </w:rPr>
  </w:style>
  <w:style w:type="character" w:customStyle="1" w:styleId="16">
    <w:name w:val="材料标题 Char"/>
    <w:link w:val="3"/>
    <w:qFormat/>
    <w:uiPriority w:val="0"/>
    <w:rPr>
      <w:rFonts w:hint="eastAsia" w:ascii="方正小标宋简体" w:hAnsi="方正小标宋简体" w:eastAsia="方正小标宋简体" w:cs="方正小标宋简体"/>
      <w:sz w:val="44"/>
      <w:szCs w:val="44"/>
    </w:rPr>
  </w:style>
  <w:style w:type="paragraph" w:customStyle="1" w:styleId="17">
    <w:name w:val="材料标注"/>
    <w:basedOn w:val="1"/>
    <w:link w:val="18"/>
    <w:qFormat/>
    <w:uiPriority w:val="0"/>
    <w:pPr>
      <w:spacing w:line="660" w:lineRule="exact"/>
      <w:ind w:firstLine="0" w:firstLineChars="0"/>
      <w:jc w:val="left"/>
    </w:pPr>
    <w:rPr>
      <w:rFonts w:hint="eastAsia" w:ascii="Times New Roman" w:hAnsi="Times New Roman" w:eastAsia="楷体_GB2312" w:cs="楷体_GB2312"/>
    </w:rPr>
  </w:style>
  <w:style w:type="character" w:customStyle="1" w:styleId="18">
    <w:name w:val="材料标注 Char"/>
    <w:link w:val="17"/>
    <w:qFormat/>
    <w:uiPriority w:val="0"/>
    <w:rPr>
      <w:rFonts w:hint="eastAsia" w:ascii="Times New Roman" w:hAnsi="Times New Roman" w:eastAsia="楷体_GB2312" w:cs="楷体_GB2312"/>
      <w:sz w:val="32"/>
      <w:szCs w:val="32"/>
    </w:rPr>
  </w:style>
  <w:style w:type="paragraph" w:customStyle="1" w:styleId="19">
    <w:name w:val="材料单位名称"/>
    <w:basedOn w:val="1"/>
    <w:qFormat/>
    <w:uiPriority w:val="0"/>
    <w:pPr>
      <w:spacing w:line="560" w:lineRule="exact"/>
      <w:jc w:val="center"/>
    </w:pPr>
    <w:rPr>
      <w:rFonts w:ascii="Times New Roman" w:hAnsi="Times New Roman" w:eastAsia="楷体_GB2312" w:cs="Times New Roman"/>
      <w:sz w:val="32"/>
      <w:szCs w:val="32"/>
    </w:rPr>
  </w:style>
  <w:style w:type="paragraph" w:customStyle="1" w:styleId="20">
    <w:name w:val="材料二级标题"/>
    <w:basedOn w:val="1"/>
    <w:link w:val="21"/>
    <w:qFormat/>
    <w:uiPriority w:val="0"/>
    <w:pPr>
      <w:numPr>
        <w:ilvl w:val="0"/>
        <w:numId w:val="6"/>
      </w:numPr>
      <w:spacing w:line="560" w:lineRule="exact"/>
      <w:ind w:firstLine="640" w:firstLineChars="200"/>
    </w:pPr>
    <w:rPr>
      <w:rFonts w:ascii="Times New Roman" w:hAnsi="Times New Roman" w:eastAsia="楷体_GB2312"/>
    </w:rPr>
  </w:style>
  <w:style w:type="character" w:customStyle="1" w:styleId="21">
    <w:name w:val="材料二级标题 Char"/>
    <w:link w:val="20"/>
    <w:qFormat/>
    <w:uiPriority w:val="0"/>
    <w:rPr>
      <w:rFonts w:ascii="Times New Roman" w:hAnsi="Times New Roman" w:eastAsia="楷体_GB2312" w:cs="Times New Roman"/>
      <w:color w:val="auto"/>
      <w:sz w:val="32"/>
      <w:szCs w:val="32"/>
    </w:rPr>
  </w:style>
  <w:style w:type="paragraph" w:customStyle="1" w:styleId="22">
    <w:name w:val="材料落款"/>
    <w:basedOn w:val="23"/>
    <w:link w:val="24"/>
    <w:qFormat/>
    <w:uiPriority w:val="0"/>
    <w:pPr>
      <w:ind w:right="1260" w:rightChars="600" w:firstLine="0" w:firstLineChars="0"/>
      <w:jc w:val="right"/>
    </w:pPr>
    <w:rPr>
      <w:rFonts w:ascii="Times New Roman" w:hAnsi="Times New Roman"/>
    </w:rPr>
  </w:style>
  <w:style w:type="paragraph" w:customStyle="1" w:styleId="23">
    <w:name w:val="材料正文"/>
    <w:basedOn w:val="1"/>
    <w:link w:val="27"/>
    <w:qFormat/>
    <w:uiPriority w:val="0"/>
    <w:pPr>
      <w:spacing w:line="600" w:lineRule="exact"/>
      <w:ind w:firstLine="640" w:firstLineChars="200"/>
      <w:jc w:val="both"/>
    </w:pPr>
    <w:rPr>
      <w:rFonts w:ascii="Times New Roman" w:hAnsi="Times New Roman"/>
      <w:snapToGrid w:val="0"/>
      <w:color w:val="000000"/>
      <w:kern w:val="0"/>
      <w:lang w:eastAsia="en-US"/>
    </w:rPr>
  </w:style>
  <w:style w:type="character" w:customStyle="1" w:styleId="24">
    <w:name w:val="材料落款 Char"/>
    <w:link w:val="22"/>
    <w:qFormat/>
    <w:uiPriority w:val="0"/>
    <w:rPr>
      <w:rFonts w:ascii="Times New Roman" w:hAnsi="Times New Roman" w:eastAsia="仿宋_GB2312" w:cs="Times New Roman"/>
      <w:snapToGrid w:val="0"/>
      <w:color w:val="000000"/>
      <w:kern w:val="0"/>
      <w:sz w:val="32"/>
      <w:szCs w:val="32"/>
      <w:lang w:eastAsia="en-US"/>
    </w:rPr>
  </w:style>
  <w:style w:type="paragraph" w:customStyle="1" w:styleId="25">
    <w:name w:val="材料三级标题"/>
    <w:basedOn w:val="1"/>
    <w:link w:val="31"/>
    <w:qFormat/>
    <w:uiPriority w:val="0"/>
    <w:pPr>
      <w:numPr>
        <w:ilvl w:val="0"/>
        <w:numId w:val="7"/>
      </w:numPr>
      <w:spacing w:line="560" w:lineRule="exact"/>
      <w:ind w:firstLine="640" w:firstLineChars="200"/>
      <w:jc w:val="both"/>
    </w:pPr>
    <w:rPr>
      <w:rFonts w:ascii="Times New Roman" w:hAnsi="Times New Roman"/>
    </w:rPr>
  </w:style>
  <w:style w:type="character" w:customStyle="1" w:styleId="26">
    <w:name w:val="材料一级标题 Char"/>
    <w:link w:val="5"/>
    <w:qFormat/>
    <w:uiPriority w:val="0"/>
    <w:rPr>
      <w:rFonts w:ascii="黑体" w:hAnsi="黑体" w:eastAsia="黑体" w:cs="黑体"/>
      <w:kern w:val="2"/>
      <w:sz w:val="32"/>
      <w:szCs w:val="32"/>
    </w:rPr>
  </w:style>
  <w:style w:type="character" w:customStyle="1" w:styleId="27">
    <w:name w:val="材料正文 Char"/>
    <w:link w:val="23"/>
    <w:qFormat/>
    <w:uiPriority w:val="0"/>
    <w:rPr>
      <w:rFonts w:ascii="Times New Roman" w:hAnsi="Times New Roman" w:eastAsia="仿宋_GB2312" w:cs="Times New Roman"/>
      <w:snapToGrid w:val="0"/>
      <w:color w:val="000000"/>
      <w:kern w:val="0"/>
      <w:sz w:val="32"/>
      <w:szCs w:val="32"/>
      <w:lang w:eastAsia="en-US"/>
    </w:rPr>
  </w:style>
  <w:style w:type="paragraph" w:customStyle="1" w:styleId="28">
    <w:name w:val="材料页码"/>
    <w:basedOn w:val="1"/>
    <w:link w:val="33"/>
    <w:qFormat/>
    <w:uiPriority w:val="0"/>
    <w:pPr>
      <w:tabs>
        <w:tab w:val="center" w:pos="4153"/>
        <w:tab w:val="right" w:pos="8306"/>
      </w:tabs>
      <w:snapToGrid w:val="0"/>
      <w:jc w:val="left"/>
    </w:pPr>
    <w:rPr>
      <w:rFonts w:hint="eastAsia" w:ascii="宋体" w:hAnsi="宋体" w:eastAsia="宋体" w:cs="宋体"/>
      <w:sz w:val="28"/>
      <w:szCs w:val="28"/>
    </w:rPr>
  </w:style>
  <w:style w:type="paragraph" w:customStyle="1" w:styleId="29">
    <w:name w:val="样式1"/>
    <w:basedOn w:val="23"/>
    <w:qFormat/>
    <w:uiPriority w:val="0"/>
    <w:pPr>
      <w:bidi/>
      <w:ind w:left="1260" w:leftChars="600" w:firstLine="0" w:firstLineChars="0"/>
    </w:pPr>
    <w:rPr>
      <w:rFonts w:ascii="Times New Roman" w:hAnsi="Times New Roman"/>
    </w:rPr>
  </w:style>
  <w:style w:type="character" w:customStyle="1" w:styleId="30">
    <w:name w:val="标题 3 Char"/>
    <w:link w:val="6"/>
    <w:qFormat/>
    <w:uiPriority w:val="0"/>
    <w:rPr>
      <w:rFonts w:ascii="楷体_GB2312" w:hAnsi="楷体_GB2312" w:eastAsia="楷体_GB2312" w:cs="楷体_GB2312"/>
      <w:color w:val="auto"/>
      <w:kern w:val="2"/>
      <w:sz w:val="32"/>
      <w:szCs w:val="32"/>
      <w:lang w:val="en-US" w:eastAsia="zh-CN" w:bidi="ar-SA"/>
    </w:rPr>
  </w:style>
  <w:style w:type="character" w:customStyle="1" w:styleId="31">
    <w:name w:val="材料三级标题 Char"/>
    <w:link w:val="25"/>
    <w:qFormat/>
    <w:uiPriority w:val="0"/>
    <w:rPr>
      <w:rFonts w:ascii="Times New Roman" w:hAnsi="Times New Roman" w:eastAsia="仿宋_GB2312" w:cs="Times New Roman"/>
      <w:color w:val="auto"/>
      <w:sz w:val="32"/>
      <w:szCs w:val="32"/>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材料页码 Char"/>
    <w:link w:val="28"/>
    <w:qFormat/>
    <w:uiPriority w:val="0"/>
    <w:rPr>
      <w:rFonts w:hint="eastAsia"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d56a8e6d-0188-4497-a11a-aae1027fa074</errorID>
      <errorWord>党的二十大及二十届历次全会精神</errorWord>
      <group>L1_Political</group>
      <groupName>政治性问题</groupName>
      <ability>L2_Unpolitical</ability>
      <abilityName>政治敏感错误</abilityName>
      <candidateList>
        <item>党的二十大和二十届历次全会精神</item>
      </candidateList>
      <explain/>
      <paraID>45366865</paraID>
      <start>42</start>
      <end>57</end>
      <status>modified</status>
      <modifiedWord>党的二十大和二十届历次全会精神</modifiedWord>
      <trackRevisions>false</trackRevisions>
    </reviewItem>
    <reviewItem>
      <errorID>fd7f6458-d83f-4a9a-b6ac-b09c3211007e</errorID>
      <errorWord>强化</errorWord>
      <group>L1_Grammar</group>
      <groupName>语法问题</groupName>
      <ability>L2_Grammar</ability>
      <abilityName>语法错误</abilityName>
      <candidateList>
        <item>优化</item>
      </candidateList>
      <explain>“强化～条件”搭配不当，建议修改为“优化～条件”。</explain>
      <paraID>1DF1A4A9</paraID>
      <start>0</start>
      <end>2</end>
      <status>ignored</status>
      <modifiedWord/>
      <trackRevisions>false</trackRevisions>
    </reviewItem>
    <reviewItem>
      <errorID>d5577063-851c-4c9e-8424-7bd06a4a563e</errorID>
      <errorWord>,</errorWord>
      <group>L1_Format</group>
      <groupName>格式问题</groupName>
      <ability>L2_HalfPunc_CN</ability>
      <abilityName>全半角检查</abilityName>
      <candidateList>
        <item>，</item>
      </candidateList>
      <explain>文本全半角错误。</explain>
      <paraID>45147A73</paraID>
      <start>31</start>
      <end>32</end>
      <status>modified</status>
      <modifiedWord>，</modifiedWord>
      <trackRevisions>false</trackRevisions>
    </reviewItem>
    <reviewItem>
      <errorID>6ba69f2a-108a-4edb-9b73-b633cbe1c3fa</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1DA6D25A</paraID>
      <start>27</start>
      <end>29</end>
      <status>modified</status>
      <modifiedWord>发展</modifiedWord>
      <trackRevisions>false</trackRevisions>
    </reviewItem>
    <reviewItem>
      <errorID>b194a741-ba33-4b18-8e57-15550e322ba3</errorID>
      <errorWord>）</errorWord>
      <group>L1_Word</group>
      <groupName>字词问题</groupName>
      <ability>L2_Typo</ability>
      <abilityName>字词错误</abilityName>
      <candidateList>
        <item>）要</item>
      </candidateList>
      <explain/>
      <paraID>4E4226F2</paraID>
      <start>72</start>
      <end>73</end>
      <status>ignored</status>
      <modifiedWord/>
      <trackRevisions>false</trackRevisions>
    </reviewItem>
    <reviewItem>
      <errorID>53fa1f2b-7d20-41dd-9b26-008e22ac7b6e</errorID>
      <errorWord>领导小组审定</errorWord>
      <group>L1_Word</group>
      <groupName>字词问题</groupName>
      <ability>L2_Typo</ability>
      <abilityName>字词错误</abilityName>
      <candidateList/>
      <explain>知识性错误</explain>
      <paraID>734F0D8B</paraID>
      <start>46</start>
      <end>52</end>
      <status>ignored</status>
      <modifiedWord/>
      <trackRevisions>false</trackRevisions>
    </reviewItem>
    <reviewItem>
      <errorID>7fafe995-926f-4656-b235-ffba704643fa</errorID>
      <errorWord>拟定</errorWord>
      <group>L1_Word</group>
      <groupName>字词问题</groupName>
      <ability>L2_Typo</ability>
      <abilityName>字词错误</abilityName>
      <candidateList>
        <item>拟订</item>
      </candidateList>
      <explain>〈动〉草拟：～计划｜～方案。</explain>
      <paraID>734F0D8B</paraID>
      <start>55</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41fbc-6b4e-40f2-876c-d8d67d6024c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6839</Words>
  <Characters>6855</Characters>
  <Lines>0</Lines>
  <Paragraphs>0</Paragraphs>
  <TotalTime>10</TotalTime>
  <ScaleCrop>false</ScaleCrop>
  <LinksUpToDate>false</LinksUpToDate>
  <CharactersWithSpaces>7033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2026-05-13T19:12:00Z</dcterms:created>
  <dc:creator>漫</dc:creator>
  <cp:lastModifiedBy>漫</cp:lastModifiedBy>
  <cp:lastPrinted>2026-05-19T19:37:00Z</cp:lastPrinted>
  <dcterms:modified xsi:type="dcterms:W3CDTF">2026-06-05T02:49:14Z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8A369F6A010E4C8791D12CD3216D43EE_13</vt:lpwstr>
  </property>
  <property fmtid="{D5CDD505-2E9C-101B-9397-08002B2CF9AE}" pid="4" name="KSOTemplateDocerSaveRecord">
    <vt:lpwstr>eyJoZGlkIjoiYWI3YWRkMDAwMTAyNGQxZWU5YzVjMTI2NjE1ZWE4YmEiLCJ1c2VySWQiOiI0NTI4Nzk0ODYifQ==</vt:lpwstr>
  </property>
</Properties>
</file>