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443AD">
      <w:pPr>
        <w:pStyle w:val="16"/>
        <w:bidi w:val="0"/>
        <w:ind w:left="0" w:leftChars="0" w:right="0" w:rightChars="0" w:firstLine="0" w:firstLineChars="0"/>
        <w:jc w:val="center"/>
      </w:pPr>
      <w:r>
        <w:rPr>
          <w:rFonts w:hint="eastAsia"/>
          <w:lang w:eastAsia="zh-CN"/>
        </w:rPr>
        <w:t>文峰区</w:t>
      </w:r>
      <w:r>
        <w:rPr>
          <w:rFonts w:hint="eastAsia"/>
        </w:rPr>
        <w:t>集体经营性建设用地入市管理办法</w:t>
      </w:r>
    </w:p>
    <w:p w14:paraId="1C418447">
      <w:pPr>
        <w:pStyle w:val="16"/>
        <w:bidi w:val="0"/>
        <w:rPr>
          <w:rFonts w:hint="eastAsia"/>
          <w:lang w:eastAsia="zh-CN"/>
        </w:rPr>
      </w:pPr>
      <w:r>
        <w:rPr>
          <w:rFonts w:hint="eastAsia"/>
        </w:rPr>
        <w:t>（试行）</w:t>
      </w:r>
      <w:r>
        <w:rPr>
          <w:rFonts w:hint="eastAsia"/>
          <w:lang w:eastAsia="zh-CN"/>
        </w:rPr>
        <w:t>（征求意见稿）</w:t>
      </w:r>
      <w:bookmarkStart w:id="0" w:name="_Toc28726"/>
    </w:p>
    <w:p w14:paraId="1CA91377">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r>
        <w:rPr>
          <w:rFonts w:hint="eastAsia" w:ascii="黑体" w:hAnsi="黑体" w:eastAsia="黑体" w:cs="黑体"/>
          <w:color w:val="auto"/>
          <w:sz w:val="31"/>
          <w:szCs w:val="31"/>
        </w:rPr>
        <w:t>第一章  总则</w:t>
      </w:r>
      <w:bookmarkEnd w:id="0"/>
    </w:p>
    <w:p w14:paraId="1A5E83C7">
      <w:pPr>
        <w:pStyle w:val="25"/>
        <w:bidi w:val="0"/>
        <w:rPr>
          <w:color w:val="auto"/>
          <w:sz w:val="31"/>
          <w:szCs w:val="31"/>
        </w:rPr>
      </w:pPr>
      <w:r>
        <w:rPr>
          <w:rFonts w:hint="eastAsia"/>
          <w:color w:val="auto"/>
          <w:sz w:val="31"/>
          <w:szCs w:val="31"/>
        </w:rPr>
        <w:t>第一条　为规范集体经营性建设用地入市行为，构建城乡统一的建设用地市场体系，保障农村集体经济组织和农民的合法权益，根据《中华人民共和国土地管理法</w:t>
      </w:r>
      <w:r>
        <w:rPr>
          <w:rFonts w:hint="eastAsia"/>
          <w:color w:val="auto"/>
          <w:sz w:val="31"/>
          <w:szCs w:val="31"/>
          <w:lang w:eastAsia="zh-CN"/>
        </w:rPr>
        <w:t>》《中华人民共和国土地管理法实施条例》</w:t>
      </w:r>
      <w:r>
        <w:rPr>
          <w:rFonts w:hint="eastAsia"/>
          <w:color w:val="auto"/>
          <w:sz w:val="31"/>
          <w:szCs w:val="31"/>
        </w:rPr>
        <w:t>等文件精神，结合我</w:t>
      </w:r>
      <w:r>
        <w:rPr>
          <w:rFonts w:hint="eastAsia"/>
          <w:color w:val="auto"/>
          <w:sz w:val="31"/>
          <w:szCs w:val="31"/>
          <w:lang w:eastAsia="zh-CN"/>
        </w:rPr>
        <w:t>区</w:t>
      </w:r>
      <w:r>
        <w:rPr>
          <w:rFonts w:hint="eastAsia"/>
          <w:color w:val="auto"/>
          <w:sz w:val="31"/>
          <w:szCs w:val="31"/>
        </w:rPr>
        <w:t>实际，制定本办法。</w:t>
      </w:r>
    </w:p>
    <w:p w14:paraId="0424F9F5">
      <w:pPr>
        <w:pStyle w:val="25"/>
        <w:bidi w:val="0"/>
        <w:rPr>
          <w:color w:val="auto"/>
          <w:sz w:val="31"/>
          <w:szCs w:val="31"/>
        </w:rPr>
      </w:pPr>
      <w:r>
        <w:rPr>
          <w:rFonts w:hint="eastAsia"/>
          <w:color w:val="auto"/>
          <w:sz w:val="31"/>
          <w:szCs w:val="31"/>
        </w:rPr>
        <w:t>第二条　集体经营性建设用地入市以产权明晰、符合规划为前提，以实现集体经营性建设用地与国有建设用地同等入市、同权同价为目标，通过政府引导、服务、规范、管理，建立科学的、可行的集体经营性建设用地入市工作体系，形成兼顾政府、集体、农民的土地收益分配机制，提升集体经营性建设用地资产效益。</w:t>
      </w:r>
    </w:p>
    <w:p w14:paraId="0C20A20D">
      <w:pPr>
        <w:pStyle w:val="25"/>
        <w:bidi w:val="0"/>
        <w:rPr>
          <w:color w:val="auto"/>
          <w:sz w:val="31"/>
          <w:szCs w:val="31"/>
        </w:rPr>
      </w:pPr>
      <w:r>
        <w:rPr>
          <w:rFonts w:hint="eastAsia"/>
          <w:color w:val="auto"/>
          <w:sz w:val="31"/>
          <w:szCs w:val="31"/>
        </w:rPr>
        <w:t>第三条　集体经营性建设用地入市坚守土地公有制性质不改变、耕地红线不突破、农民利益不受损三条底线，坚持用途管制、节约集约，充分发扬民主，按照依法、自愿、公平、公开的原则。</w:t>
      </w:r>
    </w:p>
    <w:p w14:paraId="5455720F">
      <w:pPr>
        <w:pStyle w:val="25"/>
        <w:bidi w:val="0"/>
        <w:rPr>
          <w:color w:val="auto"/>
          <w:sz w:val="31"/>
          <w:szCs w:val="31"/>
        </w:rPr>
      </w:pPr>
      <w:r>
        <w:rPr>
          <w:rFonts w:hint="eastAsia"/>
          <w:color w:val="auto"/>
          <w:sz w:val="31"/>
          <w:szCs w:val="31"/>
        </w:rPr>
        <w:t>第四条　集体经营</w:t>
      </w:r>
      <w:r>
        <w:rPr>
          <w:rFonts w:hint="eastAsia"/>
          <w:b w:val="0"/>
          <w:bCs w:val="0"/>
          <w:color w:val="auto"/>
          <w:sz w:val="31"/>
          <w:szCs w:val="31"/>
        </w:rPr>
        <w:t>性建设用地，是指国土空间规划确定为工业、商业等经营性用途，且已依法办理土地所有权登记的集体经营性建设用地。</w:t>
      </w:r>
    </w:p>
    <w:p w14:paraId="7B481418">
      <w:pPr>
        <w:pStyle w:val="25"/>
        <w:bidi w:val="0"/>
        <w:rPr>
          <w:color w:val="auto"/>
          <w:sz w:val="31"/>
          <w:szCs w:val="31"/>
        </w:rPr>
      </w:pPr>
      <w:r>
        <w:rPr>
          <w:rFonts w:hint="eastAsia"/>
          <w:color w:val="auto"/>
          <w:sz w:val="31"/>
          <w:szCs w:val="31"/>
        </w:rPr>
        <w:t>集体经营性建设用地入市，是指农民集体以土地所有者身份通过公开的土地有形市场，依法将集体经营性建设用地使用权在一定期限内以出让、出租等有偿方式交由其他单位或者个人使用的行为。</w:t>
      </w:r>
    </w:p>
    <w:p w14:paraId="46B05ABA">
      <w:pPr>
        <w:pStyle w:val="25"/>
        <w:bidi w:val="0"/>
        <w:rPr>
          <w:color w:val="auto"/>
          <w:sz w:val="31"/>
          <w:szCs w:val="31"/>
        </w:rPr>
      </w:pPr>
      <w:r>
        <w:rPr>
          <w:rFonts w:hint="eastAsia"/>
          <w:color w:val="auto"/>
          <w:sz w:val="31"/>
          <w:szCs w:val="31"/>
        </w:rPr>
        <w:t>第五条　本办法适用于全</w:t>
      </w:r>
      <w:r>
        <w:rPr>
          <w:rFonts w:hint="eastAsia"/>
          <w:color w:val="auto"/>
          <w:sz w:val="31"/>
          <w:szCs w:val="31"/>
          <w:lang w:eastAsia="zh-CN"/>
        </w:rPr>
        <w:t>区</w:t>
      </w:r>
      <w:r>
        <w:rPr>
          <w:rFonts w:hint="eastAsia"/>
          <w:color w:val="auto"/>
          <w:sz w:val="31"/>
          <w:szCs w:val="31"/>
        </w:rPr>
        <w:t>集体经营性建设用地使用权入市工作及相关监督管理活动。</w:t>
      </w:r>
    </w:p>
    <w:p w14:paraId="28689160">
      <w:pPr>
        <w:pStyle w:val="25"/>
        <w:bidi w:val="0"/>
        <w:rPr>
          <w:color w:val="auto"/>
          <w:sz w:val="31"/>
          <w:szCs w:val="31"/>
        </w:rPr>
      </w:pPr>
      <w:r>
        <w:rPr>
          <w:rFonts w:hint="eastAsia"/>
          <w:color w:val="auto"/>
          <w:sz w:val="31"/>
          <w:szCs w:val="31"/>
        </w:rPr>
        <w:t>第六条　</w:t>
      </w:r>
      <w:r>
        <w:rPr>
          <w:rFonts w:hint="eastAsia"/>
          <w:color w:val="auto"/>
          <w:sz w:val="31"/>
          <w:szCs w:val="31"/>
          <w:lang w:eastAsia="zh-CN"/>
        </w:rPr>
        <w:t>区</w:t>
      </w:r>
      <w:r>
        <w:rPr>
          <w:rFonts w:hint="eastAsia"/>
          <w:color w:val="auto"/>
          <w:sz w:val="31"/>
          <w:szCs w:val="31"/>
        </w:rPr>
        <w:t>政府负责全</w:t>
      </w:r>
      <w:r>
        <w:rPr>
          <w:rFonts w:hint="eastAsia"/>
          <w:color w:val="auto"/>
          <w:sz w:val="31"/>
          <w:szCs w:val="31"/>
          <w:lang w:eastAsia="zh-CN"/>
        </w:rPr>
        <w:t>区</w:t>
      </w:r>
      <w:r>
        <w:rPr>
          <w:rFonts w:hint="eastAsia"/>
          <w:color w:val="auto"/>
          <w:sz w:val="31"/>
          <w:szCs w:val="31"/>
        </w:rPr>
        <w:t>集体经营性建设用地入市工作的统筹协调，</w:t>
      </w:r>
      <w:r>
        <w:rPr>
          <w:rFonts w:hint="eastAsia"/>
          <w:color w:val="auto"/>
          <w:sz w:val="31"/>
          <w:szCs w:val="31"/>
          <w:lang w:eastAsia="zh-CN"/>
        </w:rPr>
        <w:t>区自然资源局</w:t>
      </w:r>
      <w:r>
        <w:rPr>
          <w:rFonts w:hint="eastAsia"/>
          <w:color w:val="auto"/>
          <w:sz w:val="31"/>
          <w:szCs w:val="31"/>
        </w:rPr>
        <w:t>等相关职能部门负责集体经营性建设用地入市工作的实施推进。</w:t>
      </w:r>
    </w:p>
    <w:p w14:paraId="2942F0BE">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1" w:name="_Toc28754"/>
      <w:r>
        <w:rPr>
          <w:rFonts w:hint="eastAsia" w:ascii="黑体" w:hAnsi="黑体" w:eastAsia="黑体" w:cs="黑体"/>
          <w:color w:val="auto"/>
          <w:sz w:val="31"/>
          <w:szCs w:val="31"/>
        </w:rPr>
        <w:t>第二章  入市主体和实施主体</w:t>
      </w:r>
      <w:bookmarkEnd w:id="1"/>
    </w:p>
    <w:p w14:paraId="1944F32F">
      <w:pPr>
        <w:pStyle w:val="25"/>
        <w:bidi w:val="0"/>
        <w:rPr>
          <w:color w:val="auto"/>
          <w:sz w:val="31"/>
          <w:szCs w:val="31"/>
        </w:rPr>
      </w:pPr>
      <w:r>
        <w:rPr>
          <w:rFonts w:hint="eastAsia"/>
          <w:color w:val="auto"/>
          <w:sz w:val="31"/>
          <w:szCs w:val="31"/>
        </w:rPr>
        <w:t>第七条　集体经营性建设用地属于本集体所有，由代表其所有权的集体经济组织或法律规定允许的主体负责入市工作。其中：</w:t>
      </w:r>
    </w:p>
    <w:p w14:paraId="413D2F45">
      <w:pPr>
        <w:pStyle w:val="25"/>
        <w:bidi w:val="0"/>
        <w:rPr>
          <w:color w:val="auto"/>
          <w:sz w:val="31"/>
          <w:szCs w:val="31"/>
        </w:rPr>
      </w:pPr>
      <w:r>
        <w:rPr>
          <w:rFonts w:hint="eastAsia"/>
          <w:color w:val="auto"/>
          <w:sz w:val="31"/>
          <w:szCs w:val="31"/>
        </w:rPr>
        <w:t>属于乡镇集体所有的，由乡镇集体经济组织代表集体行使所有权</w:t>
      </w:r>
      <w:r>
        <w:rPr>
          <w:rFonts w:hint="eastAsia"/>
          <w:color w:val="auto"/>
          <w:sz w:val="31"/>
          <w:szCs w:val="31"/>
          <w:lang w:eastAsia="zh-CN"/>
        </w:rPr>
        <w:t>，未成立集体经济组织的由乡镇政府代表行使所有权</w:t>
      </w:r>
      <w:r>
        <w:rPr>
          <w:rFonts w:hint="eastAsia"/>
          <w:color w:val="auto"/>
          <w:sz w:val="31"/>
          <w:szCs w:val="31"/>
        </w:rPr>
        <w:t>。</w:t>
      </w:r>
    </w:p>
    <w:p w14:paraId="76500542">
      <w:pPr>
        <w:pStyle w:val="25"/>
        <w:bidi w:val="0"/>
        <w:rPr>
          <w:color w:val="auto"/>
          <w:sz w:val="31"/>
          <w:szCs w:val="31"/>
        </w:rPr>
      </w:pPr>
      <w:r>
        <w:rPr>
          <w:rFonts w:hint="eastAsia"/>
          <w:color w:val="auto"/>
          <w:sz w:val="31"/>
          <w:szCs w:val="31"/>
        </w:rPr>
        <w:t>属于村集体所有的，由村集体经济组织代表集体行使所有权，未成立集体经济组织的由村委会代表行使所有权；</w:t>
      </w:r>
    </w:p>
    <w:p w14:paraId="53696E7F">
      <w:pPr>
        <w:pStyle w:val="25"/>
        <w:bidi w:val="0"/>
        <w:rPr>
          <w:color w:val="auto"/>
          <w:sz w:val="31"/>
          <w:szCs w:val="31"/>
        </w:rPr>
      </w:pPr>
      <w:r>
        <w:rPr>
          <w:rFonts w:hint="eastAsia"/>
          <w:color w:val="auto"/>
          <w:sz w:val="31"/>
          <w:szCs w:val="31"/>
        </w:rPr>
        <w:t>属于村内两个以上集体所有的，由村内对应集体经济组织代表集体行使所有权，未成立集体经济组织的由村民小组代表行使所有权。</w:t>
      </w:r>
    </w:p>
    <w:p w14:paraId="3F9569ED">
      <w:pPr>
        <w:pStyle w:val="25"/>
        <w:bidi w:val="0"/>
        <w:rPr>
          <w:color w:val="auto"/>
          <w:sz w:val="31"/>
          <w:szCs w:val="31"/>
        </w:rPr>
      </w:pPr>
      <w:r>
        <w:rPr>
          <w:rFonts w:hint="eastAsia"/>
          <w:color w:val="auto"/>
          <w:sz w:val="31"/>
          <w:szCs w:val="31"/>
        </w:rPr>
        <w:t>第八条　集体经济组织</w:t>
      </w:r>
      <w:r>
        <w:rPr>
          <w:rFonts w:hint="eastAsia"/>
          <w:color w:val="auto"/>
          <w:sz w:val="31"/>
          <w:szCs w:val="31"/>
          <w:lang w:eastAsia="zh-CN"/>
        </w:rPr>
        <w:t>完成登记赋码</w:t>
      </w:r>
      <w:r>
        <w:rPr>
          <w:rFonts w:hint="eastAsia"/>
          <w:color w:val="auto"/>
          <w:sz w:val="31"/>
          <w:szCs w:val="31"/>
        </w:rPr>
        <w:t>依法取得法人资格的，可以作为入市的实施主体，也可以委托其他具有法人资格的组织代理实施入市；尚未依法取得法人资格的，可以通过授权或者委托其他具有法人资格的组织代理实施入市，并通过授权委托明确双方权利义务关系。</w:t>
      </w:r>
    </w:p>
    <w:p w14:paraId="68A6D215">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2" w:name="_Toc7205"/>
      <w:r>
        <w:rPr>
          <w:rFonts w:hint="eastAsia" w:ascii="黑体" w:hAnsi="黑体" w:eastAsia="黑体" w:cs="黑体"/>
          <w:color w:val="auto"/>
          <w:sz w:val="31"/>
          <w:szCs w:val="31"/>
        </w:rPr>
        <w:t>第三章  入市途径与程序</w:t>
      </w:r>
      <w:bookmarkEnd w:id="2"/>
    </w:p>
    <w:p w14:paraId="1D32EBD6">
      <w:pPr>
        <w:pStyle w:val="25"/>
        <w:bidi w:val="0"/>
        <w:rPr>
          <w:rFonts w:hint="eastAsia"/>
          <w:b w:val="0"/>
          <w:bCs w:val="0"/>
          <w:color w:val="auto"/>
          <w:sz w:val="31"/>
          <w:szCs w:val="31"/>
        </w:rPr>
      </w:pPr>
      <w:r>
        <w:rPr>
          <w:rFonts w:hint="eastAsia"/>
          <w:color w:val="auto"/>
          <w:sz w:val="31"/>
          <w:szCs w:val="31"/>
          <w:lang w:eastAsia="zh-CN"/>
        </w:rPr>
        <w:t>第九条</w:t>
      </w:r>
      <w:r>
        <w:rPr>
          <w:rFonts w:hint="eastAsia"/>
          <w:color w:val="auto"/>
          <w:sz w:val="31"/>
          <w:szCs w:val="31"/>
          <w:lang w:val="en-US" w:eastAsia="zh-CN"/>
        </w:rPr>
        <w:t xml:space="preserve">  </w:t>
      </w:r>
      <w:r>
        <w:rPr>
          <w:rFonts w:hint="eastAsia"/>
          <w:color w:val="auto"/>
          <w:sz w:val="31"/>
          <w:szCs w:val="31"/>
        </w:rPr>
        <w:t>集体经营性建设用地入市，应当符合规划</w:t>
      </w:r>
      <w:r>
        <w:rPr>
          <w:rFonts w:hint="eastAsia"/>
          <w:color w:val="auto"/>
          <w:sz w:val="31"/>
          <w:szCs w:val="31"/>
          <w:lang w:eastAsia="zh-CN"/>
        </w:rPr>
        <w:t>、产业、生态环境等政策和标准要求，产权清晰，具备开发利用的基本条件。</w:t>
      </w:r>
    </w:p>
    <w:p w14:paraId="2A957CE1">
      <w:pPr>
        <w:pStyle w:val="25"/>
        <w:bidi w:val="0"/>
        <w:rPr>
          <w:b w:val="0"/>
          <w:bCs w:val="0"/>
          <w:color w:val="auto"/>
          <w:sz w:val="31"/>
          <w:szCs w:val="31"/>
        </w:rPr>
      </w:pPr>
      <w:r>
        <w:rPr>
          <w:rFonts w:hint="eastAsia"/>
          <w:b w:val="0"/>
          <w:bCs w:val="0"/>
          <w:color w:val="auto"/>
          <w:sz w:val="31"/>
          <w:szCs w:val="31"/>
        </w:rPr>
        <w:t>第十条　集体经营性建设用地入市交易，由</w:t>
      </w:r>
      <w:r>
        <w:rPr>
          <w:rFonts w:hint="eastAsia"/>
          <w:b w:val="0"/>
          <w:bCs w:val="0"/>
          <w:color w:val="auto"/>
          <w:sz w:val="31"/>
          <w:szCs w:val="31"/>
          <w:lang w:eastAsia="zh-CN"/>
        </w:rPr>
        <w:t>入市主体</w:t>
      </w:r>
      <w:r>
        <w:rPr>
          <w:rFonts w:hint="eastAsia"/>
          <w:b w:val="0"/>
          <w:bCs w:val="0"/>
          <w:color w:val="auto"/>
          <w:sz w:val="31"/>
          <w:szCs w:val="31"/>
        </w:rPr>
        <w:t>委托</w:t>
      </w:r>
      <w:r>
        <w:rPr>
          <w:rFonts w:hint="eastAsia"/>
          <w:b w:val="0"/>
          <w:bCs w:val="0"/>
          <w:color w:val="auto"/>
          <w:sz w:val="31"/>
          <w:szCs w:val="31"/>
          <w:lang w:eastAsia="zh-CN"/>
        </w:rPr>
        <w:t>市</w:t>
      </w:r>
      <w:r>
        <w:rPr>
          <w:rFonts w:hint="eastAsia"/>
          <w:b w:val="0"/>
          <w:bCs w:val="0"/>
          <w:color w:val="auto"/>
          <w:sz w:val="31"/>
          <w:szCs w:val="31"/>
        </w:rPr>
        <w:t>公共资源交易中心进行。</w:t>
      </w:r>
    </w:p>
    <w:p w14:paraId="1978BD14">
      <w:pPr>
        <w:pStyle w:val="25"/>
        <w:bidi w:val="0"/>
        <w:rPr>
          <w:b w:val="0"/>
          <w:bCs w:val="0"/>
          <w:color w:val="auto"/>
          <w:sz w:val="31"/>
          <w:szCs w:val="31"/>
          <w:highlight w:val="none"/>
        </w:rPr>
      </w:pPr>
      <w:r>
        <w:rPr>
          <w:rFonts w:hint="eastAsia"/>
          <w:b w:val="0"/>
          <w:bCs w:val="0"/>
          <w:color w:val="auto"/>
          <w:sz w:val="31"/>
          <w:szCs w:val="31"/>
        </w:rPr>
        <w:t>第十一条　集体经营性建设用地入市，按照入</w:t>
      </w:r>
      <w:r>
        <w:rPr>
          <w:rFonts w:hint="eastAsia"/>
          <w:color w:val="auto"/>
          <w:sz w:val="31"/>
          <w:szCs w:val="31"/>
        </w:rPr>
        <w:t>市程序和要求开展入市工作。具体入市程序由</w:t>
      </w:r>
      <w:r>
        <w:rPr>
          <w:rFonts w:hint="eastAsia"/>
          <w:color w:val="auto"/>
          <w:sz w:val="31"/>
          <w:szCs w:val="31"/>
          <w:lang w:eastAsia="zh-CN"/>
        </w:rPr>
        <w:t>区</w:t>
      </w:r>
      <w:r>
        <w:rPr>
          <w:rFonts w:hint="eastAsia"/>
          <w:color w:val="auto"/>
          <w:sz w:val="31"/>
          <w:szCs w:val="31"/>
        </w:rPr>
        <w:t>政府另行出台文件进行明</w:t>
      </w:r>
      <w:r>
        <w:rPr>
          <w:rFonts w:hint="eastAsia"/>
          <w:b w:val="0"/>
          <w:bCs w:val="0"/>
          <w:color w:val="auto"/>
          <w:sz w:val="31"/>
          <w:szCs w:val="31"/>
          <w:highlight w:val="none"/>
        </w:rPr>
        <w:t>确。</w:t>
      </w:r>
    </w:p>
    <w:p w14:paraId="70B5438E">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b w:val="0"/>
          <w:bCs w:val="0"/>
          <w:color w:val="auto"/>
          <w:sz w:val="31"/>
          <w:szCs w:val="31"/>
          <w:highlight w:val="none"/>
        </w:rPr>
      </w:pPr>
      <w:bookmarkStart w:id="3" w:name="_Toc31398"/>
      <w:r>
        <w:rPr>
          <w:rFonts w:hint="eastAsia" w:ascii="黑体" w:hAnsi="黑体" w:eastAsia="黑体" w:cs="黑体"/>
          <w:b w:val="0"/>
          <w:bCs w:val="0"/>
          <w:color w:val="auto"/>
          <w:sz w:val="31"/>
          <w:szCs w:val="31"/>
          <w:highlight w:val="none"/>
        </w:rPr>
        <w:t>第四章  地价管理</w:t>
      </w:r>
      <w:bookmarkEnd w:id="3"/>
    </w:p>
    <w:p w14:paraId="4350EA83">
      <w:pPr>
        <w:pStyle w:val="25"/>
        <w:bidi w:val="0"/>
        <w:rPr>
          <w:b w:val="0"/>
          <w:bCs w:val="0"/>
          <w:color w:val="auto"/>
          <w:sz w:val="31"/>
          <w:szCs w:val="31"/>
          <w:highlight w:val="none"/>
        </w:rPr>
      </w:pPr>
      <w:r>
        <w:rPr>
          <w:rFonts w:hint="eastAsia"/>
          <w:b w:val="0"/>
          <w:bCs w:val="0"/>
          <w:color w:val="auto"/>
          <w:sz w:val="31"/>
          <w:szCs w:val="31"/>
          <w:highlight w:val="none"/>
        </w:rPr>
        <w:t>第十二条　</w:t>
      </w:r>
      <w:r>
        <w:rPr>
          <w:rFonts w:hint="eastAsia"/>
          <w:b w:val="0"/>
          <w:bCs w:val="0"/>
          <w:color w:val="auto"/>
          <w:sz w:val="31"/>
          <w:szCs w:val="31"/>
          <w:highlight w:val="none"/>
          <w:lang w:eastAsia="zh-CN"/>
        </w:rPr>
        <w:t>本区入市宗地价格参照执行全市统一基准地价标准。全市集体经营性建设用地基准地价由市政府统一制定并公布实施。</w:t>
      </w:r>
    </w:p>
    <w:p w14:paraId="2F8B19A2">
      <w:pPr>
        <w:pStyle w:val="25"/>
        <w:bidi w:val="0"/>
        <w:rPr>
          <w:b w:val="0"/>
          <w:bCs w:val="0"/>
          <w:color w:val="auto"/>
          <w:sz w:val="31"/>
          <w:szCs w:val="31"/>
          <w:highlight w:val="none"/>
        </w:rPr>
      </w:pPr>
      <w:r>
        <w:rPr>
          <w:rFonts w:hint="eastAsia"/>
          <w:b w:val="0"/>
          <w:bCs w:val="0"/>
          <w:color w:val="auto"/>
          <w:sz w:val="31"/>
          <w:szCs w:val="31"/>
          <w:highlight w:val="none"/>
        </w:rPr>
        <w:t>第十三条　集体经营性建设用地入市方案经</w:t>
      </w:r>
      <w:r>
        <w:rPr>
          <w:rFonts w:hint="eastAsia"/>
          <w:b w:val="0"/>
          <w:bCs w:val="0"/>
          <w:color w:val="auto"/>
          <w:sz w:val="31"/>
          <w:szCs w:val="31"/>
          <w:highlight w:val="none"/>
          <w:lang w:eastAsia="zh-CN"/>
        </w:rPr>
        <w:t>区</w:t>
      </w:r>
      <w:r>
        <w:rPr>
          <w:rFonts w:hint="eastAsia"/>
          <w:b w:val="0"/>
          <w:bCs w:val="0"/>
          <w:color w:val="auto"/>
          <w:sz w:val="31"/>
          <w:szCs w:val="31"/>
          <w:highlight w:val="none"/>
        </w:rPr>
        <w:t>人民政府批准后，由</w:t>
      </w:r>
      <w:r>
        <w:rPr>
          <w:rFonts w:hint="eastAsia"/>
          <w:b w:val="0"/>
          <w:bCs w:val="0"/>
          <w:color w:val="auto"/>
          <w:sz w:val="31"/>
          <w:szCs w:val="31"/>
          <w:highlight w:val="none"/>
          <w:lang w:eastAsia="zh-CN"/>
        </w:rPr>
        <w:t>区</w:t>
      </w:r>
      <w:r>
        <w:rPr>
          <w:rFonts w:hint="eastAsia"/>
          <w:b w:val="0"/>
          <w:bCs w:val="0"/>
          <w:color w:val="auto"/>
          <w:sz w:val="31"/>
          <w:szCs w:val="31"/>
          <w:highlight w:val="none"/>
        </w:rPr>
        <w:t>自然资源局参照国有土地出让模式的集体决策方式</w:t>
      </w:r>
      <w:r>
        <w:rPr>
          <w:rFonts w:hint="eastAsia"/>
          <w:b w:val="0"/>
          <w:bCs w:val="0"/>
          <w:color w:val="auto"/>
          <w:sz w:val="31"/>
          <w:szCs w:val="31"/>
          <w:highlight w:val="none"/>
          <w:lang w:eastAsia="zh-CN"/>
        </w:rPr>
        <w:t>确定交易底价</w:t>
      </w:r>
      <w:r>
        <w:rPr>
          <w:rFonts w:hint="eastAsia"/>
          <w:b w:val="0"/>
          <w:bCs w:val="0"/>
          <w:color w:val="auto"/>
          <w:sz w:val="31"/>
          <w:szCs w:val="31"/>
          <w:highlight w:val="none"/>
        </w:rPr>
        <w:t>。</w:t>
      </w:r>
    </w:p>
    <w:p w14:paraId="6CAF4761">
      <w:pPr>
        <w:pStyle w:val="25"/>
        <w:bidi w:val="0"/>
        <w:rPr>
          <w:color w:val="auto"/>
          <w:sz w:val="31"/>
          <w:szCs w:val="31"/>
        </w:rPr>
      </w:pPr>
      <w:r>
        <w:rPr>
          <w:rFonts w:hint="eastAsia"/>
          <w:color w:val="auto"/>
          <w:sz w:val="31"/>
          <w:szCs w:val="31"/>
        </w:rPr>
        <w:t>在入市交易前，</w:t>
      </w:r>
      <w:r>
        <w:rPr>
          <w:rFonts w:hint="eastAsia"/>
          <w:color w:val="auto"/>
          <w:sz w:val="31"/>
          <w:szCs w:val="31"/>
          <w:lang w:eastAsia="zh-CN"/>
        </w:rPr>
        <w:t>区</w:t>
      </w:r>
      <w:r>
        <w:rPr>
          <w:rFonts w:hint="eastAsia"/>
          <w:color w:val="auto"/>
          <w:sz w:val="31"/>
          <w:szCs w:val="31"/>
        </w:rPr>
        <w:t>人民政府应对集体经营性建设用地入市底价进行审核确认，并按国有建设用地使用权出让底价管理机制批转</w:t>
      </w:r>
      <w:r>
        <w:rPr>
          <w:rFonts w:hint="eastAsia"/>
          <w:color w:val="auto"/>
          <w:sz w:val="31"/>
          <w:szCs w:val="31"/>
          <w:lang w:eastAsia="zh-CN"/>
        </w:rPr>
        <w:t>区</w:t>
      </w:r>
      <w:r>
        <w:rPr>
          <w:rFonts w:hint="eastAsia"/>
          <w:color w:val="auto"/>
          <w:sz w:val="31"/>
          <w:szCs w:val="31"/>
        </w:rPr>
        <w:t>自然资源局依法使用。</w:t>
      </w:r>
    </w:p>
    <w:p w14:paraId="1B029DB7">
      <w:pPr>
        <w:pStyle w:val="25"/>
        <w:bidi w:val="0"/>
        <w:rPr>
          <w:color w:val="auto"/>
          <w:sz w:val="31"/>
          <w:szCs w:val="31"/>
        </w:rPr>
      </w:pPr>
      <w:r>
        <w:rPr>
          <w:rFonts w:hint="eastAsia"/>
          <w:color w:val="auto"/>
          <w:sz w:val="31"/>
          <w:szCs w:val="31"/>
        </w:rPr>
        <w:t>入市交易的招标标底或者拍卖、挂牌底价不得低于土地入市成本和土地评估价格。最终报价低于底价或者标底的，不得成交。国家、省、市对产业用地出让最低价另有规定的，可从其规定。</w:t>
      </w:r>
    </w:p>
    <w:p w14:paraId="54E00C29">
      <w:pPr>
        <w:pStyle w:val="25"/>
        <w:bidi w:val="0"/>
        <w:rPr>
          <w:color w:val="auto"/>
          <w:sz w:val="31"/>
          <w:szCs w:val="31"/>
        </w:rPr>
      </w:pPr>
      <w:r>
        <w:rPr>
          <w:rFonts w:hint="eastAsia"/>
          <w:color w:val="auto"/>
          <w:sz w:val="31"/>
          <w:szCs w:val="31"/>
        </w:rPr>
        <w:t>第十四条　鼓励社会中介组织为集体经营性建设用地入市交易提供咨询、评估、勘测、设计、融资担保等市场化服务。政府相关部门要加强指导、备案、监督，推动将集体经营性建设用地入市交易纳入土地市场信用体系，实施失信联合惩戒。</w:t>
      </w:r>
    </w:p>
    <w:p w14:paraId="5631D31A">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4" w:name="_Toc17890"/>
      <w:r>
        <w:rPr>
          <w:rFonts w:hint="eastAsia" w:ascii="黑体" w:hAnsi="黑体" w:eastAsia="黑体" w:cs="黑体"/>
          <w:color w:val="auto"/>
          <w:sz w:val="31"/>
          <w:szCs w:val="31"/>
        </w:rPr>
        <w:t>第五章  收益分配</w:t>
      </w:r>
      <w:bookmarkEnd w:id="4"/>
    </w:p>
    <w:p w14:paraId="1740B3B1">
      <w:pPr>
        <w:pStyle w:val="25"/>
        <w:bidi w:val="0"/>
        <w:rPr>
          <w:color w:val="auto"/>
          <w:sz w:val="31"/>
          <w:szCs w:val="31"/>
        </w:rPr>
      </w:pPr>
      <w:r>
        <w:rPr>
          <w:rFonts w:hint="eastAsia"/>
          <w:color w:val="auto"/>
          <w:sz w:val="31"/>
          <w:szCs w:val="31"/>
        </w:rPr>
        <w:t>第十五条　集体经营性建设用地入市实行与国有建设用地同权、同价、同责原则，收益分配兼顾国家、集体和农民</w:t>
      </w:r>
      <w:r>
        <w:rPr>
          <w:rFonts w:hint="eastAsia"/>
          <w:color w:val="auto"/>
          <w:sz w:val="31"/>
          <w:szCs w:val="31"/>
          <w:lang w:eastAsia="zh-CN"/>
        </w:rPr>
        <w:t>的</w:t>
      </w:r>
      <w:r>
        <w:rPr>
          <w:rFonts w:hint="eastAsia"/>
          <w:color w:val="auto"/>
          <w:sz w:val="31"/>
          <w:szCs w:val="31"/>
        </w:rPr>
        <w:t>利益。</w:t>
      </w:r>
    </w:p>
    <w:p w14:paraId="526BF581">
      <w:pPr>
        <w:pStyle w:val="25"/>
        <w:bidi w:val="0"/>
        <w:rPr>
          <w:color w:val="auto"/>
          <w:sz w:val="31"/>
          <w:szCs w:val="31"/>
        </w:rPr>
      </w:pPr>
      <w:r>
        <w:rPr>
          <w:rFonts w:hint="eastAsia"/>
          <w:color w:val="auto"/>
          <w:sz w:val="31"/>
          <w:szCs w:val="31"/>
        </w:rPr>
        <w:t>第十六条　</w:t>
      </w:r>
      <w:r>
        <w:rPr>
          <w:rFonts w:hint="eastAsia"/>
          <w:b w:val="0"/>
          <w:bCs w:val="0"/>
          <w:color w:val="auto"/>
          <w:sz w:val="31"/>
          <w:szCs w:val="31"/>
        </w:rPr>
        <w:t>集体经营性建设用地入市收益分配顺序为：土地入市成交价款中，扣除土地入市成本，收取政府土地增值收益调节金，剩余部分为农民集体土地增值收益。</w:t>
      </w:r>
    </w:p>
    <w:p w14:paraId="304E3D72">
      <w:pPr>
        <w:pStyle w:val="25"/>
        <w:bidi w:val="0"/>
        <w:rPr>
          <w:color w:val="auto"/>
          <w:sz w:val="31"/>
          <w:szCs w:val="31"/>
        </w:rPr>
      </w:pPr>
      <w:r>
        <w:rPr>
          <w:rFonts w:hint="eastAsia"/>
          <w:color w:val="auto"/>
          <w:sz w:val="31"/>
          <w:szCs w:val="31"/>
        </w:rPr>
        <w:t>第十七条　集体经营性建设用地入市收益具体分配比例和方式，由</w:t>
      </w:r>
      <w:r>
        <w:rPr>
          <w:rFonts w:hint="eastAsia"/>
          <w:color w:val="auto"/>
          <w:sz w:val="31"/>
          <w:szCs w:val="31"/>
          <w:lang w:eastAsia="zh-CN"/>
        </w:rPr>
        <w:t>区</w:t>
      </w:r>
      <w:r>
        <w:rPr>
          <w:rFonts w:hint="eastAsia"/>
          <w:color w:val="auto"/>
          <w:sz w:val="31"/>
          <w:szCs w:val="31"/>
        </w:rPr>
        <w:t>政府另行出台文件进行明确。</w:t>
      </w:r>
    </w:p>
    <w:p w14:paraId="42D6A236">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5" w:name="_Toc18918"/>
      <w:r>
        <w:rPr>
          <w:rFonts w:hint="eastAsia" w:ascii="黑体" w:hAnsi="黑体" w:eastAsia="黑体" w:cs="黑体"/>
          <w:color w:val="auto"/>
          <w:sz w:val="31"/>
          <w:szCs w:val="31"/>
        </w:rPr>
        <w:t>第六章  </w:t>
      </w:r>
      <w:r>
        <w:rPr>
          <w:rFonts w:hint="eastAsia" w:ascii="黑体" w:hAnsi="黑体" w:eastAsia="黑体" w:cs="黑体"/>
          <w:color w:val="auto"/>
          <w:sz w:val="31"/>
          <w:szCs w:val="31"/>
          <w:lang w:eastAsia="zh-CN"/>
        </w:rPr>
        <w:t>供</w:t>
      </w:r>
      <w:r>
        <w:rPr>
          <w:rFonts w:hint="eastAsia" w:ascii="黑体" w:hAnsi="黑体" w:eastAsia="黑体" w:cs="黑体"/>
          <w:color w:val="auto"/>
          <w:sz w:val="31"/>
          <w:szCs w:val="31"/>
        </w:rPr>
        <w:t>后监管</w:t>
      </w:r>
      <w:bookmarkEnd w:id="5"/>
    </w:p>
    <w:p w14:paraId="19A436B0">
      <w:pPr>
        <w:pStyle w:val="25"/>
        <w:bidi w:val="0"/>
        <w:rPr>
          <w:rFonts w:hint="eastAsia"/>
          <w:color w:val="auto"/>
          <w:sz w:val="31"/>
          <w:szCs w:val="31"/>
        </w:rPr>
      </w:pPr>
      <w:r>
        <w:rPr>
          <w:rFonts w:hint="eastAsia"/>
          <w:color w:val="auto"/>
          <w:sz w:val="31"/>
          <w:szCs w:val="31"/>
        </w:rPr>
        <w:t>第十八条　</w:t>
      </w:r>
      <w:r>
        <w:rPr>
          <w:rFonts w:hint="eastAsia"/>
          <w:strike w:val="0"/>
          <w:color w:val="auto"/>
          <w:sz w:val="31"/>
          <w:szCs w:val="31"/>
        </w:rPr>
        <w:t>集体经营性建设用地</w:t>
      </w:r>
      <w:r>
        <w:rPr>
          <w:rFonts w:hint="eastAsia"/>
          <w:strike w:val="0"/>
          <w:color w:val="auto"/>
          <w:sz w:val="31"/>
          <w:szCs w:val="31"/>
          <w:lang w:eastAsia="zh-CN"/>
        </w:rPr>
        <w:t>入市的管理和监督工作，建立三方监管协议，明确区、镇两级政府及街道办事处对农村集体经济组织和土地使用权人使用农村集体经营性建设用地进行监管的事项清单和具体措施及各方权利和义务。</w:t>
      </w:r>
    </w:p>
    <w:p w14:paraId="28405E39">
      <w:pPr>
        <w:pStyle w:val="25"/>
        <w:bidi w:val="0"/>
        <w:rPr>
          <w:rFonts w:hint="eastAsia"/>
          <w:color w:val="auto"/>
          <w:sz w:val="31"/>
          <w:szCs w:val="31"/>
        </w:rPr>
      </w:pPr>
      <w:r>
        <w:rPr>
          <w:rFonts w:hint="eastAsia"/>
          <w:color w:val="auto"/>
          <w:sz w:val="31"/>
          <w:szCs w:val="31"/>
        </w:rPr>
        <w:t>发展改革、工业和信息化、住房和城乡建设、生态环境、财政、税务、农业农村等相关职能部门，按照各自职责共同做好相关监管工作。</w:t>
      </w:r>
    </w:p>
    <w:p w14:paraId="333ACB3A">
      <w:pPr>
        <w:keepNext w:val="0"/>
        <w:keepLines w:val="0"/>
        <w:widowControl/>
        <w:suppressLineNumbers w:val="0"/>
        <w:jc w:val="left"/>
      </w:pPr>
      <w:r>
        <w:rPr>
          <w:rFonts w:hint="eastAsia"/>
          <w:sz w:val="31"/>
          <w:szCs w:val="31"/>
          <w:lang w:eastAsia="zh-CN"/>
        </w:rPr>
        <w:t>第十九条</w:t>
      </w:r>
      <w:r>
        <w:rPr>
          <w:rFonts w:hint="eastAsia"/>
          <w:sz w:val="31"/>
          <w:szCs w:val="31"/>
        </w:rPr>
        <w:t>　</w:t>
      </w:r>
      <w:r>
        <w:rPr>
          <w:rFonts w:hint="eastAsia" w:ascii="Times New Roman" w:hAnsi="Times New Roman" w:eastAsia="仿宋_GB2312" w:cs="Times New Roman"/>
          <w:b w:val="0"/>
          <w:i w:val="0"/>
          <w:caps w:val="0"/>
          <w:color w:val="auto"/>
          <w:spacing w:val="0"/>
          <w:sz w:val="31"/>
          <w:szCs w:val="31"/>
          <w:shd w:val="clear" w:color="auto" w:fill="auto"/>
        </w:rPr>
        <w:t>集体</w:t>
      </w:r>
      <w:r>
        <w:rPr>
          <w:rFonts w:hint="eastAsia"/>
          <w:strike w:val="0"/>
          <w:sz w:val="31"/>
          <w:szCs w:val="31"/>
        </w:rPr>
        <w:t>经营性建设用地</w:t>
      </w:r>
      <w:r>
        <w:rPr>
          <w:rFonts w:hint="eastAsia" w:ascii="Times New Roman" w:hAnsi="Times New Roman" w:eastAsia="仿宋_GB2312" w:cs="Times New Roman"/>
          <w:snapToGrid w:val="0"/>
          <w:color w:val="auto"/>
          <w:kern w:val="0"/>
          <w:sz w:val="31"/>
          <w:szCs w:val="31"/>
          <w:lang w:val="en-US" w:eastAsia="en-US" w:bidi="ar-SA"/>
        </w:rPr>
        <w:t>闲置土地的调查、认定和处置，参照《闲置土地处置办法》有关规定执行。</w:t>
      </w:r>
    </w:p>
    <w:p w14:paraId="49BC9466">
      <w:pPr>
        <w:pStyle w:val="25"/>
        <w:bidi w:val="0"/>
        <w:rPr>
          <w:rFonts w:hint="eastAsia" w:eastAsia="仿宋_GB2312"/>
          <w:color w:val="auto"/>
          <w:sz w:val="31"/>
          <w:szCs w:val="31"/>
          <w:lang w:val="en-US" w:eastAsia="zh-CN"/>
        </w:rPr>
      </w:pPr>
    </w:p>
    <w:p w14:paraId="687AD866">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6" w:name="_Toc32485"/>
      <w:r>
        <w:rPr>
          <w:rFonts w:hint="eastAsia" w:ascii="黑体" w:hAnsi="黑体" w:eastAsia="黑体" w:cs="黑体"/>
          <w:color w:val="auto"/>
          <w:sz w:val="31"/>
          <w:szCs w:val="31"/>
        </w:rPr>
        <w:t>第七章  开发利用</w:t>
      </w:r>
      <w:bookmarkEnd w:id="6"/>
    </w:p>
    <w:p w14:paraId="3F4B9104">
      <w:pPr>
        <w:pStyle w:val="25"/>
        <w:bidi w:val="0"/>
        <w:rPr>
          <w:color w:val="auto"/>
          <w:sz w:val="31"/>
          <w:szCs w:val="31"/>
        </w:rPr>
      </w:pPr>
      <w:r>
        <w:rPr>
          <w:rFonts w:hint="eastAsia"/>
          <w:color w:val="auto"/>
          <w:sz w:val="31"/>
          <w:szCs w:val="31"/>
        </w:rPr>
        <w:t>第二十条　集体经营性建设用地使用权人应按照入市出让合同约定和有关规定，科学合理开发利用土地，落实节约集约用地要求，不得擅自改变土地用途，不得损害国家、集体和社会公共利益。</w:t>
      </w:r>
    </w:p>
    <w:p w14:paraId="20863C2F">
      <w:pPr>
        <w:pStyle w:val="25"/>
        <w:bidi w:val="0"/>
        <w:rPr>
          <w:color w:val="auto"/>
          <w:sz w:val="31"/>
          <w:szCs w:val="31"/>
        </w:rPr>
      </w:pPr>
      <w:r>
        <w:rPr>
          <w:rFonts w:hint="eastAsia"/>
          <w:color w:val="auto"/>
          <w:sz w:val="31"/>
          <w:szCs w:val="31"/>
        </w:rPr>
        <w:t>第二十</w:t>
      </w:r>
      <w:r>
        <w:rPr>
          <w:rFonts w:hint="eastAsia"/>
          <w:color w:val="auto"/>
          <w:sz w:val="31"/>
          <w:szCs w:val="31"/>
          <w:lang w:eastAsia="zh-CN"/>
        </w:rPr>
        <w:t>一</w:t>
      </w:r>
      <w:r>
        <w:rPr>
          <w:rFonts w:hint="eastAsia"/>
          <w:color w:val="auto"/>
          <w:sz w:val="31"/>
          <w:szCs w:val="31"/>
        </w:rPr>
        <w:t>条　集体经营性建设用地使用权人应严格按照入市出让合同约定</w:t>
      </w:r>
      <w:r>
        <w:rPr>
          <w:rFonts w:hint="eastAsia"/>
          <w:color w:val="auto"/>
          <w:sz w:val="31"/>
          <w:szCs w:val="31"/>
          <w:lang w:eastAsia="zh-CN"/>
        </w:rPr>
        <w:t>和</w:t>
      </w:r>
      <w:r>
        <w:rPr>
          <w:rFonts w:hint="eastAsia"/>
          <w:color w:val="auto"/>
          <w:sz w:val="31"/>
          <w:szCs w:val="31"/>
        </w:rPr>
        <w:t>有关规定开发使用土地，不得擅自改变土地规划条件。确需改变土地规划条件的，应按程序上报审批。审批完成后签订相应的补充合同或重新签订入市出让合同。</w:t>
      </w:r>
    </w:p>
    <w:p w14:paraId="774426A9">
      <w:pPr>
        <w:pStyle w:val="25"/>
        <w:bidi w:val="0"/>
        <w:rPr>
          <w:color w:val="auto"/>
          <w:sz w:val="31"/>
          <w:szCs w:val="31"/>
        </w:rPr>
      </w:pPr>
      <w:r>
        <w:rPr>
          <w:rFonts w:hint="eastAsia"/>
          <w:color w:val="auto"/>
          <w:sz w:val="31"/>
          <w:szCs w:val="31"/>
        </w:rPr>
        <w:t>第二十</w:t>
      </w:r>
      <w:r>
        <w:rPr>
          <w:rFonts w:hint="eastAsia"/>
          <w:color w:val="auto"/>
          <w:sz w:val="31"/>
          <w:szCs w:val="31"/>
          <w:lang w:eastAsia="zh-CN"/>
        </w:rPr>
        <w:t>二</w:t>
      </w:r>
      <w:r>
        <w:rPr>
          <w:rFonts w:hint="eastAsia"/>
          <w:color w:val="auto"/>
          <w:sz w:val="31"/>
          <w:szCs w:val="31"/>
        </w:rPr>
        <w:t>条　集体经营性建设用地在入市出让合同约定的土地使用年限期满续期，参照同期国有出让土地期满续期相关政策执行。</w:t>
      </w:r>
    </w:p>
    <w:p w14:paraId="0A47E5A9">
      <w:pPr>
        <w:pStyle w:val="25"/>
        <w:bidi w:val="0"/>
        <w:rPr>
          <w:color w:val="auto"/>
          <w:sz w:val="31"/>
          <w:szCs w:val="31"/>
        </w:rPr>
      </w:pPr>
      <w:r>
        <w:rPr>
          <w:rFonts w:hint="eastAsia"/>
          <w:color w:val="auto"/>
          <w:sz w:val="31"/>
          <w:szCs w:val="31"/>
        </w:rPr>
        <w:t>第二十</w:t>
      </w:r>
      <w:r>
        <w:rPr>
          <w:rFonts w:hint="eastAsia"/>
          <w:color w:val="auto"/>
          <w:sz w:val="31"/>
          <w:szCs w:val="31"/>
          <w:lang w:eastAsia="zh-CN"/>
        </w:rPr>
        <w:t>三</w:t>
      </w:r>
      <w:r>
        <w:rPr>
          <w:rFonts w:hint="eastAsia"/>
          <w:color w:val="auto"/>
          <w:sz w:val="31"/>
          <w:szCs w:val="31"/>
        </w:rPr>
        <w:t>条　国家为了公共利益的需要，依法对集体经营性建设用地实行征收的，土地所有权人和土地使用权人应当服从。原建设用地使用权入市出让合同自批准集体土地征收之日终止。</w:t>
      </w:r>
    </w:p>
    <w:p w14:paraId="5807F5F3">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7" w:name="_Toc1589"/>
      <w:r>
        <w:rPr>
          <w:rFonts w:hint="eastAsia" w:ascii="黑体" w:hAnsi="黑体" w:eastAsia="黑体" w:cs="黑体"/>
          <w:color w:val="auto"/>
          <w:sz w:val="31"/>
          <w:szCs w:val="31"/>
        </w:rPr>
        <w:t>第八章  转让、转租和抵押</w:t>
      </w:r>
      <w:bookmarkEnd w:id="7"/>
    </w:p>
    <w:p w14:paraId="27CB0D8F">
      <w:pPr>
        <w:pStyle w:val="25"/>
        <w:bidi w:val="0"/>
        <w:rPr>
          <w:color w:val="auto"/>
          <w:sz w:val="31"/>
          <w:szCs w:val="31"/>
        </w:rPr>
      </w:pPr>
      <w:r>
        <w:rPr>
          <w:rFonts w:hint="eastAsia"/>
          <w:color w:val="auto"/>
          <w:sz w:val="31"/>
          <w:szCs w:val="31"/>
        </w:rPr>
        <w:t>第二十</w:t>
      </w:r>
      <w:r>
        <w:rPr>
          <w:rFonts w:hint="eastAsia"/>
          <w:color w:val="auto"/>
          <w:sz w:val="31"/>
          <w:szCs w:val="31"/>
          <w:lang w:val="en-US" w:eastAsia="zh-CN"/>
        </w:rPr>
        <w:t>四</w:t>
      </w:r>
      <w:r>
        <w:rPr>
          <w:rFonts w:hint="eastAsia"/>
          <w:color w:val="auto"/>
          <w:sz w:val="31"/>
          <w:szCs w:val="31"/>
        </w:rPr>
        <w:t>条　集体经营性建设用地使用权转让，是指土地使用权人将集体经营性建设用地使用权再转移的行为，包括出资、互换与赠与。</w:t>
      </w:r>
    </w:p>
    <w:p w14:paraId="03742F04">
      <w:pPr>
        <w:pStyle w:val="25"/>
        <w:bidi w:val="0"/>
        <w:rPr>
          <w:rFonts w:hint="eastAsia"/>
          <w:color w:val="auto"/>
          <w:sz w:val="31"/>
          <w:szCs w:val="31"/>
        </w:rPr>
      </w:pPr>
      <w:r>
        <w:rPr>
          <w:rFonts w:hint="eastAsia"/>
          <w:color w:val="auto"/>
          <w:sz w:val="31"/>
          <w:szCs w:val="31"/>
        </w:rPr>
        <w:t>集体经营性建设用地使用权转租，是指承租人将集体经营性建设用地使用权再次出租的行为。</w:t>
      </w:r>
    </w:p>
    <w:p w14:paraId="27B9E952">
      <w:pPr>
        <w:pStyle w:val="25"/>
        <w:bidi w:val="0"/>
        <w:rPr>
          <w:rFonts w:hint="eastAsia"/>
          <w:b w:val="0"/>
          <w:bCs w:val="0"/>
          <w:color w:val="auto"/>
          <w:sz w:val="31"/>
          <w:szCs w:val="31"/>
          <w:highlight w:val="none"/>
        </w:rPr>
      </w:pPr>
      <w:r>
        <w:rPr>
          <w:rFonts w:hint="eastAsia"/>
          <w:color w:val="auto"/>
          <w:sz w:val="31"/>
          <w:szCs w:val="31"/>
        </w:rPr>
        <w:t>集体经营性建设用地使用权抵押，是指土地使用权人将通过集体经营性建设用地入市取得的集体经营性建设用地使用权，以不转移占有的方式向抵押权人提供债务履行担保的行</w:t>
      </w:r>
      <w:r>
        <w:rPr>
          <w:rFonts w:hint="eastAsia"/>
          <w:b w:val="0"/>
          <w:bCs w:val="0"/>
          <w:color w:val="auto"/>
          <w:sz w:val="31"/>
          <w:szCs w:val="31"/>
          <w:highlight w:val="none"/>
        </w:rPr>
        <w:t>为。</w:t>
      </w:r>
    </w:p>
    <w:p w14:paraId="5825291F">
      <w:pPr>
        <w:pStyle w:val="25"/>
        <w:bidi w:val="0"/>
        <w:rPr>
          <w:b w:val="0"/>
          <w:bCs w:val="0"/>
          <w:color w:val="auto"/>
          <w:sz w:val="31"/>
          <w:szCs w:val="31"/>
          <w:highlight w:val="none"/>
        </w:rPr>
      </w:pPr>
      <w:r>
        <w:rPr>
          <w:rFonts w:hint="eastAsia"/>
          <w:b w:val="0"/>
          <w:bCs w:val="0"/>
          <w:color w:val="auto"/>
          <w:sz w:val="31"/>
          <w:szCs w:val="31"/>
          <w:highlight w:val="none"/>
        </w:rPr>
        <w:t>第二十</w:t>
      </w:r>
      <w:r>
        <w:rPr>
          <w:rFonts w:hint="eastAsia"/>
          <w:b w:val="0"/>
          <w:bCs w:val="0"/>
          <w:color w:val="auto"/>
          <w:sz w:val="31"/>
          <w:szCs w:val="31"/>
          <w:highlight w:val="none"/>
          <w:lang w:eastAsia="zh-CN"/>
        </w:rPr>
        <w:t>五</w:t>
      </w:r>
      <w:r>
        <w:rPr>
          <w:rFonts w:hint="eastAsia"/>
          <w:b w:val="0"/>
          <w:bCs w:val="0"/>
          <w:color w:val="auto"/>
          <w:sz w:val="31"/>
          <w:szCs w:val="31"/>
          <w:highlight w:val="none"/>
        </w:rPr>
        <w:t>条　集体经营性建设用地使用权转让、转租和抵押的，</w:t>
      </w:r>
      <w:r>
        <w:rPr>
          <w:rFonts w:hint="eastAsia"/>
          <w:b w:val="0"/>
          <w:bCs w:val="0"/>
          <w:color w:val="auto"/>
          <w:sz w:val="31"/>
          <w:szCs w:val="31"/>
          <w:highlight w:val="none"/>
          <w:lang w:eastAsia="zh-CN"/>
        </w:rPr>
        <w:t>须</w:t>
      </w:r>
      <w:r>
        <w:rPr>
          <w:rFonts w:hint="eastAsia"/>
          <w:b w:val="0"/>
          <w:bCs w:val="0"/>
          <w:color w:val="auto"/>
          <w:sz w:val="31"/>
          <w:szCs w:val="31"/>
          <w:highlight w:val="none"/>
        </w:rPr>
        <w:t>按照入市出让合同约定支付土地出让价款，完成不动产登记，并符合原入市出让合同约定的转让、转租和抵押条件。</w:t>
      </w:r>
    </w:p>
    <w:p w14:paraId="616EC2EE">
      <w:pPr>
        <w:pStyle w:val="25"/>
        <w:bidi w:val="0"/>
        <w:rPr>
          <w:color w:val="auto"/>
          <w:sz w:val="31"/>
          <w:szCs w:val="31"/>
        </w:rPr>
      </w:pPr>
      <w:r>
        <w:rPr>
          <w:rFonts w:hint="eastAsia"/>
          <w:b w:val="0"/>
          <w:bCs w:val="0"/>
          <w:color w:val="auto"/>
          <w:sz w:val="31"/>
          <w:szCs w:val="31"/>
          <w:highlight w:val="none"/>
        </w:rPr>
        <w:t>第</w:t>
      </w:r>
      <w:r>
        <w:rPr>
          <w:rFonts w:hint="eastAsia"/>
          <w:b w:val="0"/>
          <w:bCs w:val="0"/>
          <w:color w:val="auto"/>
          <w:sz w:val="31"/>
          <w:szCs w:val="31"/>
          <w:highlight w:val="none"/>
          <w:lang w:eastAsia="zh-CN"/>
        </w:rPr>
        <w:t>二十六</w:t>
      </w:r>
      <w:r>
        <w:rPr>
          <w:rFonts w:hint="eastAsia"/>
          <w:b w:val="0"/>
          <w:bCs w:val="0"/>
          <w:color w:val="auto"/>
          <w:sz w:val="31"/>
          <w:szCs w:val="31"/>
          <w:highlight w:val="none"/>
        </w:rPr>
        <w:t>条　集体经营性建设用地使用权转让的，原土地</w:t>
      </w:r>
      <w:r>
        <w:rPr>
          <w:rFonts w:hint="eastAsia"/>
          <w:color w:val="auto"/>
          <w:sz w:val="31"/>
          <w:szCs w:val="31"/>
        </w:rPr>
        <w:t>使用权人的权利、义务随之转移。集体经营性建设用地使用权转租的，承租方应当继续履行土地原入市出让合同约定的权利义务。集体经营性建设用地使用权抵押的，在不对抗土地原权利、义务的基础上，可设定相应的土地他项权利。</w:t>
      </w:r>
    </w:p>
    <w:p w14:paraId="4CFABDDB">
      <w:pPr>
        <w:pStyle w:val="25"/>
        <w:bidi w:val="0"/>
        <w:rPr>
          <w:color w:val="auto"/>
          <w:sz w:val="31"/>
          <w:szCs w:val="31"/>
        </w:rPr>
      </w:pPr>
      <w:r>
        <w:rPr>
          <w:rFonts w:hint="eastAsia"/>
          <w:color w:val="auto"/>
          <w:sz w:val="31"/>
          <w:szCs w:val="31"/>
        </w:rPr>
        <w:t>集体经营性建设用地使用权转让、转租和抵押的，地上建筑物、其他附着物所有权一并转让、转租和抵押。转让、转租和抵押地上建筑物、其他附着物所有权的，集体经营性建设用地使用权一并转让、转租和抵押。</w:t>
      </w:r>
    </w:p>
    <w:p w14:paraId="3A702771">
      <w:pPr>
        <w:pStyle w:val="25"/>
        <w:bidi w:val="0"/>
        <w:rPr>
          <w:color w:val="auto"/>
          <w:sz w:val="31"/>
          <w:szCs w:val="31"/>
        </w:rPr>
      </w:pPr>
      <w:r>
        <w:rPr>
          <w:rFonts w:hint="eastAsia"/>
          <w:color w:val="auto"/>
          <w:sz w:val="31"/>
          <w:szCs w:val="31"/>
        </w:rPr>
        <w:t>第</w:t>
      </w:r>
      <w:r>
        <w:rPr>
          <w:rFonts w:hint="eastAsia"/>
          <w:color w:val="auto"/>
          <w:sz w:val="31"/>
          <w:szCs w:val="31"/>
          <w:lang w:eastAsia="zh-CN"/>
        </w:rPr>
        <w:t>二十七</w:t>
      </w:r>
      <w:r>
        <w:rPr>
          <w:rFonts w:hint="eastAsia"/>
          <w:color w:val="auto"/>
          <w:sz w:val="31"/>
          <w:szCs w:val="31"/>
        </w:rPr>
        <w:t>条　集体经营性建设用地使用权转让、转租和抵押约定的使用期限不得超过初次入市出让合同约定使用期限的剩余期限。</w:t>
      </w:r>
    </w:p>
    <w:p w14:paraId="1B7ECBC5">
      <w:pPr>
        <w:pStyle w:val="25"/>
        <w:bidi w:val="0"/>
        <w:rPr>
          <w:color w:val="auto"/>
          <w:sz w:val="31"/>
          <w:szCs w:val="31"/>
        </w:rPr>
      </w:pPr>
      <w:r>
        <w:rPr>
          <w:rFonts w:hint="eastAsia"/>
          <w:color w:val="auto"/>
          <w:sz w:val="31"/>
          <w:szCs w:val="31"/>
        </w:rPr>
        <w:t>第</w:t>
      </w:r>
      <w:r>
        <w:rPr>
          <w:rFonts w:hint="eastAsia"/>
          <w:color w:val="auto"/>
          <w:sz w:val="31"/>
          <w:szCs w:val="31"/>
          <w:lang w:eastAsia="zh-CN"/>
        </w:rPr>
        <w:t>二十八</w:t>
      </w:r>
      <w:r>
        <w:rPr>
          <w:rFonts w:hint="eastAsia"/>
          <w:color w:val="auto"/>
          <w:sz w:val="31"/>
          <w:szCs w:val="31"/>
        </w:rPr>
        <w:t>条　集体经营性建设用地使用权转让、转租和抵押的，交易双方应当持不动产登记证书、原入市出让合同和本次合同等资料，向原登记机关申请办理转让登记或他项权利登记等手续。具体</w:t>
      </w:r>
      <w:r>
        <w:rPr>
          <w:rFonts w:hint="eastAsia"/>
          <w:color w:val="auto"/>
          <w:sz w:val="31"/>
          <w:szCs w:val="31"/>
          <w:lang w:eastAsia="zh-CN"/>
        </w:rPr>
        <w:t>参照《河南省自然资源厅关于印发河南省建设用地使用权转让、出租、抵押交易实施细则（试行）的通知》（豫自然资规〔2024〕3号）等相关规定执行</w:t>
      </w:r>
      <w:r>
        <w:rPr>
          <w:rFonts w:hint="eastAsia"/>
          <w:color w:val="auto"/>
          <w:sz w:val="31"/>
          <w:szCs w:val="31"/>
        </w:rPr>
        <w:t>。</w:t>
      </w:r>
    </w:p>
    <w:p w14:paraId="28666AA2">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bookmarkStart w:id="8" w:name="_Toc269"/>
      <w:r>
        <w:rPr>
          <w:rFonts w:hint="eastAsia" w:ascii="黑体" w:hAnsi="黑体" w:eastAsia="黑体" w:cs="黑体"/>
          <w:color w:val="auto"/>
          <w:sz w:val="31"/>
          <w:szCs w:val="31"/>
        </w:rPr>
        <w:t>第九章  法律责任</w:t>
      </w:r>
      <w:bookmarkEnd w:id="8"/>
    </w:p>
    <w:p w14:paraId="59659E4A">
      <w:pPr>
        <w:pStyle w:val="25"/>
        <w:bidi w:val="0"/>
        <w:rPr>
          <w:rFonts w:hint="eastAsia"/>
          <w:b w:val="0"/>
          <w:bCs w:val="0"/>
          <w:color w:val="auto"/>
          <w:sz w:val="31"/>
          <w:szCs w:val="31"/>
          <w:highlight w:val="yellow"/>
          <w:u w:val="none"/>
        </w:rPr>
      </w:pPr>
      <w:r>
        <w:rPr>
          <w:rFonts w:hint="eastAsia"/>
          <w:b w:val="0"/>
          <w:bCs w:val="0"/>
          <w:color w:val="auto"/>
          <w:sz w:val="31"/>
          <w:szCs w:val="31"/>
        </w:rPr>
        <w:t>第</w:t>
      </w:r>
      <w:r>
        <w:rPr>
          <w:rFonts w:hint="eastAsia"/>
          <w:b w:val="0"/>
          <w:bCs w:val="0"/>
          <w:color w:val="auto"/>
          <w:sz w:val="31"/>
          <w:szCs w:val="31"/>
          <w:lang w:eastAsia="zh-CN"/>
        </w:rPr>
        <w:t>二十九</w:t>
      </w:r>
      <w:r>
        <w:rPr>
          <w:rFonts w:hint="eastAsia"/>
          <w:b w:val="0"/>
          <w:bCs w:val="0"/>
          <w:color w:val="auto"/>
          <w:sz w:val="31"/>
          <w:szCs w:val="31"/>
        </w:rPr>
        <w:t>条  集体经营性建设用地使用权入市违反上级法律法规的规定</w:t>
      </w:r>
      <w:r>
        <w:rPr>
          <w:rFonts w:hint="eastAsia"/>
          <w:b w:val="0"/>
          <w:bCs w:val="0"/>
          <w:color w:val="auto"/>
          <w:sz w:val="31"/>
          <w:szCs w:val="31"/>
          <w:highlight w:val="none"/>
        </w:rPr>
        <w:t>交易的，</w:t>
      </w:r>
      <w:r>
        <w:rPr>
          <w:rFonts w:hint="eastAsia"/>
          <w:b w:val="0"/>
          <w:bCs w:val="0"/>
          <w:color w:val="auto"/>
          <w:sz w:val="31"/>
          <w:szCs w:val="31"/>
          <w:highlight w:val="none"/>
          <w:u w:val="none"/>
          <w:lang w:eastAsia="zh-CN"/>
        </w:rPr>
        <w:t>不得</w:t>
      </w:r>
      <w:r>
        <w:rPr>
          <w:rFonts w:hint="eastAsia"/>
          <w:b w:val="0"/>
          <w:bCs w:val="0"/>
          <w:color w:val="auto"/>
          <w:sz w:val="31"/>
          <w:szCs w:val="31"/>
          <w:highlight w:val="none"/>
          <w:u w:val="none"/>
        </w:rPr>
        <w:t>办理不动产权登记、规划许可、施工许可等手续。</w:t>
      </w:r>
    </w:p>
    <w:p w14:paraId="46AA366B">
      <w:pPr>
        <w:pStyle w:val="25"/>
        <w:bidi w:val="0"/>
        <w:rPr>
          <w:color w:val="auto"/>
          <w:sz w:val="31"/>
          <w:szCs w:val="31"/>
        </w:rPr>
      </w:pPr>
      <w:r>
        <w:rPr>
          <w:rFonts w:hint="eastAsia"/>
          <w:color w:val="auto"/>
          <w:sz w:val="31"/>
          <w:szCs w:val="31"/>
        </w:rPr>
        <w:t>第三十条  国家工作人员在集体经营性建设用地入市过程中存在玩忽职守、滥用职权、徇私舞弊、弄虚作假等行为，造成集体资产流失的，由所在单位或者上级机关给予行政处分；构成犯罪的，依法移送司法机关追究刑事责任。</w:t>
      </w:r>
    </w:p>
    <w:p w14:paraId="3BE961FF">
      <w:pPr>
        <w:pStyle w:val="25"/>
        <w:bidi w:val="0"/>
        <w:rPr>
          <w:rFonts w:hint="eastAsia" w:eastAsia="仿宋_GB2312"/>
          <w:color w:val="auto"/>
          <w:sz w:val="31"/>
          <w:szCs w:val="31"/>
          <w:lang w:eastAsia="zh-CN"/>
        </w:rPr>
      </w:pPr>
      <w:r>
        <w:rPr>
          <w:rFonts w:hint="eastAsia"/>
          <w:color w:val="auto"/>
          <w:sz w:val="31"/>
          <w:szCs w:val="31"/>
        </w:rPr>
        <w:t>第三十</w:t>
      </w:r>
      <w:r>
        <w:rPr>
          <w:rFonts w:hint="eastAsia"/>
          <w:color w:val="auto"/>
          <w:sz w:val="31"/>
          <w:szCs w:val="31"/>
          <w:lang w:eastAsia="zh-CN"/>
        </w:rPr>
        <w:t>一</w:t>
      </w:r>
      <w:r>
        <w:rPr>
          <w:rFonts w:hint="eastAsia"/>
          <w:color w:val="auto"/>
          <w:sz w:val="31"/>
          <w:szCs w:val="31"/>
        </w:rPr>
        <w:t>条  农村集体经济组织经营管理者，在集体经营性建设用地入市过程中存在玩忽职守、滥用职权、徇私舞弊、弄虚作假等行为或者擅自侵占、挪用集体经营性建设用地入市收益，由所在单位或者上级机关给予行政处分，构成犯罪的，依法移送司法机关追究刑事责任。</w:t>
      </w:r>
      <w:bookmarkStart w:id="9" w:name="_Toc4892"/>
    </w:p>
    <w:p w14:paraId="635A3261">
      <w:pPr>
        <w:pStyle w:val="25"/>
        <w:keepNext w:val="0"/>
        <w:keepLines w:val="0"/>
        <w:pageBreakBefore w:val="0"/>
        <w:widowControl w:val="0"/>
        <w:kinsoku/>
        <w:wordWrap/>
        <w:overflowPunct/>
        <w:topLinePunct w:val="0"/>
        <w:autoSpaceDE/>
        <w:autoSpaceDN/>
        <w:bidi w:val="0"/>
        <w:adjustRightInd/>
        <w:snapToGrid/>
        <w:spacing w:before="313" w:beforeLines="100"/>
        <w:ind w:left="0" w:leftChars="0" w:right="0" w:rightChars="0" w:firstLine="0" w:firstLineChars="0"/>
        <w:jc w:val="center"/>
        <w:textAlignment w:val="auto"/>
        <w:rPr>
          <w:rFonts w:hint="eastAsia" w:ascii="黑体" w:hAnsi="黑体" w:eastAsia="黑体" w:cs="黑体"/>
          <w:color w:val="auto"/>
          <w:sz w:val="31"/>
          <w:szCs w:val="31"/>
        </w:rPr>
      </w:pPr>
      <w:r>
        <w:rPr>
          <w:rFonts w:hint="eastAsia" w:ascii="黑体" w:hAnsi="黑体" w:eastAsia="黑体" w:cs="黑体"/>
          <w:color w:val="auto"/>
          <w:sz w:val="31"/>
          <w:szCs w:val="31"/>
        </w:rPr>
        <w:t>第十章  附则</w:t>
      </w:r>
      <w:bookmarkEnd w:id="9"/>
    </w:p>
    <w:p w14:paraId="527E76AE">
      <w:pPr>
        <w:pStyle w:val="25"/>
        <w:bidi w:val="0"/>
        <w:rPr>
          <w:color w:val="auto"/>
          <w:sz w:val="31"/>
          <w:szCs w:val="31"/>
        </w:rPr>
      </w:pPr>
      <w:r>
        <w:rPr>
          <w:rFonts w:hint="eastAsia"/>
          <w:color w:val="auto"/>
          <w:sz w:val="31"/>
          <w:szCs w:val="31"/>
        </w:rPr>
        <w:t>第三十</w:t>
      </w:r>
      <w:r>
        <w:rPr>
          <w:rFonts w:hint="eastAsia"/>
          <w:color w:val="auto"/>
          <w:sz w:val="31"/>
          <w:szCs w:val="31"/>
          <w:lang w:eastAsia="zh-CN"/>
        </w:rPr>
        <w:t>二</w:t>
      </w:r>
      <w:r>
        <w:rPr>
          <w:rFonts w:hint="eastAsia"/>
          <w:color w:val="auto"/>
          <w:sz w:val="31"/>
          <w:szCs w:val="31"/>
        </w:rPr>
        <w:t>条　本办法自发布之日起执行。国家、省、市对集体经营性建设用地入市另行规定的，从其规定。</w:t>
      </w:r>
      <w:bookmarkStart w:id="10" w:name="_GoBack"/>
      <w:bookmarkEnd w:id="10"/>
    </w:p>
    <w:p w14:paraId="5E2F9212">
      <w:pPr>
        <w:pStyle w:val="25"/>
        <w:bidi w:val="0"/>
        <w:rPr>
          <w:rFonts w:hint="eastAsia" w:eastAsia="仿宋_GB2312"/>
          <w:color w:val="auto"/>
          <w:sz w:val="31"/>
          <w:szCs w:val="31"/>
          <w:lang w:eastAsia="zh-CN"/>
        </w:rPr>
      </w:pPr>
      <w:r>
        <w:rPr>
          <w:rFonts w:hint="eastAsia"/>
          <w:color w:val="auto"/>
          <w:sz w:val="31"/>
          <w:szCs w:val="31"/>
        </w:rPr>
        <w:t>第三十</w:t>
      </w:r>
      <w:r>
        <w:rPr>
          <w:rFonts w:hint="eastAsia"/>
          <w:color w:val="auto"/>
          <w:sz w:val="31"/>
          <w:szCs w:val="31"/>
          <w:lang w:eastAsia="zh-CN"/>
        </w:rPr>
        <w:t>三</w:t>
      </w:r>
      <w:r>
        <w:rPr>
          <w:rFonts w:hint="eastAsia"/>
          <w:color w:val="auto"/>
          <w:sz w:val="31"/>
          <w:szCs w:val="31"/>
        </w:rPr>
        <w:t>条　本办法由</w:t>
      </w:r>
      <w:r>
        <w:rPr>
          <w:rFonts w:hint="eastAsia"/>
          <w:color w:val="auto"/>
          <w:sz w:val="31"/>
          <w:szCs w:val="31"/>
          <w:lang w:eastAsia="zh-CN"/>
        </w:rPr>
        <w:t>区</w:t>
      </w:r>
      <w:r>
        <w:rPr>
          <w:rFonts w:hint="eastAsia"/>
          <w:color w:val="auto"/>
          <w:sz w:val="31"/>
          <w:szCs w:val="31"/>
        </w:rPr>
        <w:t>自然资源局负责解释。</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7D67">
    <w:pPr>
      <w:pStyle w:val="8"/>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08579"/>
    <w:multiLevelType w:val="singleLevel"/>
    <w:tmpl w:val="80308579"/>
    <w:lvl w:ilvl="0" w:tentative="0">
      <w:start w:val="1"/>
      <w:numFmt w:val="chineseCounting"/>
      <w:pStyle w:val="5"/>
      <w:suff w:val="nothing"/>
      <w:lvlText w:val="（%1）"/>
      <w:lvlJc w:val="left"/>
      <w:pPr>
        <w:ind w:left="0" w:firstLine="420"/>
      </w:pPr>
      <w:rPr>
        <w:rFonts w:hint="eastAsia"/>
      </w:rPr>
    </w:lvl>
  </w:abstractNum>
  <w:abstractNum w:abstractNumId="1">
    <w:nsid w:val="9A20934C"/>
    <w:multiLevelType w:val="singleLevel"/>
    <w:tmpl w:val="9A20934C"/>
    <w:lvl w:ilvl="0" w:tentative="0">
      <w:start w:val="1"/>
      <w:numFmt w:val="chineseCounting"/>
      <w:pStyle w:val="4"/>
      <w:suff w:val="nothing"/>
      <w:lvlText w:val="%1、"/>
      <w:lvlJc w:val="left"/>
      <w:pPr>
        <w:ind w:left="0" w:firstLine="397"/>
      </w:pPr>
      <w:rPr>
        <w:rFonts w:hint="eastAsia" w:eastAsia="黑体"/>
        <w:sz w:val="32"/>
        <w:szCs w:val="32"/>
      </w:rPr>
    </w:lvl>
  </w:abstractNum>
  <w:abstractNum w:abstractNumId="2">
    <w:nsid w:val="A9FA441E"/>
    <w:multiLevelType w:val="singleLevel"/>
    <w:tmpl w:val="A9FA441E"/>
    <w:lvl w:ilvl="0" w:tentative="0">
      <w:start w:val="1"/>
      <w:numFmt w:val="decimal"/>
      <w:pStyle w:val="7"/>
      <w:suff w:val="nothing"/>
      <w:lvlText w:val="（%1）"/>
      <w:lvlJc w:val="left"/>
      <w:pPr>
        <w:tabs>
          <w:tab w:val="left" w:pos="420"/>
        </w:tabs>
        <w:ind w:left="425" w:leftChars="0" w:hanging="425" w:firstLineChars="0"/>
      </w:pPr>
      <w:rPr>
        <w:rFonts w:hint="default"/>
      </w:rPr>
    </w:lvl>
  </w:abstractNum>
  <w:abstractNum w:abstractNumId="3">
    <w:nsid w:val="ECB2AC16"/>
    <w:multiLevelType w:val="singleLevel"/>
    <w:tmpl w:val="ECB2AC16"/>
    <w:lvl w:ilvl="0" w:tentative="0">
      <w:start w:val="1"/>
      <w:numFmt w:val="decimal"/>
      <w:pStyle w:val="6"/>
      <w:suff w:val="nothing"/>
      <w:lvlText w:val="%1．"/>
      <w:lvlJc w:val="left"/>
      <w:pPr>
        <w:ind w:left="0" w:firstLine="400"/>
      </w:pPr>
      <w:rPr>
        <w:rFonts w:hint="default"/>
      </w:rPr>
    </w:lvl>
  </w:abstractNum>
  <w:abstractNum w:abstractNumId="4">
    <w:nsid w:val="F9A944AE"/>
    <w:multiLevelType w:val="multilevel"/>
    <w:tmpl w:val="F9A944AE"/>
    <w:lvl w:ilvl="0" w:tentative="0">
      <w:start w:val="1"/>
      <w:numFmt w:val="chineseCounting"/>
      <w:pStyle w:val="17"/>
      <w:suff w:val="nothing"/>
      <w:lvlText w:val="（%1）"/>
      <w:lvlJc w:val="left"/>
      <w:pPr>
        <w:ind w:left="0" w:firstLine="40"/>
      </w:pPr>
      <w:rPr>
        <w:rFonts w:hint="eastAsia" w:eastAsia="楷体_GB2312"/>
        <w:sz w:val="32"/>
        <w:szCs w:val="32"/>
      </w:rPr>
    </w:lvl>
    <w:lvl w:ilvl="1" w:tentative="0">
      <w:start w:val="1"/>
      <w:numFmt w:val="decimal"/>
      <w:suff w:val="nothing"/>
      <w:lvlText w:val="%2．"/>
      <w:lvlJc w:val="left"/>
      <w:pPr>
        <w:ind w:left="0" w:firstLine="40"/>
      </w:pPr>
      <w:rPr>
        <w:rFonts w:hint="eastAsia" w:eastAsia="楷体_GB2312"/>
        <w:sz w:val="32"/>
        <w:szCs w:val="32"/>
      </w:rPr>
    </w:lvl>
    <w:lvl w:ilvl="2" w:tentative="0">
      <w:start w:val="1"/>
      <w:numFmt w:val="decimal"/>
      <w:suff w:val="nothing"/>
      <w:lvlText w:val="（%3）"/>
      <w:lvlJc w:val="left"/>
      <w:pPr>
        <w:ind w:left="0" w:firstLine="40"/>
      </w:pPr>
      <w:rPr>
        <w:rFonts w:hint="eastAsia" w:eastAsia="楷体_GB2312"/>
        <w:sz w:val="32"/>
        <w:szCs w:val="32"/>
      </w:rPr>
    </w:lvl>
    <w:lvl w:ilvl="3" w:tentative="0">
      <w:start w:val="1"/>
      <w:numFmt w:val="decimalEnclosedCircleChinese"/>
      <w:suff w:val="nothing"/>
      <w:lvlText w:val="%4"/>
      <w:lvlJc w:val="left"/>
      <w:pPr>
        <w:ind w:left="0" w:firstLine="40"/>
      </w:pPr>
      <w:rPr>
        <w:rFonts w:hint="eastAsia" w:eastAsia="楷体_GB2312"/>
        <w:sz w:val="32"/>
        <w:szCs w:val="32"/>
      </w:rPr>
    </w:lvl>
    <w:lvl w:ilvl="4" w:tentative="0">
      <w:start w:val="1"/>
      <w:numFmt w:val="decimal"/>
      <w:suff w:val="nothing"/>
      <w:lvlText w:val="%5）"/>
      <w:lvlJc w:val="left"/>
      <w:pPr>
        <w:ind w:left="0" w:firstLine="40"/>
      </w:pPr>
      <w:rPr>
        <w:rFonts w:hint="eastAsia" w:eastAsia="楷体_GB2312"/>
        <w:sz w:val="32"/>
        <w:szCs w:val="32"/>
      </w:rPr>
    </w:lvl>
    <w:lvl w:ilvl="5" w:tentative="0">
      <w:start w:val="1"/>
      <w:numFmt w:val="lowerLetter"/>
      <w:suff w:val="nothing"/>
      <w:lvlText w:val="%6．"/>
      <w:lvlJc w:val="left"/>
      <w:pPr>
        <w:ind w:left="0" w:firstLine="40"/>
      </w:pPr>
      <w:rPr>
        <w:rFonts w:hint="eastAsia" w:eastAsia="楷体_GB2312"/>
        <w:sz w:val="32"/>
        <w:szCs w:val="32"/>
      </w:rPr>
    </w:lvl>
    <w:lvl w:ilvl="6" w:tentative="0">
      <w:start w:val="1"/>
      <w:numFmt w:val="lowerLetter"/>
      <w:suff w:val="nothing"/>
      <w:lvlText w:val="%7）"/>
      <w:lvlJc w:val="left"/>
      <w:pPr>
        <w:ind w:left="0" w:firstLine="40"/>
      </w:pPr>
      <w:rPr>
        <w:rFonts w:hint="eastAsia" w:eastAsia="楷体_GB2312"/>
        <w:sz w:val="32"/>
        <w:szCs w:val="32"/>
      </w:rPr>
    </w:lvl>
    <w:lvl w:ilvl="7" w:tentative="0">
      <w:start w:val="1"/>
      <w:numFmt w:val="lowerRoman"/>
      <w:suff w:val="nothing"/>
      <w:lvlText w:val="%8．"/>
      <w:lvlJc w:val="left"/>
      <w:pPr>
        <w:ind w:left="0" w:firstLine="40"/>
      </w:pPr>
      <w:rPr>
        <w:rFonts w:hint="eastAsia" w:eastAsia="楷体_GB2312"/>
        <w:sz w:val="32"/>
        <w:szCs w:val="32"/>
      </w:rPr>
    </w:lvl>
    <w:lvl w:ilvl="8" w:tentative="0">
      <w:start w:val="1"/>
      <w:numFmt w:val="lowerRoman"/>
      <w:suff w:val="nothing"/>
      <w:lvlText w:val="%9）"/>
      <w:lvlJc w:val="left"/>
      <w:pPr>
        <w:ind w:left="0" w:firstLine="40"/>
      </w:pPr>
      <w:rPr>
        <w:rFonts w:hint="eastAsia" w:eastAsia="楷体_GB2312"/>
        <w:sz w:val="32"/>
        <w:szCs w:val="32"/>
      </w:rPr>
    </w:lvl>
  </w:abstractNum>
  <w:abstractNum w:abstractNumId="5">
    <w:nsid w:val="026BBA49"/>
    <w:multiLevelType w:val="singleLevel"/>
    <w:tmpl w:val="026BBA49"/>
    <w:lvl w:ilvl="0" w:tentative="0">
      <w:start w:val="1"/>
      <w:numFmt w:val="decimal"/>
      <w:pStyle w:val="24"/>
      <w:suff w:val="nothing"/>
      <w:lvlText w:val="%1．"/>
      <w:lvlJc w:val="left"/>
      <w:pPr>
        <w:ind w:left="0" w:firstLine="397"/>
      </w:pPr>
      <w:rPr>
        <w:rFonts w:hint="default" w:eastAsia="仿宋_GB2312"/>
        <w:sz w:val="32"/>
        <w:szCs w:val="32"/>
      </w:rPr>
    </w:lvl>
  </w:abstractNum>
  <w:abstractNum w:abstractNumId="6">
    <w:nsid w:val="70A7D59E"/>
    <w:multiLevelType w:val="singleLevel"/>
    <w:tmpl w:val="70A7D59E"/>
    <w:lvl w:ilvl="0" w:tentative="0">
      <w:start w:val="1"/>
      <w:numFmt w:val="chineseCounting"/>
      <w:pStyle w:val="3"/>
      <w:suff w:val="nothing"/>
      <w:lvlText w:val="%1、"/>
      <w:lvlJc w:val="left"/>
      <w:pPr>
        <w:ind w:left="0" w:firstLine="397"/>
      </w:pPr>
      <w:rPr>
        <w:rFonts w:hint="eastAsia" w:eastAsia="黑体"/>
        <w:sz w:val="32"/>
        <w:szCs w:val="32"/>
      </w:r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646B5F"/>
    <w:rsid w:val="016123A1"/>
    <w:rsid w:val="01A85D51"/>
    <w:rsid w:val="02A67BEC"/>
    <w:rsid w:val="04846602"/>
    <w:rsid w:val="05A3035A"/>
    <w:rsid w:val="075C0A0C"/>
    <w:rsid w:val="0825788B"/>
    <w:rsid w:val="0BFA670A"/>
    <w:rsid w:val="0C632119"/>
    <w:rsid w:val="0CF24092"/>
    <w:rsid w:val="0F6C7CDA"/>
    <w:rsid w:val="10593966"/>
    <w:rsid w:val="129B1196"/>
    <w:rsid w:val="13E575E6"/>
    <w:rsid w:val="160E0024"/>
    <w:rsid w:val="179A0AE1"/>
    <w:rsid w:val="17DC0C5D"/>
    <w:rsid w:val="195971B4"/>
    <w:rsid w:val="1A936E0D"/>
    <w:rsid w:val="1CBD90CC"/>
    <w:rsid w:val="1D5FBB66"/>
    <w:rsid w:val="1D6666C3"/>
    <w:rsid w:val="1DA33EC6"/>
    <w:rsid w:val="1E645700"/>
    <w:rsid w:val="1E9754E8"/>
    <w:rsid w:val="1F1B1853"/>
    <w:rsid w:val="1F364065"/>
    <w:rsid w:val="219F6B29"/>
    <w:rsid w:val="22E22A19"/>
    <w:rsid w:val="23027246"/>
    <w:rsid w:val="23C10643"/>
    <w:rsid w:val="24FF2735"/>
    <w:rsid w:val="25DF5936"/>
    <w:rsid w:val="26C51B71"/>
    <w:rsid w:val="27091570"/>
    <w:rsid w:val="299F6FE4"/>
    <w:rsid w:val="2B0F45C8"/>
    <w:rsid w:val="2B604E23"/>
    <w:rsid w:val="2C5740E1"/>
    <w:rsid w:val="2CC73CA3"/>
    <w:rsid w:val="2CF14596"/>
    <w:rsid w:val="2DE25FC3"/>
    <w:rsid w:val="2FB47286"/>
    <w:rsid w:val="318748DC"/>
    <w:rsid w:val="34D449C8"/>
    <w:rsid w:val="35F63A0A"/>
    <w:rsid w:val="36035EE7"/>
    <w:rsid w:val="36FD3E6E"/>
    <w:rsid w:val="3A1F5C23"/>
    <w:rsid w:val="3BB84807"/>
    <w:rsid w:val="3BD5476E"/>
    <w:rsid w:val="3D1C27EE"/>
    <w:rsid w:val="3DD536D9"/>
    <w:rsid w:val="3E033179"/>
    <w:rsid w:val="408E76D5"/>
    <w:rsid w:val="41176429"/>
    <w:rsid w:val="41517D2D"/>
    <w:rsid w:val="424E01AD"/>
    <w:rsid w:val="427D40B5"/>
    <w:rsid w:val="44D66CFF"/>
    <w:rsid w:val="45923696"/>
    <w:rsid w:val="46C9141B"/>
    <w:rsid w:val="475E78D5"/>
    <w:rsid w:val="485F3913"/>
    <w:rsid w:val="48EB14B3"/>
    <w:rsid w:val="4AB8386A"/>
    <w:rsid w:val="4AFDF1BC"/>
    <w:rsid w:val="4B0E61F2"/>
    <w:rsid w:val="4DA527BF"/>
    <w:rsid w:val="4FAE60B5"/>
    <w:rsid w:val="502E65FE"/>
    <w:rsid w:val="50D4618A"/>
    <w:rsid w:val="51937BE2"/>
    <w:rsid w:val="524C1239"/>
    <w:rsid w:val="527B7C34"/>
    <w:rsid w:val="53AB5C87"/>
    <w:rsid w:val="54281936"/>
    <w:rsid w:val="54D7350E"/>
    <w:rsid w:val="558812A7"/>
    <w:rsid w:val="56DF4B2D"/>
    <w:rsid w:val="56E66C7F"/>
    <w:rsid w:val="57BA138B"/>
    <w:rsid w:val="595E1265"/>
    <w:rsid w:val="5ADD7CCC"/>
    <w:rsid w:val="5CE35581"/>
    <w:rsid w:val="5E0C59D5"/>
    <w:rsid w:val="5FBF7663"/>
    <w:rsid w:val="61D261ED"/>
    <w:rsid w:val="61DC06BF"/>
    <w:rsid w:val="627F1E8D"/>
    <w:rsid w:val="62923095"/>
    <w:rsid w:val="63133F4E"/>
    <w:rsid w:val="63F3C92A"/>
    <w:rsid w:val="65E67A7B"/>
    <w:rsid w:val="66263EDC"/>
    <w:rsid w:val="662863AF"/>
    <w:rsid w:val="6951757E"/>
    <w:rsid w:val="6E216993"/>
    <w:rsid w:val="6E7A30D3"/>
    <w:rsid w:val="70286C3E"/>
    <w:rsid w:val="70F64AE0"/>
    <w:rsid w:val="72B158F0"/>
    <w:rsid w:val="7429230C"/>
    <w:rsid w:val="74511518"/>
    <w:rsid w:val="776D40C1"/>
    <w:rsid w:val="788A03C1"/>
    <w:rsid w:val="78B10710"/>
    <w:rsid w:val="79166DBE"/>
    <w:rsid w:val="795A5FDB"/>
    <w:rsid w:val="79BC4EE7"/>
    <w:rsid w:val="7B9B0E98"/>
    <w:rsid w:val="7C8E35CA"/>
    <w:rsid w:val="7D647DF4"/>
    <w:rsid w:val="7EDF7155"/>
    <w:rsid w:val="7FEF6531"/>
    <w:rsid w:val="BDAF7F5D"/>
    <w:rsid w:val="FA9D4CB5"/>
    <w:rsid w:val="FB7FA404"/>
    <w:rsid w:val="FE3FA439"/>
    <w:rsid w:val="FFEF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bidi w:val="0"/>
      <w:spacing w:line="560" w:lineRule="exact"/>
      <w:ind w:firstLine="640" w:firstLineChars="200"/>
      <w:jc w:val="both"/>
    </w:pPr>
    <w:rPr>
      <w:rFonts w:ascii="Times New Roman" w:hAnsi="Times New Roman" w:eastAsia="仿宋_GB2312" w:cs="Times New Roman"/>
      <w:color w:val="auto"/>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sz w:val="48"/>
      <w:szCs w:val="48"/>
      <w:lang w:val="en-US" w:eastAsia="zh-CN" w:bidi="ar"/>
    </w:rPr>
  </w:style>
  <w:style w:type="paragraph" w:styleId="3">
    <w:name w:val="heading 2"/>
    <w:basedOn w:val="4"/>
    <w:next w:val="1"/>
    <w:semiHidden/>
    <w:unhideWhenUsed/>
    <w:qFormat/>
    <w:uiPriority w:val="0"/>
    <w:pPr>
      <w:numPr>
        <w:numId w:val="1"/>
      </w:numPr>
      <w:outlineLvl w:val="1"/>
    </w:pPr>
  </w:style>
  <w:style w:type="paragraph" w:styleId="5">
    <w:name w:val="heading 3"/>
    <w:basedOn w:val="1"/>
    <w:next w:val="1"/>
    <w:link w:val="30"/>
    <w:semiHidden/>
    <w:unhideWhenUsed/>
    <w:qFormat/>
    <w:uiPriority w:val="0"/>
    <w:pPr>
      <w:numPr>
        <w:ilvl w:val="0"/>
        <w:numId w:val="2"/>
      </w:numPr>
      <w:ind w:firstLine="420" w:firstLineChars="0"/>
      <w:outlineLvl w:val="2"/>
    </w:pPr>
    <w:rPr>
      <w:rFonts w:ascii="楷体_GB2312" w:hAnsi="楷体_GB2312" w:eastAsia="楷体_GB2312" w:cs="楷体_GB2312"/>
    </w:rPr>
  </w:style>
  <w:style w:type="paragraph" w:styleId="6">
    <w:name w:val="heading 4"/>
    <w:basedOn w:val="1"/>
    <w:next w:val="1"/>
    <w:semiHidden/>
    <w:unhideWhenUsed/>
    <w:qFormat/>
    <w:uiPriority w:val="0"/>
    <w:pPr>
      <w:numPr>
        <w:ilvl w:val="0"/>
        <w:numId w:val="3"/>
      </w:numPr>
      <w:outlineLvl w:val="3"/>
    </w:pPr>
    <w:rPr>
      <w:rFonts w:ascii="Times New Roman" w:hAnsi="Times New Roman" w:cs="Times New Roman"/>
    </w:rPr>
  </w:style>
  <w:style w:type="paragraph" w:styleId="7">
    <w:name w:val="heading 5"/>
    <w:basedOn w:val="6"/>
    <w:next w:val="1"/>
    <w:semiHidden/>
    <w:unhideWhenUsed/>
    <w:qFormat/>
    <w:uiPriority w:val="0"/>
    <w:pPr>
      <w:numPr>
        <w:numId w:val="4"/>
      </w:numPr>
      <w:tabs>
        <w:tab w:val="left" w:pos="420"/>
      </w:tabs>
      <w:ind w:left="0" w:firstLine="880" w:firstLineChars="200"/>
      <w:outlineLvl w:val="4"/>
    </w:pPr>
    <w:rPr>
      <w:rFonts w:ascii="Times New Roman" w:hAnsi="Times New Roma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4">
    <w:name w:val="材料一级标题"/>
    <w:basedOn w:val="1"/>
    <w:link w:val="22"/>
    <w:qFormat/>
    <w:uiPriority w:val="0"/>
    <w:pPr>
      <w:numPr>
        <w:ilvl w:val="0"/>
        <w:numId w:val="5"/>
      </w:numPr>
      <w:spacing w:line="560" w:lineRule="exact"/>
      <w:ind w:firstLine="880" w:firstLineChars="200"/>
    </w:pPr>
    <w:rPr>
      <w:rFonts w:hint="eastAsia" w:ascii="黑体" w:hAnsi="黑体" w:eastAsia="黑体" w:cs="黑体"/>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材料标题"/>
    <w:basedOn w:val="1"/>
    <w:link w:val="18"/>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材料二级标题"/>
    <w:basedOn w:val="1"/>
    <w:link w:val="23"/>
    <w:qFormat/>
    <w:uiPriority w:val="0"/>
    <w:pPr>
      <w:numPr>
        <w:ilvl w:val="0"/>
        <w:numId w:val="6"/>
      </w:numPr>
      <w:spacing w:line="560" w:lineRule="exact"/>
      <w:ind w:firstLine="640" w:firstLineChars="200"/>
    </w:pPr>
    <w:rPr>
      <w:rFonts w:ascii="Times New Roman" w:hAnsi="Times New Roman" w:eastAsia="楷体_GB2312"/>
    </w:rPr>
  </w:style>
  <w:style w:type="character" w:customStyle="1" w:styleId="18">
    <w:name w:val="材料标题 Char"/>
    <w:link w:val="16"/>
    <w:qFormat/>
    <w:uiPriority w:val="0"/>
    <w:rPr>
      <w:rFonts w:hint="eastAsia" w:ascii="方正小标宋简体" w:hAnsi="方正小标宋简体" w:eastAsia="方正小标宋简体" w:cs="方正小标宋简体"/>
      <w:sz w:val="44"/>
      <w:szCs w:val="44"/>
    </w:rPr>
  </w:style>
  <w:style w:type="paragraph" w:customStyle="1" w:styleId="19">
    <w:name w:val="材料单位名称"/>
    <w:basedOn w:val="1"/>
    <w:qFormat/>
    <w:uiPriority w:val="0"/>
    <w:pPr>
      <w:spacing w:line="560" w:lineRule="exact"/>
      <w:jc w:val="center"/>
    </w:pPr>
    <w:rPr>
      <w:rFonts w:ascii="Times New Roman" w:hAnsi="Times New Roman" w:eastAsia="楷体_GB2312" w:cs="Times New Roman"/>
      <w:sz w:val="32"/>
      <w:szCs w:val="32"/>
    </w:rPr>
  </w:style>
  <w:style w:type="paragraph" w:customStyle="1" w:styleId="20">
    <w:name w:val="材料标注"/>
    <w:basedOn w:val="1"/>
    <w:link w:val="21"/>
    <w:qFormat/>
    <w:uiPriority w:val="0"/>
    <w:pPr>
      <w:spacing w:line="660" w:lineRule="exact"/>
      <w:ind w:firstLine="0" w:firstLineChars="0"/>
      <w:jc w:val="left"/>
    </w:pPr>
    <w:rPr>
      <w:rFonts w:hint="eastAsia" w:ascii="Times New Roman" w:hAnsi="Times New Roman" w:eastAsia="楷体_GB2312" w:cs="楷体_GB2312"/>
    </w:rPr>
  </w:style>
  <w:style w:type="character" w:customStyle="1" w:styleId="21">
    <w:name w:val="材料标注 Char"/>
    <w:link w:val="20"/>
    <w:qFormat/>
    <w:uiPriority w:val="0"/>
    <w:rPr>
      <w:rFonts w:hint="eastAsia" w:ascii="Times New Roman" w:hAnsi="Times New Roman" w:eastAsia="楷体_GB2312" w:cs="楷体_GB2312"/>
      <w:sz w:val="32"/>
      <w:szCs w:val="32"/>
    </w:rPr>
  </w:style>
  <w:style w:type="character" w:customStyle="1" w:styleId="22">
    <w:name w:val="材料一级标题 Char"/>
    <w:link w:val="4"/>
    <w:qFormat/>
    <w:uiPriority w:val="0"/>
    <w:rPr>
      <w:rFonts w:ascii="黑体" w:hAnsi="黑体" w:eastAsia="黑体" w:cs="黑体"/>
      <w:kern w:val="2"/>
      <w:sz w:val="32"/>
      <w:szCs w:val="32"/>
    </w:rPr>
  </w:style>
  <w:style w:type="character" w:customStyle="1" w:styleId="23">
    <w:name w:val="材料二级标题 Char"/>
    <w:link w:val="17"/>
    <w:qFormat/>
    <w:uiPriority w:val="0"/>
    <w:rPr>
      <w:rFonts w:ascii="Times New Roman" w:hAnsi="Times New Roman" w:eastAsia="楷体_GB2312" w:cs="Times New Roman"/>
      <w:color w:val="auto"/>
      <w:sz w:val="32"/>
      <w:szCs w:val="32"/>
    </w:rPr>
  </w:style>
  <w:style w:type="paragraph" w:customStyle="1" w:styleId="24">
    <w:name w:val="材料三级标题"/>
    <w:basedOn w:val="1"/>
    <w:link w:val="32"/>
    <w:qFormat/>
    <w:uiPriority w:val="0"/>
    <w:pPr>
      <w:numPr>
        <w:ilvl w:val="0"/>
        <w:numId w:val="7"/>
      </w:numPr>
      <w:spacing w:line="560" w:lineRule="exact"/>
      <w:ind w:firstLine="640" w:firstLineChars="200"/>
      <w:jc w:val="both"/>
    </w:pPr>
    <w:rPr>
      <w:rFonts w:ascii="Times New Roman" w:hAnsi="Times New Roman"/>
    </w:rPr>
  </w:style>
  <w:style w:type="paragraph" w:customStyle="1" w:styleId="25">
    <w:name w:val="材料正文"/>
    <w:basedOn w:val="1"/>
    <w:link w:val="26"/>
    <w:qFormat/>
    <w:uiPriority w:val="0"/>
    <w:pPr>
      <w:spacing w:line="600" w:lineRule="exact"/>
      <w:ind w:firstLine="640" w:firstLineChars="200"/>
      <w:jc w:val="both"/>
    </w:pPr>
    <w:rPr>
      <w:rFonts w:ascii="Times New Roman" w:hAnsi="Times New Roman"/>
      <w:snapToGrid w:val="0"/>
      <w:color w:val="000000"/>
      <w:kern w:val="0"/>
      <w:lang w:eastAsia="en-US"/>
    </w:rPr>
  </w:style>
  <w:style w:type="character" w:customStyle="1" w:styleId="26">
    <w:name w:val="材料正文 Char"/>
    <w:link w:val="25"/>
    <w:qFormat/>
    <w:uiPriority w:val="0"/>
    <w:rPr>
      <w:rFonts w:ascii="Times New Roman" w:hAnsi="Times New Roman" w:eastAsia="仿宋_GB2312" w:cs="Times New Roman"/>
      <w:snapToGrid w:val="0"/>
      <w:color w:val="000000"/>
      <w:kern w:val="0"/>
      <w:sz w:val="32"/>
      <w:szCs w:val="32"/>
      <w:lang w:eastAsia="en-US"/>
    </w:rPr>
  </w:style>
  <w:style w:type="paragraph" w:customStyle="1" w:styleId="27">
    <w:name w:val="材料页码"/>
    <w:basedOn w:val="1"/>
    <w:qFormat/>
    <w:uiPriority w:val="0"/>
    <w:pPr>
      <w:tabs>
        <w:tab w:val="center" w:pos="4153"/>
        <w:tab w:val="right" w:pos="8306"/>
      </w:tabs>
      <w:snapToGrid w:val="0"/>
      <w:jc w:val="left"/>
    </w:pPr>
    <w:rPr>
      <w:rFonts w:hint="eastAsia" w:ascii="宋体" w:hAnsi="宋体" w:eastAsia="宋体" w:cs="宋体"/>
      <w:sz w:val="28"/>
      <w:szCs w:val="28"/>
    </w:rPr>
  </w:style>
  <w:style w:type="paragraph" w:customStyle="1" w:styleId="28">
    <w:name w:val="材料落款"/>
    <w:basedOn w:val="25"/>
    <w:link w:val="31"/>
    <w:qFormat/>
    <w:uiPriority w:val="0"/>
    <w:pPr>
      <w:ind w:right="1260" w:rightChars="600" w:firstLine="0" w:firstLineChars="0"/>
      <w:jc w:val="right"/>
    </w:pPr>
    <w:rPr>
      <w:rFonts w:ascii="Times New Roman" w:hAnsi="Times New Roman"/>
    </w:rPr>
  </w:style>
  <w:style w:type="paragraph" w:customStyle="1" w:styleId="29">
    <w:name w:val="样式1"/>
    <w:basedOn w:val="25"/>
    <w:qFormat/>
    <w:uiPriority w:val="0"/>
    <w:pPr>
      <w:bidi/>
      <w:ind w:left="1260" w:leftChars="600" w:firstLine="0" w:firstLineChars="0"/>
    </w:pPr>
    <w:rPr>
      <w:rFonts w:ascii="Times New Roman" w:hAnsi="Times New Roman"/>
    </w:rPr>
  </w:style>
  <w:style w:type="character" w:customStyle="1" w:styleId="30">
    <w:name w:val="标题 3 Char"/>
    <w:link w:val="5"/>
    <w:qFormat/>
    <w:uiPriority w:val="0"/>
    <w:rPr>
      <w:rFonts w:ascii="楷体_GB2312" w:hAnsi="楷体_GB2312" w:eastAsia="楷体_GB2312" w:cs="楷体_GB2312"/>
      <w:color w:val="auto"/>
      <w:kern w:val="2"/>
      <w:sz w:val="32"/>
      <w:szCs w:val="32"/>
      <w:lang w:val="en-US" w:eastAsia="zh-CN" w:bidi="ar-SA"/>
    </w:rPr>
  </w:style>
  <w:style w:type="character" w:customStyle="1" w:styleId="31">
    <w:name w:val="材料落款 Char"/>
    <w:link w:val="28"/>
    <w:qFormat/>
    <w:uiPriority w:val="0"/>
    <w:rPr>
      <w:rFonts w:ascii="Times New Roman" w:hAnsi="Times New Roman" w:eastAsia="仿宋_GB2312" w:cs="Times New Roman"/>
      <w:snapToGrid w:val="0"/>
      <w:color w:val="000000"/>
      <w:kern w:val="0"/>
      <w:sz w:val="32"/>
      <w:szCs w:val="32"/>
      <w:lang w:eastAsia="en-US"/>
    </w:rPr>
  </w:style>
  <w:style w:type="character" w:customStyle="1" w:styleId="32">
    <w:name w:val="材料三级标题 Char"/>
    <w:link w:val="24"/>
    <w:qFormat/>
    <w:uiPriority w:val="0"/>
    <w:rPr>
      <w:rFonts w:ascii="Times New Roman" w:hAnsi="Times New Roman" w:eastAsia="仿宋_GB2312" w:cs="Times New Roman"/>
      <w:color w:val="auto"/>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92c7fb51-3fad-4460-ba16-4bbedd3750f6</errorID>
      <errorWord>府</errorWord>
      <group>L1_Word</group>
      <groupName>字词问题</groupName>
      <ability>L2_Typo</ability>
      <abilityName>字词错误</abilityName>
      <candidateList>
        <item>府代</item>
      </candidateList>
      <explain/>
      <paraID>413D2F45</paraID>
      <start>43</start>
      <end>45</end>
      <status>modified</status>
      <modifiedWord>府代</modifiedWord>
      <trackRevisions>false</trackRevisions>
    </reviewItem>
  </reviewItems>
  <config/>
</contractReview>
</file>

<file path=customXml/itemProps1.xml><?xml version="1.0" encoding="utf-8"?>
<ds:datastoreItem xmlns:ds="http://schemas.openxmlformats.org/officeDocument/2006/customXml" ds:itemID="{3564e155-46ea-49c8-8fd3-cb26428fedb4}">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8</Pages>
  <Words>3274</Words>
  <Characters>3277</Characters>
  <Lines>0</Lines>
  <Paragraphs>0</Paragraphs>
  <TotalTime>32</TotalTime>
  <ScaleCrop>false</ScaleCrop>
  <LinksUpToDate>false</LinksUpToDate>
  <CharactersWithSpaces>3324</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漫</cp:lastModifiedBy>
  <dcterms:modified xsi:type="dcterms:W3CDTF">2026-06-05T07:30:15Z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02623111D6304DE18E12E4886B9A87E0_13</vt:lpwstr>
  </property>
  <property fmtid="{D5CDD505-2E9C-101B-9397-08002B2CF9AE}" pid="4" name="KSOTemplateDocerSaveRecord">
    <vt:lpwstr>eyJoZGlkIjoiYWI3YWRkMDAwMTAyNGQxZWU5YzVjMTI2NjE1ZWE4YmEiLCJ1c2VySWQiOiI0NTI4Nzk0ODYifQ==</vt:lpwstr>
  </property>
</Properties>
</file>