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DE76F">
      <w:pPr>
        <w:pStyle w:val="17"/>
        <w:bidi w:val="0"/>
        <w:rPr>
          <w:rFonts w:hint="eastAsia"/>
          <w:highlight w:val="none"/>
          <w:lang w:eastAsia="zh-CN"/>
        </w:rPr>
      </w:pPr>
      <w:bookmarkStart w:id="0" w:name="_Toc23754"/>
      <w:r>
        <w:rPr>
          <w:rFonts w:hint="eastAsia"/>
          <w:highlight w:val="none"/>
          <w:lang w:eastAsia="zh-CN"/>
        </w:rPr>
        <w:t>文峰区集体经营性建设用地入市成本管理和收益分配指导意见（试行） （征求意见稿）</w:t>
      </w:r>
    </w:p>
    <w:p w14:paraId="55C39C2E">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r>
        <w:rPr>
          <w:rFonts w:hint="eastAsia" w:ascii="黑体" w:hAnsi="黑体" w:eastAsia="黑体" w:cs="黑体"/>
          <w:sz w:val="31"/>
          <w:szCs w:val="31"/>
          <w:highlight w:val="none"/>
        </w:rPr>
        <w:t>第一章  总则</w:t>
      </w:r>
      <w:bookmarkEnd w:id="0"/>
    </w:p>
    <w:p w14:paraId="0DF4A430">
      <w:pPr>
        <w:pStyle w:val="25"/>
        <w:numPr>
          <w:ilvl w:val="0"/>
          <w:numId w:val="8"/>
        </w:numPr>
        <w:bidi w:val="0"/>
        <w:rPr>
          <w:rFonts w:hint="eastAsia"/>
          <w:sz w:val="31"/>
          <w:szCs w:val="31"/>
          <w:highlight w:val="none"/>
        </w:rPr>
      </w:pPr>
      <w:r>
        <w:rPr>
          <w:rFonts w:hint="eastAsia"/>
          <w:sz w:val="31"/>
          <w:szCs w:val="31"/>
          <w:highlight w:val="none"/>
        </w:rPr>
        <w:t>为规范我区农村集体经营性建设用地土地增值收益管理，建立兼顾国家、集体、个人的土地增值收益分配机制， 根据《财政部、国土资源部关于印发〈农村集体经营性建设用地土地增值收益调节金征收使用管理暂行办法〉的通知》（财税〔2016〕41号）、《财政部 自然资源部关于延续实施农村集体经营性建设用地土地增值收益调节金政策的通知》（财税〔2023〕52号）等文件规定，制定本指导意见。</w:t>
      </w:r>
    </w:p>
    <w:p w14:paraId="5ECF39C8">
      <w:pPr>
        <w:pStyle w:val="25"/>
        <w:numPr>
          <w:ilvl w:val="0"/>
          <w:numId w:val="8"/>
        </w:numPr>
        <w:bidi w:val="0"/>
        <w:rPr>
          <w:rFonts w:hint="eastAsia"/>
          <w:sz w:val="31"/>
          <w:szCs w:val="31"/>
          <w:highlight w:val="none"/>
        </w:rPr>
      </w:pPr>
      <w:r>
        <w:rPr>
          <w:rFonts w:hint="eastAsia"/>
          <w:sz w:val="31"/>
          <w:szCs w:val="31"/>
          <w:highlight w:val="none"/>
        </w:rPr>
        <w:t>文峰区范围内农村集体经营性建设用地入市、再转让环节征收的土地增值收益调节金（以下简称调节金）管理适用本意见。</w:t>
      </w:r>
    </w:p>
    <w:p w14:paraId="40EFD58B">
      <w:pPr>
        <w:pStyle w:val="25"/>
        <w:numPr>
          <w:ilvl w:val="0"/>
          <w:numId w:val="8"/>
        </w:numPr>
        <w:bidi w:val="0"/>
        <w:rPr>
          <w:rFonts w:hint="eastAsia"/>
          <w:sz w:val="31"/>
          <w:szCs w:val="31"/>
          <w:highlight w:val="none"/>
        </w:rPr>
      </w:pPr>
      <w:r>
        <w:rPr>
          <w:rFonts w:hint="eastAsia"/>
          <w:sz w:val="31"/>
          <w:szCs w:val="31"/>
          <w:highlight w:val="none"/>
        </w:rPr>
        <w:t>本意见所称集体经营性建设用地入市，是指农民集体以土地所有权人身份通过公开的土地有形市场，依法将集体经营性建设用地使用权以出让、出租等方式交由单位或者个人在一定期限内有偿使用的行为。</w:t>
      </w:r>
    </w:p>
    <w:p w14:paraId="3D34CE9D">
      <w:pPr>
        <w:pStyle w:val="25"/>
        <w:numPr>
          <w:ilvl w:val="0"/>
          <w:numId w:val="8"/>
        </w:numPr>
        <w:bidi w:val="0"/>
        <w:rPr>
          <w:rFonts w:hint="eastAsia"/>
          <w:sz w:val="31"/>
          <w:szCs w:val="31"/>
          <w:highlight w:val="none"/>
        </w:rPr>
      </w:pPr>
      <w:r>
        <w:rPr>
          <w:rFonts w:hint="eastAsia"/>
          <w:sz w:val="31"/>
          <w:szCs w:val="31"/>
          <w:highlight w:val="none"/>
        </w:rPr>
        <w:t>农村集体经营性建设用地以出让、作价出资（入股）方式入市的，成交总价款为入市收入。</w:t>
      </w:r>
    </w:p>
    <w:p w14:paraId="1A3ABA5B">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rPr>
      </w:pPr>
      <w:r>
        <w:rPr>
          <w:rFonts w:hint="eastAsia"/>
          <w:sz w:val="31"/>
          <w:szCs w:val="31"/>
          <w:highlight w:val="none"/>
        </w:rPr>
        <w:t>以租赁方式入市的，租金总额为入市收入。</w:t>
      </w:r>
    </w:p>
    <w:p w14:paraId="5FB62DE1">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rPr>
      </w:pPr>
      <w:r>
        <w:rPr>
          <w:rFonts w:hint="eastAsia"/>
          <w:sz w:val="31"/>
          <w:szCs w:val="31"/>
          <w:highlight w:val="none"/>
        </w:rPr>
        <w:t>以出售、交换、出租、作价出资（入股）等方式再转让农村集体经营性建设用地使用权的，为再转让收入，具体标准按照财税〔2016〕41号</w:t>
      </w:r>
      <w:r>
        <w:rPr>
          <w:rFonts w:hint="eastAsia"/>
          <w:sz w:val="31"/>
          <w:szCs w:val="31"/>
          <w:highlight w:val="none"/>
          <w:lang w:eastAsia="zh-CN"/>
        </w:rPr>
        <w:t>文件</w:t>
      </w:r>
      <w:r>
        <w:rPr>
          <w:rFonts w:hint="eastAsia"/>
          <w:sz w:val="31"/>
          <w:szCs w:val="31"/>
          <w:highlight w:val="none"/>
        </w:rPr>
        <w:t>规定执行。</w:t>
      </w:r>
    </w:p>
    <w:p w14:paraId="75C046A6">
      <w:pPr>
        <w:pStyle w:val="25"/>
        <w:numPr>
          <w:ilvl w:val="0"/>
          <w:numId w:val="8"/>
        </w:numPr>
        <w:bidi w:val="0"/>
        <w:rPr>
          <w:rFonts w:hint="eastAsia"/>
          <w:sz w:val="31"/>
          <w:szCs w:val="31"/>
          <w:highlight w:val="none"/>
        </w:rPr>
      </w:pPr>
      <w:r>
        <w:rPr>
          <w:rFonts w:hint="eastAsia"/>
          <w:sz w:val="31"/>
          <w:szCs w:val="31"/>
          <w:highlight w:val="none"/>
        </w:rPr>
        <w:t>本意见所称农村集体经营性建设用地土地增值收益（以下简称土地增值收益）是指入市收入扣除取得成本和土地开发支出后的净收益，以及再转让环节的再转让收入扣除取得成本和土地开发支出后的净收益。</w:t>
      </w:r>
    </w:p>
    <w:p w14:paraId="6ADEDA76">
      <w:pPr>
        <w:pStyle w:val="25"/>
        <w:numPr>
          <w:ilvl w:val="0"/>
          <w:numId w:val="8"/>
        </w:numPr>
        <w:bidi w:val="0"/>
        <w:rPr>
          <w:rFonts w:hint="eastAsia"/>
          <w:sz w:val="31"/>
          <w:szCs w:val="31"/>
          <w:highlight w:val="none"/>
        </w:rPr>
      </w:pPr>
      <w:r>
        <w:rPr>
          <w:rFonts w:hint="eastAsia"/>
          <w:sz w:val="31"/>
          <w:szCs w:val="31"/>
          <w:highlight w:val="none"/>
        </w:rPr>
        <w:t>本意见</w:t>
      </w:r>
      <w:r>
        <w:rPr>
          <w:rFonts w:hint="eastAsia"/>
          <w:sz w:val="31"/>
          <w:szCs w:val="31"/>
          <w:highlight w:val="none"/>
          <w:lang w:eastAsia="zh-CN"/>
        </w:rPr>
        <w:t>所称</w:t>
      </w:r>
      <w:r>
        <w:rPr>
          <w:rFonts w:hint="eastAsia"/>
          <w:sz w:val="31"/>
          <w:szCs w:val="31"/>
          <w:highlight w:val="none"/>
        </w:rPr>
        <w:t>调节金，是指按照建立同权同价流转顺畅、收益共享的农村集体经营性建设用地入市制度的目标，在农村集体经营性建设用地入市及再转让环节，对土地增值收益收取的资金。</w:t>
      </w:r>
    </w:p>
    <w:p w14:paraId="1F18CFC6">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rPr>
      </w:pPr>
      <w:r>
        <w:rPr>
          <w:rFonts w:hint="eastAsia"/>
          <w:sz w:val="31"/>
          <w:szCs w:val="31"/>
          <w:highlight w:val="none"/>
        </w:rPr>
        <w:t>农村集体经济组织通过出让、租赁、作价出资（入股）等方式取得农村集体经营性建设用地入市收益，以及入市后的农村集体经营性建设用地土地使用权人，以出售、交换赠与、出租、作价出资（入股）或其他视同转让等方式取得再转让收益时，向国家缴纳调节金。</w:t>
      </w:r>
    </w:p>
    <w:p w14:paraId="6BB766B3">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lang w:eastAsia="zh-CN"/>
        </w:rPr>
      </w:pPr>
      <w:bookmarkStart w:id="1" w:name="_Toc9130"/>
      <w:r>
        <w:rPr>
          <w:rFonts w:hint="eastAsia" w:ascii="黑体" w:hAnsi="黑体" w:eastAsia="黑体" w:cs="黑体"/>
          <w:sz w:val="31"/>
          <w:szCs w:val="31"/>
          <w:highlight w:val="none"/>
        </w:rPr>
        <w:t>第二章  征缴</w:t>
      </w:r>
      <w:bookmarkEnd w:id="1"/>
      <w:r>
        <w:rPr>
          <w:rFonts w:hint="eastAsia" w:ascii="黑体" w:hAnsi="黑体" w:eastAsia="黑体" w:cs="黑体"/>
          <w:sz w:val="31"/>
          <w:szCs w:val="31"/>
          <w:highlight w:val="none"/>
          <w:lang w:eastAsia="zh-CN"/>
        </w:rPr>
        <w:t>标准</w:t>
      </w:r>
    </w:p>
    <w:p w14:paraId="10ABB1B8">
      <w:pPr>
        <w:pStyle w:val="25"/>
        <w:numPr>
          <w:ilvl w:val="0"/>
          <w:numId w:val="8"/>
        </w:numPr>
        <w:bidi w:val="0"/>
        <w:rPr>
          <w:rFonts w:hint="eastAsia"/>
          <w:sz w:val="31"/>
          <w:szCs w:val="31"/>
          <w:highlight w:val="none"/>
        </w:rPr>
      </w:pPr>
      <w:r>
        <w:rPr>
          <w:rFonts w:hint="eastAsia"/>
          <w:sz w:val="31"/>
          <w:szCs w:val="31"/>
          <w:highlight w:val="none"/>
        </w:rPr>
        <w:t>根据集体经营性建设用地的不同用途，按不同的比例从土地入市价款中提取土地增值收益调节金。土地增值收益调节金比例具体如下：</w:t>
      </w:r>
    </w:p>
    <w:p w14:paraId="715D860A">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rPr>
      </w:pPr>
      <w:r>
        <w:rPr>
          <w:rFonts w:hint="eastAsia"/>
          <w:sz w:val="31"/>
          <w:szCs w:val="31"/>
          <w:highlight w:val="none"/>
        </w:rPr>
        <w:t>按工矿仓储用地入市的，土地增值收益调节金的计提比例为30%； 按公共管理与公共服务用地入市的，土地增值收益调节金的计提比例为40%；按商服用地入市的，土地增值收益调节金的计提比例为50%。</w:t>
      </w:r>
    </w:p>
    <w:p w14:paraId="178D20E2">
      <w:pPr>
        <w:pStyle w:val="25"/>
        <w:numPr>
          <w:ilvl w:val="0"/>
          <w:numId w:val="8"/>
        </w:numPr>
        <w:bidi w:val="0"/>
        <w:rPr>
          <w:sz w:val="31"/>
          <w:szCs w:val="31"/>
          <w:highlight w:val="none"/>
        </w:rPr>
      </w:pPr>
      <w:r>
        <w:rPr>
          <w:rFonts w:hint="eastAsia"/>
          <w:sz w:val="31"/>
          <w:szCs w:val="31"/>
          <w:highlight w:val="none"/>
        </w:rPr>
        <w:t>土地出让收入分配顺序为：土地入市成交价款中，政府首先根据集体经营性建设用地的不同用途扣除土地入市成本，收取土地增值收益调节金，剩余部分为农村集体经营性建设用地土地增值收益（以下简称所有权人的收益）。</w:t>
      </w:r>
    </w:p>
    <w:p w14:paraId="6F751B0E">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以出售、交换、出租、作价出资</w:t>
      </w:r>
      <w:r>
        <w:rPr>
          <w:rFonts w:hint="eastAsia"/>
          <w:sz w:val="31"/>
          <w:szCs w:val="31"/>
          <w:highlight w:val="none"/>
          <w:lang w:eastAsia="zh-CN"/>
        </w:rPr>
        <w:t>（</w:t>
      </w:r>
      <w:r>
        <w:rPr>
          <w:rFonts w:hint="eastAsia"/>
          <w:sz w:val="31"/>
          <w:szCs w:val="31"/>
          <w:highlight w:val="none"/>
          <w:lang w:val="en-US" w:eastAsia="zh-CN"/>
        </w:rPr>
        <w:t>入股</w:t>
      </w:r>
      <w:r>
        <w:rPr>
          <w:rFonts w:hint="eastAsia"/>
          <w:sz w:val="31"/>
          <w:szCs w:val="31"/>
          <w:highlight w:val="none"/>
          <w:lang w:eastAsia="zh-CN"/>
        </w:rPr>
        <w:t>）</w:t>
      </w:r>
      <w:r>
        <w:rPr>
          <w:rFonts w:hint="eastAsia"/>
          <w:sz w:val="31"/>
          <w:szCs w:val="31"/>
          <w:highlight w:val="none"/>
          <w:lang w:val="en-US" w:eastAsia="zh-CN"/>
        </w:rPr>
        <w:t>等方式再转让农村集体经营性建设用地使用权的，再转让收入按以下方式确定：</w:t>
      </w:r>
    </w:p>
    <w:p w14:paraId="01CDEB6D">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lang w:val="en-US" w:eastAsia="zh-CN"/>
        </w:rPr>
      </w:pPr>
      <w:r>
        <w:rPr>
          <w:rFonts w:hint="eastAsia"/>
          <w:sz w:val="31"/>
          <w:szCs w:val="31"/>
          <w:highlight w:val="none"/>
          <w:lang w:val="en-US" w:eastAsia="zh-CN"/>
        </w:rPr>
        <w:t>以出售方式再转让的，销售价款为再转让收入。</w:t>
      </w:r>
    </w:p>
    <w:p w14:paraId="2C465ECF">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lang w:val="en-US" w:eastAsia="zh-CN"/>
        </w:rPr>
      </w:pPr>
      <w:r>
        <w:rPr>
          <w:rFonts w:hint="eastAsia"/>
          <w:sz w:val="31"/>
          <w:szCs w:val="31"/>
          <w:highlight w:val="none"/>
          <w:lang w:val="en-US" w:eastAsia="zh-CN"/>
        </w:rPr>
        <w:t>以交换方式再转让并存在差价补偿的，被转让土地与交换土地或房产的评估价差额与合同约定差价补偿款中较大者为再转让收入。</w:t>
      </w:r>
    </w:p>
    <w:p w14:paraId="4367FF80">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lang w:val="en-US" w:eastAsia="zh-CN"/>
        </w:rPr>
      </w:pPr>
      <w:r>
        <w:rPr>
          <w:rFonts w:hint="eastAsia"/>
          <w:sz w:val="31"/>
          <w:szCs w:val="31"/>
          <w:highlight w:val="none"/>
          <w:lang w:val="en-US" w:eastAsia="zh-CN"/>
        </w:rPr>
        <w:t>其中，以除土地或房产以外的实物等非货币形式补偿差价的，其评估价值为相应差价补偿款。</w:t>
      </w:r>
    </w:p>
    <w:p w14:paraId="63B51618">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lang w:val="en-US" w:eastAsia="zh-CN"/>
        </w:rPr>
      </w:pPr>
      <w:r>
        <w:rPr>
          <w:rFonts w:hint="eastAsia"/>
          <w:sz w:val="31"/>
          <w:szCs w:val="31"/>
          <w:highlight w:val="none"/>
          <w:lang w:val="en-US" w:eastAsia="zh-CN"/>
        </w:rPr>
        <w:t>（三）以出租或作价出资（入股）方式再转让的，总租金、成交总价款为再转让收入。</w:t>
      </w:r>
    </w:p>
    <w:p w14:paraId="13A9CDA3">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lang w:val="en-US" w:eastAsia="zh-CN"/>
        </w:rPr>
      </w:pPr>
      <w:r>
        <w:rPr>
          <w:rFonts w:hint="eastAsia"/>
          <w:sz w:val="31"/>
          <w:szCs w:val="31"/>
          <w:highlight w:val="none"/>
          <w:lang w:val="en-US" w:eastAsia="zh-CN"/>
        </w:rPr>
        <w:t>（四）以抵债、司法裁定等视同转让方式再转让的，评估价或合同协议价中较高者为再转让收入。</w:t>
      </w:r>
    </w:p>
    <w:p w14:paraId="39088551">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sz w:val="31"/>
          <w:szCs w:val="31"/>
          <w:highlight w:val="none"/>
        </w:rPr>
      </w:pPr>
      <w:r>
        <w:rPr>
          <w:rFonts w:hint="eastAsia"/>
          <w:sz w:val="31"/>
          <w:szCs w:val="31"/>
          <w:highlight w:val="none"/>
          <w:lang w:val="en-US" w:eastAsia="zh-CN"/>
        </w:rPr>
        <w:t>（五）对无偿赠与直系亲属或承担直接赡养义务人，以及通过境内非营利社会团体、国家机关赠与国内教育、民政等公益福利事业的，暂不征收调节金。其他赠与行为以评估价为再转让收入。</w:t>
      </w:r>
    </w:p>
    <w:p w14:paraId="0A6FE26C">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2" w:name="_Toc8302"/>
      <w:r>
        <w:rPr>
          <w:rFonts w:hint="eastAsia" w:ascii="黑体" w:hAnsi="黑体" w:eastAsia="黑体" w:cs="黑体"/>
          <w:sz w:val="31"/>
          <w:szCs w:val="31"/>
          <w:highlight w:val="none"/>
        </w:rPr>
        <w:t>第三章  </w:t>
      </w:r>
      <w:r>
        <w:rPr>
          <w:rFonts w:hint="eastAsia" w:ascii="黑体" w:hAnsi="黑体" w:eastAsia="黑体" w:cs="黑体"/>
          <w:sz w:val="31"/>
          <w:szCs w:val="31"/>
          <w:highlight w:val="none"/>
          <w:lang w:eastAsia="zh-CN"/>
        </w:rPr>
        <w:t>土地</w:t>
      </w:r>
      <w:r>
        <w:rPr>
          <w:rFonts w:hint="eastAsia" w:ascii="黑体" w:hAnsi="黑体" w:eastAsia="黑体" w:cs="黑体"/>
          <w:sz w:val="31"/>
          <w:szCs w:val="31"/>
          <w:highlight w:val="none"/>
        </w:rPr>
        <w:t>入市</w:t>
      </w:r>
      <w:bookmarkEnd w:id="2"/>
      <w:r>
        <w:rPr>
          <w:rFonts w:hint="eastAsia" w:ascii="黑体" w:hAnsi="黑体" w:eastAsia="黑体" w:cs="黑体"/>
          <w:sz w:val="31"/>
          <w:szCs w:val="31"/>
          <w:highlight w:val="none"/>
        </w:rPr>
        <w:t>成本</w:t>
      </w:r>
    </w:p>
    <w:p w14:paraId="4831653C">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本意见所称入市成本包含农用地转用涉及的新增建设用地有偿使用费、耕地占用税、占补平衡指标购置费；城乡建设用地增减挂钩涉及的耕地占用税、B类复垦卷、自行拆旧复垦指标等费用；参照当前河南省征收农用地区片综合地价标准确定的土地补偿费；入市交易过程中测绘费、公告费、评估费等中间服务费。入市成本包含但不限于以上费用类别，涉及其他费用的另行测算。</w:t>
      </w:r>
    </w:p>
    <w:p w14:paraId="09632F9D">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bookmarkStart w:id="3" w:name="_Toc13867"/>
      <w:r>
        <w:rPr>
          <w:rFonts w:hint="eastAsia" w:ascii="黑体" w:hAnsi="黑体" w:eastAsia="黑体" w:cs="黑体"/>
          <w:sz w:val="31"/>
          <w:szCs w:val="31"/>
          <w:highlight w:val="none"/>
        </w:rPr>
        <w:t>第</w:t>
      </w:r>
      <w:r>
        <w:rPr>
          <w:rFonts w:hint="eastAsia" w:ascii="黑体" w:hAnsi="黑体" w:eastAsia="黑体" w:cs="黑体"/>
          <w:sz w:val="31"/>
          <w:szCs w:val="31"/>
          <w:highlight w:val="none"/>
          <w:lang w:eastAsia="zh-CN"/>
        </w:rPr>
        <w:t>四</w:t>
      </w:r>
      <w:r>
        <w:rPr>
          <w:rFonts w:hint="eastAsia" w:ascii="黑体" w:hAnsi="黑体" w:eastAsia="黑体" w:cs="黑体"/>
          <w:sz w:val="31"/>
          <w:szCs w:val="31"/>
          <w:highlight w:val="none"/>
        </w:rPr>
        <w:t>章  </w:t>
      </w:r>
      <w:bookmarkEnd w:id="3"/>
      <w:r>
        <w:rPr>
          <w:rFonts w:hint="eastAsia" w:ascii="黑体" w:hAnsi="黑体" w:eastAsia="黑体" w:cs="黑体"/>
          <w:sz w:val="31"/>
          <w:szCs w:val="31"/>
          <w:highlight w:val="none"/>
        </w:rPr>
        <w:t>征收缴库</w:t>
      </w:r>
    </w:p>
    <w:p w14:paraId="45C9C98D">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调节金由区财政部门会同区自然资源部门负责征收。</w:t>
      </w:r>
    </w:p>
    <w:p w14:paraId="709A6415">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调节金原则上由农村集体经营性建设用地的出让方、出租方、作价出资（入股）方及再转让方缴纳。</w:t>
      </w:r>
    </w:p>
    <w:p w14:paraId="016B3FE6">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农村集体经营性建设用地以出让方式入市的，调节金征收实行扣缴制。出让土地成交后，由取得土地使用权人按出让合同约定的成交价款，全额缴入区财政指定账户，区财政部门从成交价款中计提调节金，进行代扣代缴。</w:t>
      </w:r>
    </w:p>
    <w:p w14:paraId="18907660">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对以出租方式入市或再转让的，由出租方或再转让方向区财政部门缴纳调节金后，再按交易双方的约定，定期、及时向对方支付租金或再转让价款。</w:t>
      </w:r>
    </w:p>
    <w:p w14:paraId="6E53645A">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农村集体建设用地基准地价体系按照市政府制定标准执行。农村集体经营性建设用地入市、再转让价格低于基准地价80%，明显低于市场价或与市场价格不合理上涨的，区自然资源部门审核不予通过。</w:t>
      </w:r>
    </w:p>
    <w:p w14:paraId="735A03BD">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区自然资源部门根据合同和交易信息，核定调节金应缴金额，开具缴款通知书。缴款通知书应载明成交土地地块、面积、交易方式、成交总价款、调节金金额、缴纳义务人和缴纳期限等。</w:t>
      </w:r>
    </w:p>
    <w:p w14:paraId="01CE2D48">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区财政部门依据区自然资源部门开具的缴款通知书，从土地使用权人缴纳的土地出让价款中代扣代缴调节金，或督促当事人缴纳调节金。</w:t>
      </w:r>
    </w:p>
    <w:p w14:paraId="0E37C5B9">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区财政部门会同区自然资源部门定期公示集体经营性建设用地成交及调节金缴纳情况。</w:t>
      </w:r>
    </w:p>
    <w:p w14:paraId="794C7E98">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农村集体经营性建设用地使用权交易方按合同支付价款及税费、调节金后，由市不动产登记部门按规定办理不动产登记手续。</w:t>
      </w:r>
    </w:p>
    <w:p w14:paraId="0592D642">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调节金缴纳凭证是农村集体经营性建设用地入市和再转让办理不动产登记手续的要件。</w:t>
      </w:r>
    </w:p>
    <w:p w14:paraId="13F7B50F">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调节金缴纳义务人应按合同、协议及缴款通知书规定及时足额缴纳调节金。</w:t>
      </w:r>
    </w:p>
    <w:p w14:paraId="73444193">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对未按规定缴纳调节金的，区财政局、区自然资源部门有权采取措施督促其补缴。</w:t>
      </w:r>
    </w:p>
    <w:p w14:paraId="4670EA29">
      <w:pPr>
        <w:pStyle w:val="25"/>
        <w:numPr>
          <w:ilvl w:val="0"/>
          <w:numId w:val="8"/>
        </w:numPr>
        <w:bidi w:val="0"/>
        <w:rPr>
          <w:rFonts w:hint="eastAsia"/>
          <w:color w:val="auto"/>
          <w:sz w:val="31"/>
          <w:szCs w:val="31"/>
          <w:highlight w:val="none"/>
          <w:lang w:val="en-US" w:eastAsia="zh-CN"/>
        </w:rPr>
      </w:pPr>
      <w:r>
        <w:rPr>
          <w:rFonts w:hint="eastAsia"/>
          <w:color w:val="auto"/>
          <w:sz w:val="31"/>
          <w:szCs w:val="31"/>
          <w:highlight w:val="none"/>
          <w:lang w:val="en-US" w:eastAsia="zh-CN"/>
        </w:rPr>
        <w:t>调节金全额上缴地方国库，纳入地方一般公共预算管理。入市期间调节金按区政府、镇政府（街道办事处）8:2比例分成。</w:t>
      </w:r>
    </w:p>
    <w:p w14:paraId="630D3C27">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区财政部门按规定比例从入市地款中提取调节金后，剩余的款项即为所有权人的入市收益。</w:t>
      </w:r>
    </w:p>
    <w:p w14:paraId="4DF1206A">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所有权人的入市收益经区财政部门拨付至所有权人，并按照农村“三资”管理有关规定使用和管理。</w:t>
      </w:r>
    </w:p>
    <w:p w14:paraId="4A5800B5">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区财政部门应在用地人缴清入市地款后提取调节金，将所有权人的入市收益下拨至镇政府（街道办事处）财政。入市收益属村组集体的，镇政府（街道办事处）财政应在收到款项后5个工作日内将资金拨付至村组。</w:t>
      </w:r>
    </w:p>
    <w:p w14:paraId="21725F5B">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农村集体经济组织取得的土地增值收益，按照壮大集体经济的原则留足集体后，在农村集体经济组织成员之间公平分配。集体留成部分原则上全部用于村组公共基础事业支出；分配到群众个人的部分，原则上不超过入市地块所在区域的每亩征地补偿款额，多余部分要留归村组集体使用。</w:t>
      </w:r>
    </w:p>
    <w:p w14:paraId="38370571">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农村集体经济组织取得的收益应纳入农村集体资产统一管理，分配情况纳入村务公开内容，接受审计、政府和公众监督。</w:t>
      </w:r>
    </w:p>
    <w:p w14:paraId="78A10E45">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r>
        <w:rPr>
          <w:rFonts w:hint="eastAsia" w:ascii="黑体" w:hAnsi="黑体" w:eastAsia="黑体" w:cs="黑体"/>
          <w:sz w:val="31"/>
          <w:szCs w:val="31"/>
          <w:highlight w:val="none"/>
        </w:rPr>
        <w:t>第</w:t>
      </w:r>
      <w:r>
        <w:rPr>
          <w:rFonts w:hint="eastAsia" w:ascii="黑体" w:hAnsi="黑体" w:eastAsia="黑体" w:cs="黑体"/>
          <w:sz w:val="31"/>
          <w:szCs w:val="31"/>
          <w:highlight w:val="none"/>
          <w:lang w:eastAsia="zh-CN"/>
        </w:rPr>
        <w:t>五</w:t>
      </w:r>
      <w:r>
        <w:rPr>
          <w:rFonts w:hint="eastAsia" w:ascii="黑体" w:hAnsi="黑体" w:eastAsia="黑体" w:cs="黑体"/>
          <w:sz w:val="31"/>
          <w:szCs w:val="31"/>
          <w:highlight w:val="none"/>
        </w:rPr>
        <w:t>章  </w:t>
      </w:r>
      <w:r>
        <w:rPr>
          <w:rFonts w:hint="eastAsia" w:ascii="黑体" w:hAnsi="黑体" w:eastAsia="黑体" w:cs="黑体"/>
          <w:sz w:val="31"/>
          <w:szCs w:val="31"/>
          <w:highlight w:val="none"/>
          <w:lang w:eastAsia="zh-CN"/>
        </w:rPr>
        <w:t>使用管理</w:t>
      </w:r>
    </w:p>
    <w:p w14:paraId="77777A1C">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调节金纳入地方一般公共预算管理，由区财政部门统筹安排使用。资金支付按照国库集中支付制度有关规定执行。</w:t>
      </w:r>
    </w:p>
    <w:p w14:paraId="30AE4CB0">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区财政、自然资源及审计部门要加强调剂金使用的监督管理，确保资金使用符合规定用途和预算管理要求。</w:t>
      </w:r>
    </w:p>
    <w:p w14:paraId="41305468">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rPr>
      </w:pPr>
      <w:r>
        <w:rPr>
          <w:rFonts w:hint="eastAsia" w:ascii="黑体" w:hAnsi="黑体" w:eastAsia="黑体" w:cs="黑体"/>
          <w:sz w:val="31"/>
          <w:szCs w:val="31"/>
          <w:highlight w:val="none"/>
        </w:rPr>
        <w:t>第</w:t>
      </w:r>
      <w:r>
        <w:rPr>
          <w:rFonts w:hint="eastAsia" w:ascii="黑体" w:hAnsi="黑体" w:eastAsia="黑体" w:cs="黑体"/>
          <w:sz w:val="31"/>
          <w:szCs w:val="31"/>
          <w:highlight w:val="none"/>
          <w:lang w:eastAsia="zh-CN"/>
        </w:rPr>
        <w:t>六</w:t>
      </w:r>
      <w:r>
        <w:rPr>
          <w:rFonts w:hint="eastAsia" w:ascii="黑体" w:hAnsi="黑体" w:eastAsia="黑体" w:cs="黑体"/>
          <w:sz w:val="31"/>
          <w:szCs w:val="31"/>
          <w:highlight w:val="none"/>
        </w:rPr>
        <w:t>章  </w:t>
      </w:r>
      <w:r>
        <w:rPr>
          <w:rFonts w:hint="eastAsia" w:ascii="黑体" w:hAnsi="黑体" w:eastAsia="黑体" w:cs="黑体"/>
          <w:sz w:val="31"/>
          <w:szCs w:val="31"/>
          <w:highlight w:val="none"/>
          <w:lang w:eastAsia="zh-CN"/>
        </w:rPr>
        <w:t>法律责任</w:t>
      </w:r>
    </w:p>
    <w:p w14:paraId="7667A50E">
      <w:pPr>
        <w:pStyle w:val="25"/>
        <w:numPr>
          <w:ilvl w:val="0"/>
          <w:numId w:val="8"/>
        </w:numPr>
        <w:bidi w:val="0"/>
        <w:rPr>
          <w:rFonts w:hint="eastAsia"/>
          <w:sz w:val="31"/>
          <w:szCs w:val="31"/>
          <w:highlight w:val="none"/>
          <w:lang w:val="en-US" w:eastAsia="zh-CN"/>
        </w:rPr>
      </w:pPr>
      <w:r>
        <w:rPr>
          <w:rFonts w:hint="eastAsia"/>
          <w:sz w:val="31"/>
          <w:szCs w:val="31"/>
          <w:highlight w:val="none"/>
          <w:lang w:val="en-US" w:eastAsia="zh-CN"/>
        </w:rPr>
        <w:t>单位和个人违反本实施细则规定，有下列情形之一的，依照《财政违法行为处罚处分条例》和《违反行政事业性收费和罚没收入收支两条线管理规定行政处分暂行规定》等国家有关规定追究法律责任；涉嫌犯罪的，依法移送司法机关处理：</w:t>
      </w:r>
    </w:p>
    <w:p w14:paraId="340DE318">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（一）擅自减免调节金或者改变调节金征收范围、对象和标准的；</w:t>
      </w:r>
    </w:p>
    <w:p w14:paraId="7EF86FDB">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（二）隐瞒、坐支应当上缴的调节金的；</w:t>
      </w:r>
    </w:p>
    <w:p w14:paraId="543812C2">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（三）滞留、截留、挪用应当上缴的调节金的；</w:t>
      </w:r>
    </w:p>
    <w:p w14:paraId="5408B154">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（四）不按照规定的预算级次、预算科目将调节金缴入国库的；</w:t>
      </w:r>
    </w:p>
    <w:p w14:paraId="71A0B0CA">
      <w:pPr>
        <w:pStyle w:val="25"/>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eastAsia"/>
          <w:color w:val="auto"/>
          <w:sz w:val="31"/>
          <w:szCs w:val="31"/>
          <w:highlight w:val="none"/>
          <w:lang w:val="en-US" w:eastAsia="zh-CN"/>
        </w:rPr>
      </w:pPr>
      <w:r>
        <w:rPr>
          <w:rFonts w:hint="eastAsia"/>
          <w:color w:val="auto"/>
          <w:sz w:val="31"/>
          <w:szCs w:val="31"/>
          <w:highlight w:val="none"/>
          <w:lang w:val="en-US" w:eastAsia="zh-CN"/>
        </w:rPr>
        <w:t>（五）其他违反国家财政收入管理规定的行为。</w:t>
      </w:r>
    </w:p>
    <w:p w14:paraId="6DCC7480">
      <w:pPr>
        <w:pStyle w:val="25"/>
        <w:numPr>
          <w:ilvl w:val="0"/>
          <w:numId w:val="8"/>
        </w:numPr>
        <w:bidi w:val="0"/>
        <w:rPr>
          <w:rFonts w:hint="eastAsia"/>
          <w:sz w:val="31"/>
          <w:szCs w:val="31"/>
          <w:highlight w:val="none"/>
          <w:lang w:val="en-US" w:eastAsia="zh-CN"/>
        </w:rPr>
      </w:pPr>
      <w:r>
        <w:rPr>
          <w:rFonts w:hint="eastAsia"/>
          <w:color w:val="auto"/>
          <w:sz w:val="31"/>
          <w:szCs w:val="31"/>
          <w:highlight w:val="none"/>
          <w:lang w:val="en-US" w:eastAsia="zh-CN"/>
        </w:rPr>
        <w:t>调节金征收、使用管理有关部门的工作人员违反本实施细则规定，在调节金计提和使用管理工作中徇私舞弊、玩忽职守、滥用职权的，依法给予处分；涉嫌犯罪的，依法移送司法机关处理。 </w:t>
      </w:r>
    </w:p>
    <w:p w14:paraId="7ED5A293">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sz w:val="31"/>
          <w:szCs w:val="31"/>
          <w:highlight w:val="none"/>
          <w:lang w:eastAsia="zh-CN"/>
        </w:rPr>
      </w:pPr>
      <w:r>
        <w:rPr>
          <w:rFonts w:hint="eastAsia" w:ascii="黑体" w:hAnsi="黑体" w:eastAsia="黑体" w:cs="黑体"/>
          <w:sz w:val="31"/>
          <w:szCs w:val="31"/>
          <w:highlight w:val="none"/>
        </w:rPr>
        <w:t>第</w:t>
      </w:r>
      <w:r>
        <w:rPr>
          <w:rFonts w:hint="eastAsia" w:ascii="黑体" w:hAnsi="黑体" w:eastAsia="黑体" w:cs="黑体"/>
          <w:sz w:val="31"/>
          <w:szCs w:val="31"/>
          <w:highlight w:val="none"/>
          <w:lang w:eastAsia="zh-CN"/>
        </w:rPr>
        <w:t>六</w:t>
      </w:r>
      <w:r>
        <w:rPr>
          <w:rFonts w:hint="eastAsia" w:ascii="黑体" w:hAnsi="黑体" w:eastAsia="黑体" w:cs="黑体"/>
          <w:sz w:val="31"/>
          <w:szCs w:val="31"/>
          <w:highlight w:val="none"/>
        </w:rPr>
        <w:t>章  </w:t>
      </w:r>
      <w:r>
        <w:rPr>
          <w:rFonts w:hint="eastAsia" w:ascii="黑体" w:hAnsi="黑体" w:eastAsia="黑体" w:cs="黑体"/>
          <w:sz w:val="31"/>
          <w:szCs w:val="31"/>
          <w:highlight w:val="none"/>
          <w:lang w:eastAsia="zh-CN"/>
        </w:rPr>
        <w:t>附则</w:t>
      </w:r>
    </w:p>
    <w:p w14:paraId="6770F516">
      <w:pPr>
        <w:pStyle w:val="25"/>
        <w:numPr>
          <w:ilvl w:val="0"/>
          <w:numId w:val="8"/>
        </w:numPr>
        <w:bidi w:val="0"/>
        <w:rPr>
          <w:rFonts w:hint="eastAsia" w:eastAsia="仿宋_GB2312"/>
          <w:sz w:val="31"/>
          <w:szCs w:val="31"/>
          <w:highlight w:val="none"/>
          <w:lang w:val="en-US" w:eastAsia="zh-CN"/>
        </w:rPr>
      </w:pPr>
      <w:r>
        <w:rPr>
          <w:rFonts w:hint="eastAsia"/>
          <w:sz w:val="31"/>
          <w:szCs w:val="31"/>
          <w:highlight w:val="none"/>
          <w:lang w:val="en-US" w:eastAsia="zh-CN"/>
        </w:rPr>
        <w:t>本指导意见自发布之日起执行。国家、省、市对调节金和使用管理另行规定的，从其规定。</w:t>
      </w:r>
      <w:bookmarkStart w:id="4" w:name="_GoBack"/>
      <w:bookmarkEnd w:id="4"/>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7D67">
    <w:pPr>
      <w:pStyle w:val="9"/>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8579"/>
    <w:multiLevelType w:val="singleLevel"/>
    <w:tmpl w:val="80308579"/>
    <w:lvl w:ilvl="0" w:tentative="0">
      <w:start w:val="1"/>
      <w:numFmt w:val="chineseCounting"/>
      <w:pStyle w:val="5"/>
      <w:suff w:val="nothing"/>
      <w:lvlText w:val="（%1）"/>
      <w:lvlJc w:val="left"/>
      <w:pPr>
        <w:ind w:left="0" w:firstLine="420"/>
      </w:pPr>
      <w:rPr>
        <w:rFonts w:hint="eastAsia"/>
      </w:rPr>
    </w:lvl>
  </w:abstractNum>
  <w:abstractNum w:abstractNumId="1">
    <w:nsid w:val="9A20934C"/>
    <w:multiLevelType w:val="singleLevel"/>
    <w:tmpl w:val="9A20934C"/>
    <w:lvl w:ilvl="0" w:tentative="0">
      <w:start w:val="1"/>
      <w:numFmt w:val="chineseCounting"/>
      <w:pStyle w:val="4"/>
      <w:suff w:val="nothing"/>
      <w:lvlText w:val="%1、"/>
      <w:lvlJc w:val="left"/>
      <w:pPr>
        <w:ind w:left="0" w:firstLine="397"/>
      </w:pPr>
      <w:rPr>
        <w:rFonts w:hint="eastAsia" w:eastAsia="黑体"/>
        <w:sz w:val="32"/>
        <w:szCs w:val="32"/>
      </w:rPr>
    </w:lvl>
  </w:abstractNum>
  <w:abstractNum w:abstractNumId="2">
    <w:nsid w:val="A9FA441E"/>
    <w:multiLevelType w:val="singleLevel"/>
    <w:tmpl w:val="A9FA441E"/>
    <w:lvl w:ilvl="0" w:tentative="0">
      <w:start w:val="1"/>
      <w:numFmt w:val="decimal"/>
      <w:pStyle w:val="7"/>
      <w:suff w:val="nothing"/>
      <w:lvlText w:val="（%1）"/>
      <w:lvlJc w:val="left"/>
      <w:pPr>
        <w:tabs>
          <w:tab w:val="left" w:pos="420"/>
        </w:tabs>
        <w:ind w:left="425" w:leftChars="0" w:hanging="425" w:firstLineChars="0"/>
      </w:pPr>
      <w:rPr>
        <w:rFonts w:hint="default"/>
      </w:rPr>
    </w:lvl>
  </w:abstractNum>
  <w:abstractNum w:abstractNumId="3">
    <w:nsid w:val="ECB2AC16"/>
    <w:multiLevelType w:val="singleLevel"/>
    <w:tmpl w:val="ECB2AC16"/>
    <w:lvl w:ilvl="0" w:tentative="0">
      <w:start w:val="1"/>
      <w:numFmt w:val="decimal"/>
      <w:pStyle w:val="6"/>
      <w:suff w:val="nothing"/>
      <w:lvlText w:val="%1．"/>
      <w:lvlJc w:val="left"/>
      <w:pPr>
        <w:ind w:left="0" w:firstLine="400"/>
      </w:pPr>
      <w:rPr>
        <w:rFonts w:hint="default"/>
      </w:rPr>
    </w:lvl>
  </w:abstractNum>
  <w:abstractNum w:abstractNumId="4">
    <w:nsid w:val="F9A944AE"/>
    <w:multiLevelType w:val="multilevel"/>
    <w:tmpl w:val="F9A944AE"/>
    <w:lvl w:ilvl="0" w:tentative="0">
      <w:start w:val="1"/>
      <w:numFmt w:val="chineseCounting"/>
      <w:pStyle w:val="22"/>
      <w:suff w:val="nothing"/>
      <w:lvlText w:val="（%1）"/>
      <w:lvlJc w:val="left"/>
      <w:pPr>
        <w:ind w:left="0" w:firstLine="40"/>
      </w:pPr>
      <w:rPr>
        <w:rFonts w:hint="eastAsia" w:eastAsia="楷体_GB2312"/>
        <w:sz w:val="32"/>
        <w:szCs w:val="32"/>
      </w:rPr>
    </w:lvl>
    <w:lvl w:ilvl="1" w:tentative="0">
      <w:start w:val="1"/>
      <w:numFmt w:val="decimal"/>
      <w:suff w:val="nothing"/>
      <w:lvlText w:val="%2．"/>
      <w:lvlJc w:val="left"/>
      <w:pPr>
        <w:ind w:left="0" w:firstLine="40"/>
      </w:pPr>
      <w:rPr>
        <w:rFonts w:hint="eastAsia" w:eastAsia="楷体_GB2312"/>
        <w:sz w:val="32"/>
        <w:szCs w:val="32"/>
      </w:rPr>
    </w:lvl>
    <w:lvl w:ilvl="2" w:tentative="0">
      <w:start w:val="1"/>
      <w:numFmt w:val="decimal"/>
      <w:suff w:val="nothing"/>
      <w:lvlText w:val="（%3）"/>
      <w:lvlJc w:val="left"/>
      <w:pPr>
        <w:ind w:left="0" w:firstLine="40"/>
      </w:pPr>
      <w:rPr>
        <w:rFonts w:hint="eastAsia" w:eastAsia="楷体_GB2312"/>
        <w:sz w:val="32"/>
        <w:szCs w:val="32"/>
      </w:rPr>
    </w:lvl>
    <w:lvl w:ilvl="3" w:tentative="0">
      <w:start w:val="1"/>
      <w:numFmt w:val="decimalEnclosedCircleChinese"/>
      <w:suff w:val="nothing"/>
      <w:lvlText w:val="%4"/>
      <w:lvlJc w:val="left"/>
      <w:pPr>
        <w:ind w:left="0" w:firstLine="40"/>
      </w:pPr>
      <w:rPr>
        <w:rFonts w:hint="eastAsia" w:eastAsia="楷体_GB2312"/>
        <w:sz w:val="32"/>
        <w:szCs w:val="32"/>
      </w:rPr>
    </w:lvl>
    <w:lvl w:ilvl="4" w:tentative="0">
      <w:start w:val="1"/>
      <w:numFmt w:val="decimal"/>
      <w:suff w:val="nothing"/>
      <w:lvlText w:val="%5）"/>
      <w:lvlJc w:val="left"/>
      <w:pPr>
        <w:ind w:left="0" w:firstLine="40"/>
      </w:pPr>
      <w:rPr>
        <w:rFonts w:hint="eastAsia" w:eastAsia="楷体_GB2312"/>
        <w:sz w:val="32"/>
        <w:szCs w:val="32"/>
      </w:rPr>
    </w:lvl>
    <w:lvl w:ilvl="5" w:tentative="0">
      <w:start w:val="1"/>
      <w:numFmt w:val="lowerLetter"/>
      <w:suff w:val="nothing"/>
      <w:lvlText w:val="%6．"/>
      <w:lvlJc w:val="left"/>
      <w:pPr>
        <w:ind w:left="0" w:firstLine="40"/>
      </w:pPr>
      <w:rPr>
        <w:rFonts w:hint="eastAsia" w:eastAsia="楷体_GB2312"/>
        <w:sz w:val="32"/>
        <w:szCs w:val="32"/>
      </w:rPr>
    </w:lvl>
    <w:lvl w:ilvl="6" w:tentative="0">
      <w:start w:val="1"/>
      <w:numFmt w:val="lowerLetter"/>
      <w:suff w:val="nothing"/>
      <w:lvlText w:val="%7）"/>
      <w:lvlJc w:val="left"/>
      <w:pPr>
        <w:ind w:left="0" w:firstLine="40"/>
      </w:pPr>
      <w:rPr>
        <w:rFonts w:hint="eastAsia" w:eastAsia="楷体_GB2312"/>
        <w:sz w:val="32"/>
        <w:szCs w:val="32"/>
      </w:rPr>
    </w:lvl>
    <w:lvl w:ilvl="7" w:tentative="0">
      <w:start w:val="1"/>
      <w:numFmt w:val="lowerRoman"/>
      <w:suff w:val="nothing"/>
      <w:lvlText w:val="%8．"/>
      <w:lvlJc w:val="left"/>
      <w:pPr>
        <w:ind w:left="0" w:firstLine="40"/>
      </w:pPr>
      <w:rPr>
        <w:rFonts w:hint="eastAsia" w:eastAsia="楷体_GB2312"/>
        <w:sz w:val="32"/>
        <w:szCs w:val="32"/>
      </w:rPr>
    </w:lvl>
    <w:lvl w:ilvl="8" w:tentative="0">
      <w:start w:val="1"/>
      <w:numFmt w:val="lowerRoman"/>
      <w:suff w:val="nothing"/>
      <w:lvlText w:val="%9）"/>
      <w:lvlJc w:val="left"/>
      <w:pPr>
        <w:ind w:left="0" w:firstLine="40"/>
      </w:pPr>
      <w:rPr>
        <w:rFonts w:hint="eastAsia" w:eastAsia="楷体_GB2312"/>
        <w:sz w:val="32"/>
        <w:szCs w:val="32"/>
      </w:rPr>
    </w:lvl>
  </w:abstractNum>
  <w:abstractNum w:abstractNumId="5">
    <w:nsid w:val="026BBA49"/>
    <w:multiLevelType w:val="singleLevel"/>
    <w:tmpl w:val="026BBA49"/>
    <w:lvl w:ilvl="0" w:tentative="0">
      <w:start w:val="1"/>
      <w:numFmt w:val="decimal"/>
      <w:pStyle w:val="27"/>
      <w:suff w:val="nothing"/>
      <w:lvlText w:val="%1．"/>
      <w:lvlJc w:val="left"/>
      <w:pPr>
        <w:ind w:left="0" w:firstLine="397"/>
      </w:pPr>
      <w:rPr>
        <w:rFonts w:hint="default" w:eastAsia="仿宋_GB2312"/>
        <w:sz w:val="32"/>
        <w:szCs w:val="32"/>
      </w:rPr>
    </w:lvl>
  </w:abstractNum>
  <w:abstractNum w:abstractNumId="6">
    <w:nsid w:val="59EFB11E"/>
    <w:multiLevelType w:val="singleLevel"/>
    <w:tmpl w:val="59EFB11E"/>
    <w:lvl w:ilvl="0" w:tentative="0">
      <w:start w:val="1"/>
      <w:numFmt w:val="chineseCounting"/>
      <w:suff w:val="nothing"/>
      <w:lvlText w:val="第%1条　"/>
      <w:lvlJc w:val="left"/>
      <w:rPr>
        <w:rFonts w:hint="eastAsia"/>
      </w:rPr>
    </w:lvl>
  </w:abstractNum>
  <w:abstractNum w:abstractNumId="7">
    <w:nsid w:val="70A7D59E"/>
    <w:multiLevelType w:val="singleLevel"/>
    <w:tmpl w:val="70A7D59E"/>
    <w:lvl w:ilvl="0" w:tentative="0">
      <w:start w:val="1"/>
      <w:numFmt w:val="chineseCounting"/>
      <w:pStyle w:val="3"/>
      <w:suff w:val="nothing"/>
      <w:lvlText w:val="%1、"/>
      <w:lvlJc w:val="left"/>
      <w:pPr>
        <w:ind w:left="0" w:firstLine="397"/>
      </w:pPr>
      <w:rPr>
        <w:rFonts w:hint="eastAsia" w:eastAsia="黑体"/>
        <w:sz w:val="32"/>
        <w:szCs w:val="32"/>
      </w:rPr>
    </w:lvl>
  </w:abstractNum>
  <w:num w:numId="1">
    <w:abstractNumId w:val="7"/>
  </w:num>
  <w:num w:numId="2">
    <w:abstractNumId w:val="0"/>
  </w:num>
  <w:num w:numId="3">
    <w:abstractNumId w:val="3"/>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6B5F"/>
    <w:rsid w:val="01211AD4"/>
    <w:rsid w:val="016123A1"/>
    <w:rsid w:val="019A1F05"/>
    <w:rsid w:val="01A85D51"/>
    <w:rsid w:val="03CD3B3A"/>
    <w:rsid w:val="04846602"/>
    <w:rsid w:val="05A3035A"/>
    <w:rsid w:val="069E5968"/>
    <w:rsid w:val="075C0A0C"/>
    <w:rsid w:val="0825788B"/>
    <w:rsid w:val="0B0324FB"/>
    <w:rsid w:val="0BFA670A"/>
    <w:rsid w:val="0C632119"/>
    <w:rsid w:val="0CF24092"/>
    <w:rsid w:val="0D7B4B10"/>
    <w:rsid w:val="0F6C7CDA"/>
    <w:rsid w:val="0FB568C1"/>
    <w:rsid w:val="10593966"/>
    <w:rsid w:val="125F245C"/>
    <w:rsid w:val="129B1196"/>
    <w:rsid w:val="13E575E6"/>
    <w:rsid w:val="160E0024"/>
    <w:rsid w:val="179A0AE1"/>
    <w:rsid w:val="195971B4"/>
    <w:rsid w:val="1A936E0D"/>
    <w:rsid w:val="1DA33EC6"/>
    <w:rsid w:val="1E645700"/>
    <w:rsid w:val="1E9754E8"/>
    <w:rsid w:val="1F1B1853"/>
    <w:rsid w:val="1F364065"/>
    <w:rsid w:val="219F6B29"/>
    <w:rsid w:val="22E22A19"/>
    <w:rsid w:val="23027246"/>
    <w:rsid w:val="23C10643"/>
    <w:rsid w:val="24FF2735"/>
    <w:rsid w:val="26C51B71"/>
    <w:rsid w:val="27091570"/>
    <w:rsid w:val="299F6FE4"/>
    <w:rsid w:val="2B0F45C8"/>
    <w:rsid w:val="2C5740E1"/>
    <w:rsid w:val="2CF14596"/>
    <w:rsid w:val="2DE25FC3"/>
    <w:rsid w:val="2FB47286"/>
    <w:rsid w:val="318748DC"/>
    <w:rsid w:val="33FB6F75"/>
    <w:rsid w:val="34D449C8"/>
    <w:rsid w:val="35F63A0A"/>
    <w:rsid w:val="36035EE7"/>
    <w:rsid w:val="36FD3E6E"/>
    <w:rsid w:val="3DD536D9"/>
    <w:rsid w:val="3E033179"/>
    <w:rsid w:val="3E9F3CED"/>
    <w:rsid w:val="408E76D5"/>
    <w:rsid w:val="41176429"/>
    <w:rsid w:val="41517D2D"/>
    <w:rsid w:val="427D40B5"/>
    <w:rsid w:val="44D66CFF"/>
    <w:rsid w:val="46C9141B"/>
    <w:rsid w:val="475E78D5"/>
    <w:rsid w:val="485F3913"/>
    <w:rsid w:val="48EB14B3"/>
    <w:rsid w:val="4AB8386A"/>
    <w:rsid w:val="4B0E61F2"/>
    <w:rsid w:val="4DA527BF"/>
    <w:rsid w:val="4FAE60B5"/>
    <w:rsid w:val="502E65FE"/>
    <w:rsid w:val="50D4618A"/>
    <w:rsid w:val="50F074C2"/>
    <w:rsid w:val="50FC27B1"/>
    <w:rsid w:val="51937BE2"/>
    <w:rsid w:val="527B7C34"/>
    <w:rsid w:val="53AB5C87"/>
    <w:rsid w:val="541E07D3"/>
    <w:rsid w:val="54281936"/>
    <w:rsid w:val="54D7350E"/>
    <w:rsid w:val="558812A7"/>
    <w:rsid w:val="56DF4B2D"/>
    <w:rsid w:val="56E66C7F"/>
    <w:rsid w:val="57BA138B"/>
    <w:rsid w:val="595E1265"/>
    <w:rsid w:val="5B13181E"/>
    <w:rsid w:val="5CE35581"/>
    <w:rsid w:val="5E0C59D5"/>
    <w:rsid w:val="5F4F6756"/>
    <w:rsid w:val="5FBF7663"/>
    <w:rsid w:val="61D261ED"/>
    <w:rsid w:val="61DC06BF"/>
    <w:rsid w:val="627F1E8D"/>
    <w:rsid w:val="62923095"/>
    <w:rsid w:val="65E67A7B"/>
    <w:rsid w:val="66263EDC"/>
    <w:rsid w:val="662863AF"/>
    <w:rsid w:val="6951757E"/>
    <w:rsid w:val="69DFB85A"/>
    <w:rsid w:val="6E216993"/>
    <w:rsid w:val="6E7A30D3"/>
    <w:rsid w:val="6F486B64"/>
    <w:rsid w:val="70286C3E"/>
    <w:rsid w:val="70F64AE0"/>
    <w:rsid w:val="72B158F0"/>
    <w:rsid w:val="7429230C"/>
    <w:rsid w:val="74511518"/>
    <w:rsid w:val="74CE23CA"/>
    <w:rsid w:val="75806C80"/>
    <w:rsid w:val="7683240D"/>
    <w:rsid w:val="776D40C1"/>
    <w:rsid w:val="77FBA6BA"/>
    <w:rsid w:val="788A03C1"/>
    <w:rsid w:val="78B10710"/>
    <w:rsid w:val="79166DBE"/>
    <w:rsid w:val="795A5FDB"/>
    <w:rsid w:val="79BC4EE7"/>
    <w:rsid w:val="79E319F9"/>
    <w:rsid w:val="7AFA1DA5"/>
    <w:rsid w:val="7B9B0E98"/>
    <w:rsid w:val="7D5B1393"/>
    <w:rsid w:val="7D647DF4"/>
    <w:rsid w:val="7D9FDED1"/>
    <w:rsid w:val="7EDF7155"/>
    <w:rsid w:val="7F7B8E09"/>
    <w:rsid w:val="B3A569FF"/>
    <w:rsid w:val="B3F6D93B"/>
    <w:rsid w:val="B4FB993C"/>
    <w:rsid w:val="D4FEC7FE"/>
    <w:rsid w:val="DD78E209"/>
    <w:rsid w:val="EB7FAB1D"/>
    <w:rsid w:val="EC1E477E"/>
    <w:rsid w:val="F7EFB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40" w:firstLineChars="200"/>
      <w:jc w:val="both"/>
    </w:pPr>
    <w:rPr>
      <w:rFonts w:ascii="Times New Roman" w:hAnsi="Times New Roman" w:eastAsia="仿宋_GB2312" w:cs="Times New Roman"/>
      <w:color w:val="auto"/>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4"/>
    <w:next w:val="1"/>
    <w:semiHidden/>
    <w:unhideWhenUsed/>
    <w:qFormat/>
    <w:uiPriority w:val="0"/>
    <w:pPr>
      <w:numPr>
        <w:numId w:val="1"/>
      </w:numPr>
      <w:outlineLvl w:val="1"/>
    </w:pPr>
  </w:style>
  <w:style w:type="paragraph" w:styleId="5">
    <w:name w:val="heading 3"/>
    <w:basedOn w:val="1"/>
    <w:next w:val="1"/>
    <w:link w:val="32"/>
    <w:semiHidden/>
    <w:unhideWhenUsed/>
    <w:qFormat/>
    <w:uiPriority w:val="0"/>
    <w:pPr>
      <w:numPr>
        <w:ilvl w:val="0"/>
        <w:numId w:val="2"/>
      </w:numPr>
      <w:ind w:firstLine="420" w:firstLineChars="0"/>
      <w:outlineLvl w:val="2"/>
    </w:pPr>
    <w:rPr>
      <w:rFonts w:ascii="楷体_GB2312" w:hAnsi="楷体_GB2312" w:eastAsia="楷体_GB2312" w:cs="楷体_GB2312"/>
    </w:rPr>
  </w:style>
  <w:style w:type="paragraph" w:styleId="6">
    <w:name w:val="heading 4"/>
    <w:basedOn w:val="1"/>
    <w:next w:val="1"/>
    <w:semiHidden/>
    <w:unhideWhenUsed/>
    <w:qFormat/>
    <w:uiPriority w:val="0"/>
    <w:pPr>
      <w:numPr>
        <w:ilvl w:val="0"/>
        <w:numId w:val="3"/>
      </w:numPr>
      <w:outlineLvl w:val="3"/>
    </w:pPr>
    <w:rPr>
      <w:rFonts w:ascii="Times New Roman" w:hAnsi="Times New Roman" w:cs="Times New Roman"/>
    </w:rPr>
  </w:style>
  <w:style w:type="paragraph" w:styleId="7">
    <w:name w:val="heading 5"/>
    <w:basedOn w:val="6"/>
    <w:next w:val="1"/>
    <w:semiHidden/>
    <w:unhideWhenUsed/>
    <w:qFormat/>
    <w:uiPriority w:val="0"/>
    <w:pPr>
      <w:numPr>
        <w:numId w:val="4"/>
      </w:numPr>
      <w:tabs>
        <w:tab w:val="left" w:pos="420"/>
      </w:tabs>
      <w:ind w:left="0" w:firstLine="880" w:firstLineChars="200"/>
      <w:outlineLvl w:val="4"/>
    </w:pPr>
    <w:rPr>
      <w:rFonts w:ascii="Times New Roman" w:hAnsi="Times New Roma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4">
    <w:name w:val="材料一级标题"/>
    <w:basedOn w:val="1"/>
    <w:link w:val="28"/>
    <w:qFormat/>
    <w:uiPriority w:val="0"/>
    <w:pPr>
      <w:numPr>
        <w:ilvl w:val="0"/>
        <w:numId w:val="5"/>
      </w:numPr>
      <w:spacing w:line="560" w:lineRule="exact"/>
      <w:ind w:firstLine="880" w:firstLineChars="200"/>
    </w:pPr>
    <w:rPr>
      <w:rFonts w:hint="eastAsia" w:ascii="黑体" w:hAnsi="黑体" w:eastAsia="黑体" w:cs="黑体"/>
      <w:sz w:val="32"/>
      <w:szCs w:val="32"/>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rPr>
  </w:style>
  <w:style w:type="paragraph" w:customStyle="1" w:styleId="17">
    <w:name w:val="材料标题"/>
    <w:basedOn w:val="1"/>
    <w:link w:val="18"/>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character" w:customStyle="1" w:styleId="18">
    <w:name w:val="材料标题 Char"/>
    <w:link w:val="17"/>
    <w:qFormat/>
    <w:uiPriority w:val="0"/>
    <w:rPr>
      <w:rFonts w:hint="eastAsia" w:ascii="方正小标宋简体" w:hAnsi="方正小标宋简体" w:eastAsia="方正小标宋简体" w:cs="方正小标宋简体"/>
      <w:sz w:val="44"/>
      <w:szCs w:val="44"/>
    </w:rPr>
  </w:style>
  <w:style w:type="paragraph" w:customStyle="1" w:styleId="19">
    <w:name w:val="材料标注"/>
    <w:basedOn w:val="1"/>
    <w:link w:val="20"/>
    <w:qFormat/>
    <w:uiPriority w:val="0"/>
    <w:pPr>
      <w:spacing w:line="660" w:lineRule="exact"/>
      <w:ind w:firstLine="0" w:firstLineChars="0"/>
      <w:jc w:val="left"/>
    </w:pPr>
    <w:rPr>
      <w:rFonts w:hint="eastAsia" w:ascii="Times New Roman" w:hAnsi="Times New Roman" w:eastAsia="楷体_GB2312" w:cs="楷体_GB2312"/>
    </w:rPr>
  </w:style>
  <w:style w:type="character" w:customStyle="1" w:styleId="20">
    <w:name w:val="材料标注 Char"/>
    <w:link w:val="19"/>
    <w:qFormat/>
    <w:uiPriority w:val="0"/>
    <w:rPr>
      <w:rFonts w:hint="eastAsia" w:ascii="Times New Roman" w:hAnsi="Times New Roman" w:eastAsia="楷体_GB2312" w:cs="楷体_GB2312"/>
      <w:sz w:val="32"/>
      <w:szCs w:val="32"/>
    </w:rPr>
  </w:style>
  <w:style w:type="paragraph" w:customStyle="1" w:styleId="21">
    <w:name w:val="材料单位名称"/>
    <w:basedOn w:val="1"/>
    <w:qFormat/>
    <w:uiPriority w:val="0"/>
    <w:pPr>
      <w:spacing w:line="560" w:lineRule="exact"/>
      <w:jc w:val="center"/>
    </w:pPr>
    <w:rPr>
      <w:rFonts w:ascii="Times New Roman" w:hAnsi="Times New Roman" w:eastAsia="楷体_GB2312" w:cs="Times New Roman"/>
      <w:sz w:val="32"/>
      <w:szCs w:val="32"/>
    </w:rPr>
  </w:style>
  <w:style w:type="paragraph" w:customStyle="1" w:styleId="22">
    <w:name w:val="材料二级标题"/>
    <w:basedOn w:val="1"/>
    <w:link w:val="23"/>
    <w:qFormat/>
    <w:uiPriority w:val="0"/>
    <w:pPr>
      <w:numPr>
        <w:ilvl w:val="0"/>
        <w:numId w:val="6"/>
      </w:numPr>
      <w:spacing w:line="560" w:lineRule="exact"/>
      <w:ind w:firstLine="640" w:firstLineChars="200"/>
    </w:pPr>
    <w:rPr>
      <w:rFonts w:ascii="Times New Roman" w:hAnsi="Times New Roman" w:eastAsia="楷体_GB2312"/>
    </w:rPr>
  </w:style>
  <w:style w:type="character" w:customStyle="1" w:styleId="23">
    <w:name w:val="材料二级标题 Char"/>
    <w:link w:val="22"/>
    <w:qFormat/>
    <w:uiPriority w:val="0"/>
    <w:rPr>
      <w:rFonts w:ascii="Times New Roman" w:hAnsi="Times New Roman" w:eastAsia="楷体_GB2312" w:cs="Times New Roman"/>
      <w:color w:val="auto"/>
      <w:sz w:val="32"/>
      <w:szCs w:val="32"/>
    </w:rPr>
  </w:style>
  <w:style w:type="paragraph" w:customStyle="1" w:styleId="24">
    <w:name w:val="材料落款"/>
    <w:basedOn w:val="25"/>
    <w:link w:val="26"/>
    <w:qFormat/>
    <w:uiPriority w:val="0"/>
    <w:pPr>
      <w:ind w:right="1260" w:rightChars="600" w:firstLine="0" w:firstLineChars="0"/>
      <w:jc w:val="right"/>
    </w:pPr>
    <w:rPr>
      <w:rFonts w:ascii="Times New Roman" w:hAnsi="Times New Roman"/>
    </w:rPr>
  </w:style>
  <w:style w:type="paragraph" w:customStyle="1" w:styleId="25">
    <w:name w:val="材料正文"/>
    <w:basedOn w:val="1"/>
    <w:link w:val="29"/>
    <w:qFormat/>
    <w:uiPriority w:val="0"/>
    <w:pPr>
      <w:spacing w:line="600" w:lineRule="exact"/>
      <w:ind w:firstLine="640" w:firstLineChars="200"/>
      <w:jc w:val="both"/>
    </w:pPr>
    <w:rPr>
      <w:rFonts w:ascii="Times New Roman" w:hAnsi="Times New Roman"/>
      <w:snapToGrid w:val="0"/>
      <w:color w:val="000000"/>
      <w:kern w:val="0"/>
      <w:lang w:eastAsia="en-US"/>
    </w:rPr>
  </w:style>
  <w:style w:type="character" w:customStyle="1" w:styleId="26">
    <w:name w:val="材料落款 Char"/>
    <w:link w:val="24"/>
    <w:qFormat/>
    <w:uiPriority w:val="0"/>
    <w:rPr>
      <w:rFonts w:ascii="Times New Roman" w:hAnsi="Times New Roman" w:eastAsia="仿宋_GB2312" w:cs="Times New Roman"/>
      <w:snapToGrid w:val="0"/>
      <w:color w:val="000000"/>
      <w:kern w:val="0"/>
      <w:sz w:val="32"/>
      <w:szCs w:val="32"/>
      <w:lang w:eastAsia="en-US"/>
    </w:rPr>
  </w:style>
  <w:style w:type="paragraph" w:customStyle="1" w:styleId="27">
    <w:name w:val="材料三级标题"/>
    <w:basedOn w:val="1"/>
    <w:link w:val="33"/>
    <w:qFormat/>
    <w:uiPriority w:val="0"/>
    <w:pPr>
      <w:numPr>
        <w:ilvl w:val="0"/>
        <w:numId w:val="7"/>
      </w:numPr>
      <w:spacing w:line="560" w:lineRule="exact"/>
      <w:ind w:firstLine="640" w:firstLineChars="200"/>
      <w:jc w:val="both"/>
    </w:pPr>
    <w:rPr>
      <w:rFonts w:ascii="Times New Roman" w:hAnsi="Times New Roman"/>
    </w:rPr>
  </w:style>
  <w:style w:type="character" w:customStyle="1" w:styleId="28">
    <w:name w:val="材料一级标题 Char"/>
    <w:link w:val="4"/>
    <w:qFormat/>
    <w:uiPriority w:val="0"/>
    <w:rPr>
      <w:rFonts w:ascii="黑体" w:hAnsi="黑体" w:eastAsia="黑体" w:cs="黑体"/>
      <w:kern w:val="2"/>
      <w:sz w:val="32"/>
      <w:szCs w:val="32"/>
    </w:rPr>
  </w:style>
  <w:style w:type="character" w:customStyle="1" w:styleId="29">
    <w:name w:val="材料正文 Char"/>
    <w:link w:val="25"/>
    <w:qFormat/>
    <w:uiPriority w:val="0"/>
    <w:rPr>
      <w:rFonts w:ascii="Times New Roman" w:hAnsi="Times New Roman" w:eastAsia="仿宋_GB2312" w:cs="Times New Roman"/>
      <w:snapToGrid w:val="0"/>
      <w:color w:val="000000"/>
      <w:kern w:val="0"/>
      <w:sz w:val="32"/>
      <w:szCs w:val="32"/>
      <w:lang w:eastAsia="en-US"/>
    </w:rPr>
  </w:style>
  <w:style w:type="paragraph" w:customStyle="1" w:styleId="30">
    <w:name w:val="材料页码"/>
    <w:basedOn w:val="1"/>
    <w:qFormat/>
    <w:uiPriority w:val="0"/>
    <w:pPr>
      <w:tabs>
        <w:tab w:val="center" w:pos="4153"/>
        <w:tab w:val="right" w:pos="8306"/>
      </w:tabs>
      <w:snapToGrid w:val="0"/>
      <w:jc w:val="left"/>
    </w:pPr>
    <w:rPr>
      <w:rFonts w:hint="eastAsia" w:ascii="宋体" w:hAnsi="宋体" w:eastAsia="宋体" w:cs="宋体"/>
      <w:sz w:val="28"/>
      <w:szCs w:val="28"/>
    </w:rPr>
  </w:style>
  <w:style w:type="paragraph" w:customStyle="1" w:styleId="31">
    <w:name w:val="样式1"/>
    <w:basedOn w:val="25"/>
    <w:qFormat/>
    <w:uiPriority w:val="0"/>
    <w:pPr>
      <w:bidi/>
      <w:ind w:left="1260" w:leftChars="600" w:firstLine="0" w:firstLineChars="0"/>
    </w:pPr>
    <w:rPr>
      <w:rFonts w:ascii="Times New Roman" w:hAnsi="Times New Roman"/>
    </w:rPr>
  </w:style>
  <w:style w:type="character" w:customStyle="1" w:styleId="32">
    <w:name w:val="标题 3 Char"/>
    <w:link w:val="5"/>
    <w:qFormat/>
    <w:uiPriority w:val="0"/>
    <w:rPr>
      <w:rFonts w:ascii="楷体_GB2312" w:hAnsi="楷体_GB2312" w:eastAsia="楷体_GB2312" w:cs="楷体_GB2312"/>
      <w:color w:val="auto"/>
      <w:kern w:val="2"/>
      <w:sz w:val="32"/>
      <w:szCs w:val="32"/>
      <w:lang w:val="en-US" w:eastAsia="zh-CN" w:bidi="ar-SA"/>
    </w:rPr>
  </w:style>
  <w:style w:type="character" w:customStyle="1" w:styleId="33">
    <w:name w:val="材料三级标题 Char"/>
    <w:link w:val="27"/>
    <w:qFormat/>
    <w:uiPriority w:val="0"/>
    <w:rPr>
      <w:rFonts w:ascii="Times New Roman" w:hAnsi="Times New Roman" w:eastAsia="仿宋_GB2312" w:cs="Times New Roman"/>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979d3284-f247-4e05-8e87-b32fa550b74c</errorID>
      <errorWord>，</errorWord>
      <group>L1_Word</group>
      <groupName>字词问题</groupName>
      <ability>L2_Typo</ability>
      <abilityName>字词错误</abilityName>
      <candidateList>
        <item>，由</item>
      </candidateList>
      <explain/>
      <paraID> 16B3FE6</paraID>
      <start>72</start>
      <end>73</end>
      <status>ignored</status>
      <modifiedWord/>
      <trackRevisions>false</trackRevisions>
    </reviewItem>
    <reviewItem>
      <errorID>ce7db7cb-8a56-46a6-94f4-2bec83282a89</errorID>
      <errorWord>属</errorWord>
      <group>L1_Word</group>
      <groupName>字词问题</groupName>
      <ability>L2_Typo</ability>
      <abilityName>字词错误</abilityName>
      <candidateList>
        <item>属于</item>
      </candidateList>
      <explain/>
      <paraID>4A5800B5</paraID>
      <start>53</start>
      <end>54</end>
      <status>ignored</status>
      <modifiedWord/>
      <trackRevisions>false</trackRevisions>
    </reviewItem>
  </reviewItems>
  <config/>
</contractReview>
</file>

<file path=customXml/itemProps1.xml><?xml version="1.0" encoding="utf-8"?>
<ds:datastoreItem xmlns:ds="http://schemas.openxmlformats.org/officeDocument/2006/customXml" ds:itemID="{b372bc36-45ca-459b-a511-44ed4c0e6c74}">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3108</Words>
  <Characters>3124</Characters>
  <Lines>0</Lines>
  <Paragraphs>0</Paragraphs>
  <TotalTime>10</TotalTime>
  <ScaleCrop>false</ScaleCrop>
  <LinksUpToDate>false</LinksUpToDate>
  <CharactersWithSpaces>3148</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漫</cp:lastModifiedBy>
  <cp:lastPrinted>2026-06-05T07:50:04Z</cp:lastPrinted>
  <dcterms:modified xsi:type="dcterms:W3CDTF">2026-06-05T08:17:45Z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5C2D23F5CB8A442882831E378A81C2A7_13</vt:lpwstr>
  </property>
  <property fmtid="{D5CDD505-2E9C-101B-9397-08002B2CF9AE}" pid="4" name="KSOTemplateDocerSaveRecord">
    <vt:lpwstr>eyJoZGlkIjoiYWI3YWRkMDAwMTAyNGQxZWU5YzVjMTI2NjE1ZWE4YmEiLCJ1c2VySWQiOiI0NTI4Nzk0ODYifQ==</vt:lpwstr>
  </property>
</Properties>
</file>