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BF1DE" w:themeColor="accent3" w:themeTint="33"/>
  <w:body>
    <w:p w14:paraId="58B47366">
      <w:pPr>
        <w:jc w:val="center"/>
        <w:rPr>
          <w:rFonts w:ascii="宋体" w:hAnsi="宋体"/>
          <w:b/>
          <w:bCs/>
          <w:sz w:val="44"/>
          <w:szCs w:val="44"/>
        </w:rPr>
      </w:pPr>
      <w:r>
        <w:rPr>
          <w:rFonts w:ascii="宋体" w:hAnsi="宋体"/>
          <w:b/>
          <w:bCs/>
          <w:sz w:val="44"/>
          <w:szCs w:val="44"/>
        </w:rPr>
        <w:t>目</w:t>
      </w:r>
      <w:r>
        <w:rPr>
          <w:rFonts w:hint="eastAsia" w:ascii="宋体" w:hAnsi="宋体"/>
          <w:b/>
          <w:bCs/>
          <w:sz w:val="44"/>
          <w:szCs w:val="44"/>
        </w:rPr>
        <w:t xml:space="preserve">  </w:t>
      </w:r>
      <w:r>
        <w:rPr>
          <w:rFonts w:ascii="宋体" w:hAnsi="宋体"/>
          <w:b/>
          <w:bCs/>
          <w:sz w:val="44"/>
          <w:szCs w:val="44"/>
        </w:rPr>
        <w:t>录</w:t>
      </w:r>
    </w:p>
    <w:p w14:paraId="41A55BF5">
      <w:pPr>
        <w:pStyle w:val="33"/>
        <w:tabs>
          <w:tab w:val="right" w:leader="dot" w:pos="8834"/>
        </w:tabs>
        <w:rPr>
          <w:rFonts w:ascii="等线" w:hAnsi="等线" w:eastAsia="等线" w:cstheme="minorBidi"/>
          <w:b w:val="0"/>
          <w:bCs w:val="0"/>
          <w:caps w:val="0"/>
          <w:sz w:val="28"/>
          <w:szCs w:val="28"/>
        </w:rPr>
      </w:pPr>
      <w:r>
        <w:rPr>
          <w:rFonts w:ascii="等线" w:hAnsi="等线" w:eastAsia="等线"/>
          <w:b w:val="0"/>
          <w:kern w:val="0"/>
          <w:sz w:val="28"/>
        </w:rPr>
        <w:fldChar w:fldCharType="begin"/>
      </w:r>
      <w:r>
        <w:rPr>
          <w:rFonts w:ascii="等线" w:hAnsi="等线" w:eastAsia="等线"/>
          <w:b w:val="0"/>
          <w:kern w:val="0"/>
          <w:sz w:val="28"/>
        </w:rPr>
        <w:instrText xml:space="preserve"> TOC \o "1-1" \h \z \u </w:instrText>
      </w:r>
      <w:r>
        <w:rPr>
          <w:rFonts w:ascii="等线" w:hAnsi="等线" w:eastAsia="等线"/>
          <w:b w:val="0"/>
          <w:kern w:val="0"/>
          <w:sz w:val="28"/>
        </w:rPr>
        <w:fldChar w:fldCharType="separate"/>
      </w:r>
      <w:r>
        <w:fldChar w:fldCharType="begin"/>
      </w:r>
      <w:r>
        <w:instrText xml:space="preserve"> HYPERLINK \l "_Toc197848417" </w:instrText>
      </w:r>
      <w:r>
        <w:fldChar w:fldCharType="separate"/>
      </w:r>
      <w:r>
        <w:rPr>
          <w:rStyle w:val="54"/>
          <w:rFonts w:hint="eastAsia" w:ascii="等线" w:hAnsi="等线" w:eastAsia="等线"/>
          <w:snapToGrid w:val="0"/>
          <w:sz w:val="28"/>
          <w:szCs w:val="28"/>
        </w:rPr>
        <w:t>一、建设项目基本情况</w:t>
      </w:r>
      <w:r>
        <w:rPr>
          <w:rFonts w:ascii="等线" w:hAnsi="等线" w:eastAsia="等线"/>
          <w:sz w:val="28"/>
          <w:szCs w:val="28"/>
        </w:rPr>
        <w:tab/>
      </w:r>
      <w:r>
        <w:rPr>
          <w:rFonts w:ascii="等线" w:hAnsi="等线" w:eastAsia="等线"/>
          <w:sz w:val="28"/>
          <w:szCs w:val="28"/>
        </w:rPr>
        <w:fldChar w:fldCharType="begin"/>
      </w:r>
      <w:r>
        <w:rPr>
          <w:rFonts w:ascii="等线" w:hAnsi="等线" w:eastAsia="等线"/>
          <w:sz w:val="28"/>
          <w:szCs w:val="28"/>
        </w:rPr>
        <w:instrText xml:space="preserve"> PAGEREF _Toc197848417 \h </w:instrText>
      </w:r>
      <w:r>
        <w:rPr>
          <w:rFonts w:ascii="等线" w:hAnsi="等线" w:eastAsia="等线"/>
          <w:sz w:val="28"/>
          <w:szCs w:val="28"/>
        </w:rPr>
        <w:fldChar w:fldCharType="separate"/>
      </w:r>
      <w:r>
        <w:rPr>
          <w:rFonts w:ascii="等线" w:hAnsi="等线" w:eastAsia="等线"/>
          <w:sz w:val="28"/>
          <w:szCs w:val="28"/>
        </w:rPr>
        <w:t>1</w:t>
      </w:r>
      <w:r>
        <w:rPr>
          <w:rFonts w:ascii="等线" w:hAnsi="等线" w:eastAsia="等线"/>
          <w:sz w:val="28"/>
          <w:szCs w:val="28"/>
        </w:rPr>
        <w:fldChar w:fldCharType="end"/>
      </w:r>
      <w:r>
        <w:rPr>
          <w:rFonts w:ascii="等线" w:hAnsi="等线" w:eastAsia="等线"/>
          <w:sz w:val="28"/>
          <w:szCs w:val="28"/>
        </w:rPr>
        <w:fldChar w:fldCharType="end"/>
      </w:r>
    </w:p>
    <w:p w14:paraId="6890BAE9">
      <w:pPr>
        <w:pStyle w:val="33"/>
        <w:tabs>
          <w:tab w:val="right" w:leader="dot" w:pos="8834"/>
        </w:tabs>
        <w:rPr>
          <w:rFonts w:ascii="等线" w:hAnsi="等线" w:eastAsia="等线" w:cstheme="minorBidi"/>
          <w:b w:val="0"/>
          <w:bCs w:val="0"/>
          <w:caps w:val="0"/>
          <w:sz w:val="28"/>
          <w:szCs w:val="28"/>
        </w:rPr>
      </w:pPr>
      <w:r>
        <w:fldChar w:fldCharType="begin"/>
      </w:r>
      <w:r>
        <w:instrText xml:space="preserve"> HYPERLINK \l "_Toc197848423" </w:instrText>
      </w:r>
      <w:r>
        <w:fldChar w:fldCharType="separate"/>
      </w:r>
      <w:r>
        <w:rPr>
          <w:rStyle w:val="54"/>
          <w:rFonts w:hint="eastAsia" w:ascii="等线" w:hAnsi="等线" w:eastAsia="等线"/>
          <w:snapToGrid w:val="0"/>
          <w:sz w:val="28"/>
          <w:szCs w:val="28"/>
        </w:rPr>
        <w:t>二、建设项目工程分析</w:t>
      </w:r>
      <w:r>
        <w:rPr>
          <w:rFonts w:ascii="等线" w:hAnsi="等线" w:eastAsia="等线"/>
          <w:sz w:val="28"/>
          <w:szCs w:val="28"/>
        </w:rPr>
        <w:tab/>
      </w:r>
      <w:r>
        <w:rPr>
          <w:rFonts w:ascii="等线" w:hAnsi="等线" w:eastAsia="等线"/>
          <w:sz w:val="28"/>
          <w:szCs w:val="28"/>
        </w:rPr>
        <w:fldChar w:fldCharType="begin"/>
      </w:r>
      <w:r>
        <w:rPr>
          <w:rFonts w:ascii="等线" w:hAnsi="等线" w:eastAsia="等线"/>
          <w:sz w:val="28"/>
          <w:szCs w:val="28"/>
        </w:rPr>
        <w:instrText xml:space="preserve"> PAGEREF _Toc197848423 \h </w:instrText>
      </w:r>
      <w:r>
        <w:rPr>
          <w:rFonts w:ascii="等线" w:hAnsi="等线" w:eastAsia="等线"/>
          <w:sz w:val="28"/>
          <w:szCs w:val="28"/>
        </w:rPr>
        <w:fldChar w:fldCharType="separate"/>
      </w:r>
      <w:r>
        <w:rPr>
          <w:rFonts w:ascii="等线" w:hAnsi="等线" w:eastAsia="等线"/>
          <w:sz w:val="28"/>
          <w:szCs w:val="28"/>
        </w:rPr>
        <w:t>1</w:t>
      </w:r>
      <w:r>
        <w:rPr>
          <w:rFonts w:hint="eastAsia" w:ascii="等线" w:hAnsi="等线" w:eastAsia="等线"/>
          <w:sz w:val="28"/>
          <w:szCs w:val="28"/>
          <w:lang w:val="en-US" w:eastAsia="zh-CN"/>
        </w:rPr>
        <w:t>9</w:t>
      </w:r>
      <w:r>
        <w:rPr>
          <w:rFonts w:ascii="等线" w:hAnsi="等线" w:eastAsia="等线"/>
          <w:sz w:val="28"/>
          <w:szCs w:val="28"/>
        </w:rPr>
        <w:fldChar w:fldCharType="end"/>
      </w:r>
      <w:r>
        <w:rPr>
          <w:rFonts w:ascii="等线" w:hAnsi="等线" w:eastAsia="等线"/>
          <w:sz w:val="28"/>
          <w:szCs w:val="28"/>
        </w:rPr>
        <w:fldChar w:fldCharType="end"/>
      </w:r>
    </w:p>
    <w:p w14:paraId="54765046">
      <w:pPr>
        <w:pStyle w:val="33"/>
        <w:tabs>
          <w:tab w:val="right" w:leader="dot" w:pos="8834"/>
        </w:tabs>
        <w:rPr>
          <w:rFonts w:ascii="等线" w:hAnsi="等线" w:eastAsia="等线" w:cstheme="minorBidi"/>
          <w:b w:val="0"/>
          <w:bCs w:val="0"/>
          <w:caps w:val="0"/>
          <w:sz w:val="28"/>
          <w:szCs w:val="28"/>
        </w:rPr>
      </w:pPr>
      <w:r>
        <w:fldChar w:fldCharType="begin"/>
      </w:r>
      <w:r>
        <w:instrText xml:space="preserve"> HYPERLINK \l "_Toc197848436" </w:instrText>
      </w:r>
      <w:r>
        <w:fldChar w:fldCharType="separate"/>
      </w:r>
      <w:r>
        <w:rPr>
          <w:rStyle w:val="54"/>
          <w:rFonts w:hint="eastAsia" w:ascii="等线" w:hAnsi="等线" w:eastAsia="等线"/>
          <w:snapToGrid w:val="0"/>
          <w:sz w:val="28"/>
          <w:szCs w:val="28"/>
        </w:rPr>
        <w:t>三、区域环境质量现状、环境保护目标及评价标准</w:t>
      </w:r>
      <w:r>
        <w:rPr>
          <w:rFonts w:ascii="等线" w:hAnsi="等线" w:eastAsia="等线"/>
          <w:sz w:val="28"/>
          <w:szCs w:val="28"/>
        </w:rPr>
        <w:tab/>
      </w:r>
      <w:r>
        <w:rPr>
          <w:rFonts w:ascii="等线" w:hAnsi="等线" w:eastAsia="等线"/>
          <w:sz w:val="28"/>
          <w:szCs w:val="28"/>
        </w:rPr>
        <w:fldChar w:fldCharType="begin"/>
      </w:r>
      <w:r>
        <w:rPr>
          <w:rFonts w:ascii="等线" w:hAnsi="等线" w:eastAsia="等线"/>
          <w:sz w:val="28"/>
          <w:szCs w:val="28"/>
        </w:rPr>
        <w:instrText xml:space="preserve"> PAGEREF _Toc197848436 \h </w:instrText>
      </w:r>
      <w:r>
        <w:rPr>
          <w:rFonts w:ascii="等线" w:hAnsi="等线" w:eastAsia="等线"/>
          <w:sz w:val="28"/>
          <w:szCs w:val="28"/>
        </w:rPr>
        <w:fldChar w:fldCharType="separate"/>
      </w:r>
      <w:r>
        <w:rPr>
          <w:rFonts w:ascii="等线" w:hAnsi="等线" w:eastAsia="等线"/>
          <w:sz w:val="28"/>
          <w:szCs w:val="28"/>
        </w:rPr>
        <w:t>2</w:t>
      </w:r>
      <w:r>
        <w:rPr>
          <w:rFonts w:hint="eastAsia" w:ascii="等线" w:hAnsi="等线" w:eastAsia="等线"/>
          <w:sz w:val="28"/>
          <w:szCs w:val="28"/>
          <w:lang w:val="en-US" w:eastAsia="zh-CN"/>
        </w:rPr>
        <w:t>8</w:t>
      </w:r>
      <w:r>
        <w:rPr>
          <w:rFonts w:ascii="等线" w:hAnsi="等线" w:eastAsia="等线"/>
          <w:sz w:val="28"/>
          <w:szCs w:val="28"/>
        </w:rPr>
        <w:fldChar w:fldCharType="end"/>
      </w:r>
      <w:r>
        <w:rPr>
          <w:rFonts w:ascii="等线" w:hAnsi="等线" w:eastAsia="等线"/>
          <w:sz w:val="28"/>
          <w:szCs w:val="28"/>
        </w:rPr>
        <w:fldChar w:fldCharType="end"/>
      </w:r>
    </w:p>
    <w:p w14:paraId="16915473">
      <w:pPr>
        <w:pStyle w:val="33"/>
        <w:tabs>
          <w:tab w:val="right" w:leader="dot" w:pos="8834"/>
        </w:tabs>
        <w:rPr>
          <w:rFonts w:ascii="等线" w:hAnsi="等线" w:eastAsia="等线" w:cstheme="minorBidi"/>
          <w:b w:val="0"/>
          <w:bCs w:val="0"/>
          <w:caps w:val="0"/>
          <w:sz w:val="28"/>
          <w:szCs w:val="28"/>
        </w:rPr>
      </w:pPr>
      <w:r>
        <w:fldChar w:fldCharType="begin"/>
      </w:r>
      <w:r>
        <w:instrText xml:space="preserve"> HYPERLINK \l "_Toc197848438" </w:instrText>
      </w:r>
      <w:r>
        <w:fldChar w:fldCharType="separate"/>
      </w:r>
      <w:r>
        <w:rPr>
          <w:rStyle w:val="54"/>
          <w:rFonts w:hint="eastAsia" w:ascii="等线" w:hAnsi="等线" w:eastAsia="等线"/>
          <w:snapToGrid w:val="0"/>
          <w:sz w:val="28"/>
          <w:szCs w:val="28"/>
        </w:rPr>
        <w:t>四、主要环境影响和保护措施</w:t>
      </w:r>
      <w:r>
        <w:rPr>
          <w:rFonts w:ascii="等线" w:hAnsi="等线" w:eastAsia="等线"/>
          <w:sz w:val="28"/>
          <w:szCs w:val="28"/>
        </w:rPr>
        <w:tab/>
      </w:r>
      <w:r>
        <w:rPr>
          <w:rFonts w:ascii="等线" w:hAnsi="等线" w:eastAsia="等线"/>
          <w:sz w:val="28"/>
          <w:szCs w:val="28"/>
        </w:rPr>
        <w:fldChar w:fldCharType="begin"/>
      </w:r>
      <w:r>
        <w:rPr>
          <w:rFonts w:ascii="等线" w:hAnsi="等线" w:eastAsia="等线"/>
          <w:sz w:val="28"/>
          <w:szCs w:val="28"/>
        </w:rPr>
        <w:instrText xml:space="preserve"> PAGEREF _Toc197848438 \h </w:instrText>
      </w:r>
      <w:r>
        <w:rPr>
          <w:rFonts w:ascii="等线" w:hAnsi="等线" w:eastAsia="等线"/>
          <w:sz w:val="28"/>
          <w:szCs w:val="28"/>
        </w:rPr>
        <w:fldChar w:fldCharType="separate"/>
      </w:r>
      <w:r>
        <w:rPr>
          <w:rFonts w:ascii="等线" w:hAnsi="等线" w:eastAsia="等线"/>
          <w:sz w:val="28"/>
          <w:szCs w:val="28"/>
        </w:rPr>
        <w:t>3</w:t>
      </w:r>
      <w:r>
        <w:rPr>
          <w:rFonts w:hint="eastAsia" w:ascii="等线" w:hAnsi="等线" w:eastAsia="等线"/>
          <w:sz w:val="28"/>
          <w:szCs w:val="28"/>
          <w:lang w:val="en-US" w:eastAsia="zh-CN"/>
        </w:rPr>
        <w:t>5</w:t>
      </w:r>
      <w:r>
        <w:rPr>
          <w:rFonts w:ascii="等线" w:hAnsi="等线" w:eastAsia="等线"/>
          <w:sz w:val="28"/>
          <w:szCs w:val="28"/>
        </w:rPr>
        <w:fldChar w:fldCharType="end"/>
      </w:r>
      <w:r>
        <w:rPr>
          <w:rFonts w:ascii="等线" w:hAnsi="等线" w:eastAsia="等线"/>
          <w:sz w:val="28"/>
          <w:szCs w:val="28"/>
        </w:rPr>
        <w:fldChar w:fldCharType="end"/>
      </w:r>
    </w:p>
    <w:p w14:paraId="4A3A5CF3">
      <w:pPr>
        <w:pStyle w:val="33"/>
        <w:tabs>
          <w:tab w:val="right" w:leader="dot" w:pos="8834"/>
        </w:tabs>
        <w:rPr>
          <w:rFonts w:hint="eastAsia" w:ascii="等线" w:hAnsi="等线" w:eastAsia="等线" w:cstheme="minorBidi"/>
          <w:b w:val="0"/>
          <w:bCs w:val="0"/>
          <w:caps w:val="0"/>
          <w:sz w:val="28"/>
          <w:szCs w:val="28"/>
          <w:lang w:val="en-US" w:eastAsia="zh-CN"/>
        </w:rPr>
      </w:pPr>
      <w:r>
        <w:fldChar w:fldCharType="begin"/>
      </w:r>
      <w:r>
        <w:instrText xml:space="preserve"> HYPERLINK \l "_Toc197848449" </w:instrText>
      </w:r>
      <w:r>
        <w:fldChar w:fldCharType="separate"/>
      </w:r>
      <w:r>
        <w:rPr>
          <w:rStyle w:val="54"/>
          <w:rFonts w:hint="eastAsia" w:ascii="等线" w:hAnsi="等线" w:eastAsia="等线"/>
          <w:snapToGrid w:val="0"/>
          <w:sz w:val="28"/>
          <w:szCs w:val="28"/>
        </w:rPr>
        <w:t>五、环境保护措施监督检查清单</w:t>
      </w:r>
      <w:r>
        <w:rPr>
          <w:rFonts w:ascii="等线" w:hAnsi="等线" w:eastAsia="等线"/>
          <w:sz w:val="28"/>
          <w:szCs w:val="28"/>
        </w:rPr>
        <w:tab/>
      </w:r>
      <w:r>
        <w:rPr>
          <w:rFonts w:hint="eastAsia" w:ascii="等线" w:hAnsi="等线" w:eastAsia="等线"/>
          <w:sz w:val="28"/>
          <w:szCs w:val="28"/>
          <w:lang w:val="en-US" w:eastAsia="zh-CN"/>
        </w:rPr>
        <w:t>6</w:t>
      </w:r>
      <w:r>
        <w:rPr>
          <w:rFonts w:ascii="等线" w:hAnsi="等线" w:eastAsia="等线"/>
          <w:sz w:val="28"/>
          <w:szCs w:val="28"/>
        </w:rPr>
        <w:fldChar w:fldCharType="end"/>
      </w:r>
      <w:r>
        <w:rPr>
          <w:rFonts w:hint="eastAsia" w:ascii="等线" w:hAnsi="等线" w:eastAsia="等线"/>
          <w:sz w:val="28"/>
          <w:szCs w:val="28"/>
          <w:lang w:val="en-US" w:eastAsia="zh-CN"/>
        </w:rPr>
        <w:t>0</w:t>
      </w:r>
    </w:p>
    <w:p w14:paraId="3DDC442E">
      <w:pPr>
        <w:pStyle w:val="33"/>
        <w:tabs>
          <w:tab w:val="right" w:leader="dot" w:pos="8834"/>
        </w:tabs>
        <w:rPr>
          <w:rFonts w:hint="eastAsia" w:ascii="等线" w:hAnsi="等线" w:eastAsia="等线" w:cstheme="minorBidi"/>
          <w:b w:val="0"/>
          <w:bCs w:val="0"/>
          <w:caps w:val="0"/>
          <w:sz w:val="28"/>
          <w:szCs w:val="28"/>
          <w:lang w:val="en-US" w:eastAsia="zh-CN"/>
        </w:rPr>
      </w:pPr>
      <w:r>
        <w:fldChar w:fldCharType="begin"/>
      </w:r>
      <w:r>
        <w:instrText xml:space="preserve"> HYPERLINK \l "_Toc197848450" </w:instrText>
      </w:r>
      <w:r>
        <w:fldChar w:fldCharType="separate"/>
      </w:r>
      <w:r>
        <w:rPr>
          <w:rStyle w:val="54"/>
          <w:rFonts w:hint="eastAsia" w:ascii="等线" w:hAnsi="等线" w:eastAsia="等线"/>
          <w:snapToGrid w:val="0"/>
          <w:sz w:val="28"/>
          <w:szCs w:val="28"/>
        </w:rPr>
        <w:t>六、结论</w:t>
      </w:r>
      <w:r>
        <w:rPr>
          <w:rFonts w:ascii="等线" w:hAnsi="等线" w:eastAsia="等线"/>
          <w:sz w:val="28"/>
          <w:szCs w:val="28"/>
        </w:rPr>
        <w:tab/>
      </w:r>
      <w:r>
        <w:rPr>
          <w:rFonts w:hint="eastAsia" w:ascii="等线" w:hAnsi="等线" w:eastAsia="等线"/>
          <w:sz w:val="28"/>
          <w:szCs w:val="28"/>
          <w:lang w:val="en-US" w:eastAsia="zh-CN"/>
        </w:rPr>
        <w:t>6</w:t>
      </w:r>
      <w:r>
        <w:rPr>
          <w:rFonts w:ascii="等线" w:hAnsi="等线" w:eastAsia="等线"/>
          <w:sz w:val="28"/>
          <w:szCs w:val="28"/>
        </w:rPr>
        <w:fldChar w:fldCharType="end"/>
      </w:r>
      <w:r>
        <w:rPr>
          <w:rFonts w:hint="eastAsia" w:ascii="等线" w:hAnsi="等线" w:eastAsia="等线"/>
          <w:sz w:val="28"/>
          <w:szCs w:val="28"/>
          <w:lang w:val="en-US" w:eastAsia="zh-CN"/>
        </w:rPr>
        <w:t>2</w:t>
      </w:r>
    </w:p>
    <w:p w14:paraId="390DEA64">
      <w:pPr>
        <w:pStyle w:val="33"/>
        <w:tabs>
          <w:tab w:val="right" w:leader="dot" w:pos="8834"/>
        </w:tabs>
        <w:rPr>
          <w:rFonts w:ascii="等线" w:hAnsi="等线" w:eastAsia="等线" w:cstheme="minorBidi"/>
          <w:b w:val="0"/>
          <w:bCs w:val="0"/>
          <w:caps w:val="0"/>
          <w:sz w:val="28"/>
          <w:szCs w:val="28"/>
        </w:rPr>
      </w:pPr>
      <w:r>
        <w:fldChar w:fldCharType="begin"/>
      </w:r>
      <w:r>
        <w:instrText xml:space="preserve"> HYPERLINK \l "_Toc197848452" </w:instrText>
      </w:r>
      <w:r>
        <w:fldChar w:fldCharType="separate"/>
      </w:r>
      <w:r>
        <w:rPr>
          <w:rStyle w:val="54"/>
          <w:rFonts w:hint="eastAsia" w:ascii="等线" w:hAnsi="等线" w:eastAsia="等线"/>
          <w:snapToGrid w:val="0"/>
          <w:sz w:val="28"/>
          <w:szCs w:val="28"/>
        </w:rPr>
        <w:t>建设项目污染物排放量汇总表</w:t>
      </w:r>
      <w:r>
        <w:rPr>
          <w:rFonts w:ascii="等线" w:hAnsi="等线" w:eastAsia="等线"/>
          <w:sz w:val="28"/>
          <w:szCs w:val="28"/>
        </w:rPr>
        <w:tab/>
      </w:r>
      <w:r>
        <w:rPr>
          <w:rFonts w:ascii="等线" w:hAnsi="等线" w:eastAsia="等线"/>
          <w:sz w:val="28"/>
          <w:szCs w:val="28"/>
        </w:rPr>
        <w:fldChar w:fldCharType="begin"/>
      </w:r>
      <w:r>
        <w:rPr>
          <w:rFonts w:ascii="等线" w:hAnsi="等线" w:eastAsia="等线"/>
          <w:sz w:val="28"/>
          <w:szCs w:val="28"/>
        </w:rPr>
        <w:instrText xml:space="preserve"> PAGEREF _Toc197848452 \h </w:instrText>
      </w:r>
      <w:r>
        <w:rPr>
          <w:rFonts w:ascii="等线" w:hAnsi="等线" w:eastAsia="等线"/>
          <w:sz w:val="28"/>
          <w:szCs w:val="28"/>
        </w:rPr>
        <w:fldChar w:fldCharType="separate"/>
      </w:r>
      <w:r>
        <w:rPr>
          <w:rFonts w:ascii="等线" w:hAnsi="等线" w:eastAsia="等线"/>
          <w:sz w:val="28"/>
          <w:szCs w:val="28"/>
        </w:rPr>
        <w:t>6</w:t>
      </w:r>
      <w:r>
        <w:rPr>
          <w:rFonts w:hint="eastAsia" w:ascii="等线" w:hAnsi="等线" w:eastAsia="等线"/>
          <w:sz w:val="28"/>
          <w:szCs w:val="28"/>
          <w:lang w:val="en-US" w:eastAsia="zh-CN"/>
        </w:rPr>
        <w:t>3</w:t>
      </w:r>
      <w:r>
        <w:rPr>
          <w:rFonts w:ascii="等线" w:hAnsi="等线" w:eastAsia="等线"/>
          <w:sz w:val="28"/>
          <w:szCs w:val="28"/>
        </w:rPr>
        <w:fldChar w:fldCharType="end"/>
      </w:r>
      <w:r>
        <w:rPr>
          <w:rFonts w:ascii="等线" w:hAnsi="等线" w:eastAsia="等线"/>
          <w:sz w:val="28"/>
          <w:szCs w:val="28"/>
        </w:rPr>
        <w:fldChar w:fldCharType="end"/>
      </w:r>
    </w:p>
    <w:p w14:paraId="6892C8D6">
      <w:pPr>
        <w:tabs>
          <w:tab w:val="left" w:pos="1260"/>
        </w:tabs>
        <w:spacing w:line="360" w:lineRule="auto"/>
        <w:contextualSpacing/>
        <w:rPr>
          <w:rFonts w:hAnsi="宋体" w:eastAsia="等线"/>
          <w:b/>
          <w:sz w:val="28"/>
          <w:szCs w:val="28"/>
        </w:rPr>
      </w:pPr>
      <w:r>
        <w:rPr>
          <w:rFonts w:ascii="等线" w:hAnsi="等线" w:eastAsia="等线"/>
          <w:b/>
          <w:kern w:val="0"/>
          <w:sz w:val="28"/>
        </w:rPr>
        <w:fldChar w:fldCharType="end"/>
      </w:r>
    </w:p>
    <w:p w14:paraId="2C16F24B">
      <w:pPr>
        <w:tabs>
          <w:tab w:val="left" w:pos="1260"/>
        </w:tabs>
        <w:spacing w:line="360" w:lineRule="auto"/>
        <w:contextualSpacing/>
        <w:rPr>
          <w:rFonts w:hAnsi="宋体" w:eastAsia="等线"/>
          <w:b/>
          <w:sz w:val="28"/>
          <w:szCs w:val="28"/>
        </w:rPr>
      </w:pPr>
      <w:r>
        <w:rPr>
          <w:rFonts w:hint="eastAsia" w:hAnsi="宋体" w:eastAsia="等线"/>
          <w:b/>
          <w:sz w:val="28"/>
          <w:szCs w:val="28"/>
        </w:rPr>
        <w:t>附图：</w:t>
      </w:r>
    </w:p>
    <w:p w14:paraId="71310B4A">
      <w:pPr>
        <w:tabs>
          <w:tab w:val="left" w:pos="1260"/>
        </w:tabs>
        <w:spacing w:line="360" w:lineRule="auto"/>
        <w:contextualSpacing/>
        <w:rPr>
          <w:rFonts w:hAnsi="宋体" w:eastAsia="等线"/>
          <w:b/>
          <w:sz w:val="24"/>
        </w:rPr>
      </w:pPr>
      <w:r>
        <w:rPr>
          <w:rFonts w:hint="eastAsia" w:hAnsi="宋体" w:eastAsia="等线"/>
          <w:b/>
          <w:sz w:val="24"/>
        </w:rPr>
        <w:t>附图1   项目地理位置图</w:t>
      </w:r>
    </w:p>
    <w:p w14:paraId="7602537F">
      <w:pPr>
        <w:tabs>
          <w:tab w:val="left" w:pos="1260"/>
        </w:tabs>
        <w:spacing w:line="360" w:lineRule="auto"/>
        <w:contextualSpacing/>
        <w:rPr>
          <w:rFonts w:hAnsi="宋体" w:eastAsia="等线"/>
          <w:b/>
          <w:sz w:val="24"/>
        </w:rPr>
      </w:pPr>
      <w:r>
        <w:rPr>
          <w:rFonts w:hint="eastAsia" w:hAnsi="宋体" w:eastAsia="等线"/>
          <w:b/>
          <w:sz w:val="24"/>
        </w:rPr>
        <w:t>附图2   项目周边环境示意图</w:t>
      </w:r>
    </w:p>
    <w:p w14:paraId="72623022">
      <w:pPr>
        <w:tabs>
          <w:tab w:val="left" w:pos="1260"/>
        </w:tabs>
        <w:spacing w:line="360" w:lineRule="auto"/>
        <w:contextualSpacing/>
        <w:rPr>
          <w:rFonts w:hAnsi="宋体" w:eastAsia="等线"/>
          <w:b/>
          <w:sz w:val="24"/>
        </w:rPr>
      </w:pPr>
      <w:r>
        <w:rPr>
          <w:rFonts w:hint="eastAsia" w:hAnsi="宋体" w:eastAsia="等线"/>
          <w:b/>
          <w:sz w:val="24"/>
        </w:rPr>
        <w:t>附图3   厂区平面布置图</w:t>
      </w:r>
    </w:p>
    <w:p w14:paraId="623F1FEB">
      <w:pPr>
        <w:tabs>
          <w:tab w:val="left" w:pos="1260"/>
        </w:tabs>
        <w:spacing w:line="360" w:lineRule="auto"/>
        <w:contextualSpacing/>
        <w:rPr>
          <w:rFonts w:hint="eastAsia" w:hAnsi="宋体" w:eastAsia="等线"/>
          <w:b/>
          <w:sz w:val="24"/>
          <w:u w:val="single"/>
          <w:lang w:val="en-US" w:eastAsia="zh-CN"/>
        </w:rPr>
      </w:pPr>
      <w:r>
        <w:rPr>
          <w:rFonts w:hint="eastAsia" w:hAnsi="宋体" w:eastAsia="等线"/>
          <w:b/>
          <w:sz w:val="24"/>
        </w:rPr>
        <w:t xml:space="preserve">附图4  </w:t>
      </w:r>
      <w:r>
        <w:rPr>
          <w:rFonts w:hint="eastAsia" w:hAnsi="宋体" w:eastAsia="等线"/>
          <w:b/>
          <w:i w:val="0"/>
          <w:iCs w:val="0"/>
          <w:sz w:val="24"/>
          <w:u w:val="none"/>
        </w:rPr>
        <w:t xml:space="preserve"> </w:t>
      </w:r>
      <w:r>
        <w:rPr>
          <w:rFonts w:hint="eastAsia" w:hAnsi="宋体" w:eastAsia="等线"/>
          <w:b/>
          <w:sz w:val="24"/>
          <w:lang w:val="en-US" w:eastAsia="zh-CN"/>
        </w:rPr>
        <w:t>项目在河南省</w:t>
      </w:r>
      <w:r>
        <w:rPr>
          <w:rFonts w:hint="eastAsia" w:hAnsi="宋体" w:eastAsia="等线"/>
          <w:b/>
          <w:sz w:val="24"/>
        </w:rPr>
        <w:t>生态环境分区管控图</w:t>
      </w:r>
      <w:r>
        <w:rPr>
          <w:rFonts w:hint="eastAsia" w:hAnsi="宋体" w:eastAsia="等线"/>
          <w:b/>
          <w:sz w:val="24"/>
          <w:lang w:val="en-US" w:eastAsia="zh-CN"/>
        </w:rPr>
        <w:t>位置</w:t>
      </w:r>
    </w:p>
    <w:p w14:paraId="5615CFAB">
      <w:pPr>
        <w:tabs>
          <w:tab w:val="left" w:pos="1260"/>
        </w:tabs>
        <w:spacing w:line="360" w:lineRule="auto"/>
        <w:contextualSpacing/>
        <w:rPr>
          <w:rFonts w:hAnsi="宋体" w:eastAsia="等线"/>
          <w:b/>
          <w:sz w:val="24"/>
        </w:rPr>
      </w:pPr>
      <w:r>
        <w:rPr>
          <w:rFonts w:hint="eastAsia" w:hAnsi="宋体" w:eastAsia="等线"/>
          <w:b/>
          <w:sz w:val="24"/>
          <w:lang w:val="en-US" w:eastAsia="zh-CN"/>
        </w:rPr>
        <w:t xml:space="preserve">附图5   </w:t>
      </w:r>
      <w:r>
        <w:rPr>
          <w:rFonts w:hint="eastAsia" w:hAnsi="宋体" w:eastAsia="等线"/>
          <w:b/>
          <w:sz w:val="24"/>
        </w:rPr>
        <w:t>周边环境现状照片</w:t>
      </w:r>
      <w:r>
        <w:rPr>
          <w:rFonts w:hint="eastAsia" w:hAnsi="宋体" w:eastAsia="等线"/>
          <w:b/>
          <w:sz w:val="24"/>
          <w:lang w:val="en-US" w:eastAsia="zh-CN"/>
        </w:rPr>
        <w:t>及工程师现场踏勘照片</w:t>
      </w:r>
    </w:p>
    <w:p w14:paraId="662704B3">
      <w:pPr>
        <w:tabs>
          <w:tab w:val="left" w:pos="1260"/>
        </w:tabs>
        <w:spacing w:line="360" w:lineRule="auto"/>
        <w:contextualSpacing/>
        <w:rPr>
          <w:rFonts w:hAnsi="宋体" w:eastAsia="等线"/>
          <w:b/>
          <w:sz w:val="24"/>
        </w:rPr>
      </w:pPr>
    </w:p>
    <w:p w14:paraId="267A8A6E">
      <w:pPr>
        <w:tabs>
          <w:tab w:val="left" w:pos="1260"/>
        </w:tabs>
        <w:spacing w:line="360" w:lineRule="auto"/>
        <w:contextualSpacing/>
        <w:rPr>
          <w:rFonts w:hAnsi="宋体" w:eastAsia="等线"/>
          <w:b/>
          <w:sz w:val="28"/>
          <w:szCs w:val="28"/>
        </w:rPr>
      </w:pPr>
      <w:r>
        <w:rPr>
          <w:rFonts w:hint="eastAsia" w:hAnsi="宋体" w:eastAsia="等线"/>
          <w:b/>
          <w:sz w:val="28"/>
          <w:szCs w:val="28"/>
        </w:rPr>
        <w:t>附件：</w:t>
      </w:r>
    </w:p>
    <w:p w14:paraId="2406CDFF">
      <w:pPr>
        <w:tabs>
          <w:tab w:val="left" w:pos="1260"/>
        </w:tabs>
        <w:spacing w:line="360" w:lineRule="auto"/>
        <w:contextualSpacing/>
        <w:rPr>
          <w:rFonts w:hAnsi="宋体" w:eastAsia="等线"/>
          <w:b/>
          <w:sz w:val="24"/>
        </w:rPr>
      </w:pPr>
      <w:r>
        <w:rPr>
          <w:rFonts w:hint="eastAsia" w:hAnsi="宋体" w:eastAsia="等线"/>
          <w:b/>
          <w:sz w:val="24"/>
        </w:rPr>
        <w:t>附件1   委托书</w:t>
      </w:r>
    </w:p>
    <w:p w14:paraId="0682207D">
      <w:pPr>
        <w:tabs>
          <w:tab w:val="left" w:pos="1260"/>
        </w:tabs>
        <w:spacing w:line="360" w:lineRule="auto"/>
        <w:contextualSpacing/>
        <w:rPr>
          <w:rFonts w:hAnsi="宋体" w:eastAsia="等线"/>
          <w:b/>
          <w:sz w:val="24"/>
        </w:rPr>
      </w:pPr>
      <w:r>
        <w:rPr>
          <w:rFonts w:hint="eastAsia" w:hAnsi="宋体" w:eastAsia="等线"/>
          <w:b/>
          <w:sz w:val="24"/>
        </w:rPr>
        <w:t>附件2   项目备案证明</w:t>
      </w:r>
    </w:p>
    <w:p w14:paraId="1104AD07">
      <w:pPr>
        <w:tabs>
          <w:tab w:val="left" w:pos="1260"/>
        </w:tabs>
        <w:spacing w:line="360" w:lineRule="auto"/>
        <w:contextualSpacing/>
        <w:rPr>
          <w:rFonts w:hAnsi="宋体" w:eastAsia="等线"/>
          <w:b/>
          <w:sz w:val="24"/>
        </w:rPr>
      </w:pPr>
      <w:r>
        <w:rPr>
          <w:rFonts w:hint="eastAsia" w:hAnsi="宋体" w:eastAsia="等线"/>
          <w:b/>
          <w:sz w:val="24"/>
        </w:rPr>
        <w:t>附件3   土地</w:t>
      </w:r>
      <w:r>
        <w:rPr>
          <w:rFonts w:hint="eastAsia" w:hAnsi="宋体" w:eastAsia="等线"/>
          <w:b/>
          <w:sz w:val="24"/>
          <w:lang w:val="en-US" w:eastAsia="zh-CN"/>
        </w:rPr>
        <w:t>及入驻</w:t>
      </w:r>
      <w:r>
        <w:rPr>
          <w:rFonts w:hint="eastAsia" w:hAnsi="宋体" w:eastAsia="等线"/>
          <w:b/>
          <w:sz w:val="24"/>
        </w:rPr>
        <w:t>证明</w:t>
      </w:r>
    </w:p>
    <w:p w14:paraId="779F9020">
      <w:pPr>
        <w:tabs>
          <w:tab w:val="left" w:pos="1260"/>
        </w:tabs>
        <w:spacing w:line="360" w:lineRule="auto"/>
        <w:contextualSpacing/>
        <w:rPr>
          <w:rFonts w:hAnsi="宋体" w:eastAsia="等线"/>
          <w:b/>
          <w:sz w:val="24"/>
        </w:rPr>
      </w:pPr>
      <w:r>
        <w:rPr>
          <w:rFonts w:hint="eastAsia" w:hAnsi="宋体" w:eastAsia="等线"/>
          <w:b/>
          <w:sz w:val="24"/>
        </w:rPr>
        <w:t>附件</w:t>
      </w:r>
      <w:r>
        <w:rPr>
          <w:rFonts w:hAnsi="宋体" w:eastAsia="等线"/>
          <w:b/>
          <w:sz w:val="24"/>
        </w:rPr>
        <w:t>4</w:t>
      </w:r>
      <w:r>
        <w:rPr>
          <w:rFonts w:hint="eastAsia" w:hAnsi="宋体" w:eastAsia="等线"/>
          <w:b/>
          <w:sz w:val="24"/>
        </w:rPr>
        <w:t xml:space="preserve">   建设单位确认书和责任声明</w:t>
      </w:r>
    </w:p>
    <w:p w14:paraId="7EE8A1F3">
      <w:pPr>
        <w:tabs>
          <w:tab w:val="left" w:pos="1260"/>
        </w:tabs>
        <w:spacing w:line="360" w:lineRule="auto"/>
        <w:contextualSpacing/>
        <w:rPr>
          <w:rFonts w:hAnsi="宋体" w:eastAsia="等线"/>
          <w:b/>
          <w:sz w:val="24"/>
        </w:rPr>
      </w:pPr>
      <w:r>
        <w:rPr>
          <w:rFonts w:hint="eastAsia" w:hAnsi="宋体" w:eastAsia="等线"/>
          <w:b/>
          <w:sz w:val="24"/>
        </w:rPr>
        <w:t>附件</w:t>
      </w:r>
      <w:r>
        <w:rPr>
          <w:rFonts w:hAnsi="宋体" w:eastAsia="等线"/>
          <w:b/>
          <w:sz w:val="24"/>
        </w:rPr>
        <w:t>5</w:t>
      </w:r>
      <w:r>
        <w:rPr>
          <w:rFonts w:hint="eastAsia" w:hAnsi="宋体" w:eastAsia="等线"/>
          <w:b/>
          <w:sz w:val="24"/>
        </w:rPr>
        <w:t xml:space="preserve">   营业执照和法人身份证</w:t>
      </w:r>
    </w:p>
    <w:p w14:paraId="347D1DA7">
      <w:pPr>
        <w:pStyle w:val="63"/>
        <w:ind w:firstLine="480"/>
      </w:pPr>
    </w:p>
    <w:p w14:paraId="0705AF28">
      <w:pPr>
        <w:adjustRightInd w:val="0"/>
        <w:snapToGrid w:val="0"/>
        <w:spacing w:line="360" w:lineRule="auto"/>
        <w:ind w:firstLine="720" w:firstLineChars="200"/>
        <w:rPr>
          <w:rFonts w:eastAsia="仿宋_GB2312"/>
          <w:sz w:val="36"/>
          <w:szCs w:val="36"/>
        </w:rPr>
        <w:sectPr>
          <w:pgSz w:w="11906" w:h="16838"/>
          <w:pgMar w:top="1701" w:right="1531" w:bottom="1701" w:left="1531" w:header="851" w:footer="1077" w:gutter="0"/>
          <w:pgNumType w:start="3"/>
          <w:cols w:space="720" w:num="1"/>
          <w:docGrid w:linePitch="312" w:charSpace="0"/>
        </w:sectPr>
      </w:pPr>
    </w:p>
    <w:p w14:paraId="203D3F38">
      <w:pPr>
        <w:pStyle w:val="263"/>
        <w:spacing w:before="120" w:after="120"/>
        <w:rPr>
          <w:snapToGrid w:val="0"/>
        </w:rPr>
      </w:pPr>
      <w:bookmarkStart w:id="0" w:name="_Toc197848417"/>
      <w:r>
        <w:rPr>
          <w:snapToGrid w:val="0"/>
        </w:rPr>
        <w:t>一、建设项目基本情况</w:t>
      </w:r>
      <w:bookmarkEnd w:id="0"/>
    </w:p>
    <w:tbl>
      <w:tblPr>
        <w:tblStyle w:val="4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32"/>
        <w:gridCol w:w="914"/>
        <w:gridCol w:w="2283"/>
        <w:gridCol w:w="1792"/>
        <w:gridCol w:w="3449"/>
      </w:tblGrid>
      <w:tr w14:paraId="41E743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46" w:type="dxa"/>
            <w:gridSpan w:val="2"/>
            <w:tcMar>
              <w:top w:w="16" w:type="dxa"/>
              <w:left w:w="16" w:type="dxa"/>
              <w:right w:w="16" w:type="dxa"/>
            </w:tcMar>
            <w:vAlign w:val="center"/>
          </w:tcPr>
          <w:p w14:paraId="432F2F66">
            <w:pPr>
              <w:adjustRightInd w:val="0"/>
              <w:snapToGrid w:val="0"/>
              <w:jc w:val="center"/>
              <w:rPr>
                <w:szCs w:val="21"/>
              </w:rPr>
            </w:pPr>
            <w:r>
              <w:rPr>
                <w:szCs w:val="21"/>
              </w:rPr>
              <w:t>建设项目名称</w:t>
            </w:r>
          </w:p>
        </w:tc>
        <w:tc>
          <w:tcPr>
            <w:tcW w:w="7524" w:type="dxa"/>
            <w:gridSpan w:val="3"/>
            <w:vAlign w:val="center"/>
          </w:tcPr>
          <w:p w14:paraId="053DE83E">
            <w:pPr>
              <w:adjustRightInd w:val="0"/>
              <w:snapToGrid w:val="0"/>
              <w:jc w:val="center"/>
              <w:rPr>
                <w:szCs w:val="21"/>
              </w:rPr>
            </w:pPr>
            <w:r>
              <w:rPr>
                <w:rFonts w:hint="eastAsia"/>
                <w:bCs/>
                <w:szCs w:val="21"/>
                <w:lang w:val="en-US" w:eastAsia="zh-CN"/>
              </w:rPr>
              <w:t>安阳市岳家酱食品有限公司豆制品深加工</w:t>
            </w:r>
            <w:r>
              <w:rPr>
                <w:rFonts w:hint="eastAsia"/>
                <w:bCs/>
                <w:szCs w:val="21"/>
              </w:rPr>
              <w:t>项目</w:t>
            </w:r>
          </w:p>
        </w:tc>
      </w:tr>
      <w:tr w14:paraId="050EB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1346" w:type="dxa"/>
            <w:gridSpan w:val="2"/>
            <w:tcMar>
              <w:top w:w="16" w:type="dxa"/>
              <w:left w:w="16" w:type="dxa"/>
              <w:right w:w="16" w:type="dxa"/>
            </w:tcMar>
            <w:vAlign w:val="center"/>
          </w:tcPr>
          <w:p w14:paraId="229D618E">
            <w:pPr>
              <w:adjustRightInd w:val="0"/>
              <w:snapToGrid w:val="0"/>
              <w:jc w:val="center"/>
              <w:rPr>
                <w:szCs w:val="21"/>
              </w:rPr>
            </w:pPr>
            <w:r>
              <w:rPr>
                <w:szCs w:val="21"/>
              </w:rPr>
              <w:t>项目代码</w:t>
            </w:r>
          </w:p>
        </w:tc>
        <w:tc>
          <w:tcPr>
            <w:tcW w:w="7524" w:type="dxa"/>
            <w:gridSpan w:val="3"/>
            <w:vAlign w:val="center"/>
          </w:tcPr>
          <w:p w14:paraId="6C31D34F">
            <w:pPr>
              <w:adjustRightInd w:val="0"/>
              <w:snapToGrid w:val="0"/>
              <w:jc w:val="center"/>
              <w:rPr>
                <w:rFonts w:hint="default"/>
                <w:szCs w:val="21"/>
                <w:lang w:val="en-US"/>
              </w:rPr>
            </w:pPr>
            <w:r>
              <w:rPr>
                <w:rFonts w:hint="eastAsia"/>
                <w:szCs w:val="21"/>
              </w:rPr>
              <w:t>2</w:t>
            </w:r>
            <w:r>
              <w:rPr>
                <w:rFonts w:hint="eastAsia"/>
                <w:szCs w:val="21"/>
                <w:lang w:val="en-US" w:eastAsia="zh-CN"/>
              </w:rPr>
              <w:t>601</w:t>
            </w:r>
            <w:r>
              <w:rPr>
                <w:rFonts w:hint="eastAsia"/>
                <w:szCs w:val="21"/>
              </w:rPr>
              <w:t>-4105</w:t>
            </w:r>
            <w:r>
              <w:rPr>
                <w:rFonts w:hint="eastAsia"/>
                <w:szCs w:val="21"/>
                <w:lang w:val="en-US" w:eastAsia="zh-CN"/>
              </w:rPr>
              <w:t>23</w:t>
            </w:r>
            <w:r>
              <w:rPr>
                <w:rFonts w:hint="eastAsia"/>
                <w:szCs w:val="21"/>
              </w:rPr>
              <w:t>-04-0</w:t>
            </w:r>
            <w:r>
              <w:rPr>
                <w:rFonts w:hint="eastAsia"/>
                <w:szCs w:val="21"/>
                <w:lang w:val="en-US" w:eastAsia="zh-CN"/>
              </w:rPr>
              <w:t>1</w:t>
            </w:r>
            <w:r>
              <w:rPr>
                <w:rFonts w:hint="eastAsia"/>
                <w:szCs w:val="21"/>
              </w:rPr>
              <w:t>-</w:t>
            </w:r>
            <w:r>
              <w:rPr>
                <w:rFonts w:hint="eastAsia"/>
                <w:szCs w:val="21"/>
                <w:lang w:val="en-US" w:eastAsia="zh-CN"/>
              </w:rPr>
              <w:t>515366</w:t>
            </w:r>
          </w:p>
        </w:tc>
      </w:tr>
      <w:tr w14:paraId="26E983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46" w:type="dxa"/>
            <w:gridSpan w:val="2"/>
            <w:tcMar>
              <w:top w:w="16" w:type="dxa"/>
              <w:left w:w="16" w:type="dxa"/>
              <w:right w:w="16" w:type="dxa"/>
            </w:tcMar>
            <w:vAlign w:val="center"/>
          </w:tcPr>
          <w:p w14:paraId="32C6DB1C">
            <w:pPr>
              <w:adjustRightInd w:val="0"/>
              <w:snapToGrid w:val="0"/>
              <w:jc w:val="center"/>
              <w:rPr>
                <w:szCs w:val="21"/>
              </w:rPr>
            </w:pPr>
            <w:r>
              <w:rPr>
                <w:szCs w:val="21"/>
              </w:rPr>
              <w:t>建设单位联系人</w:t>
            </w:r>
          </w:p>
        </w:tc>
        <w:tc>
          <w:tcPr>
            <w:tcW w:w="2283" w:type="dxa"/>
            <w:vAlign w:val="center"/>
          </w:tcPr>
          <w:p w14:paraId="332C23BA">
            <w:pPr>
              <w:adjustRightInd w:val="0"/>
              <w:snapToGrid w:val="0"/>
              <w:jc w:val="center"/>
              <w:rPr>
                <w:rFonts w:hint="default" w:eastAsia="宋体"/>
                <w:szCs w:val="21"/>
                <w:lang w:val="en-US" w:eastAsia="zh-CN"/>
              </w:rPr>
            </w:pPr>
          </w:p>
        </w:tc>
        <w:tc>
          <w:tcPr>
            <w:tcW w:w="1792" w:type="dxa"/>
            <w:vAlign w:val="center"/>
          </w:tcPr>
          <w:p w14:paraId="6D0FE231">
            <w:pPr>
              <w:adjustRightInd w:val="0"/>
              <w:snapToGrid w:val="0"/>
              <w:jc w:val="center"/>
              <w:rPr>
                <w:szCs w:val="21"/>
              </w:rPr>
            </w:pPr>
            <w:r>
              <w:rPr>
                <w:szCs w:val="21"/>
              </w:rPr>
              <w:t>联系方式</w:t>
            </w:r>
          </w:p>
        </w:tc>
        <w:tc>
          <w:tcPr>
            <w:tcW w:w="3449" w:type="dxa"/>
            <w:vAlign w:val="center"/>
          </w:tcPr>
          <w:p w14:paraId="1BD9FB51">
            <w:pPr>
              <w:adjustRightInd w:val="0"/>
              <w:snapToGrid w:val="0"/>
              <w:jc w:val="center"/>
              <w:rPr>
                <w:rFonts w:hint="default" w:eastAsia="宋体"/>
                <w:szCs w:val="21"/>
                <w:lang w:val="en-US" w:eastAsia="zh-CN"/>
              </w:rPr>
            </w:pPr>
            <w:bookmarkStart w:id="61" w:name="_GoBack"/>
            <w:bookmarkEnd w:id="61"/>
          </w:p>
        </w:tc>
      </w:tr>
      <w:tr w14:paraId="67BFC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46" w:type="dxa"/>
            <w:gridSpan w:val="2"/>
            <w:tcMar>
              <w:top w:w="16" w:type="dxa"/>
              <w:left w:w="16" w:type="dxa"/>
              <w:right w:w="16" w:type="dxa"/>
            </w:tcMar>
            <w:vAlign w:val="center"/>
          </w:tcPr>
          <w:p w14:paraId="34393268">
            <w:pPr>
              <w:adjustRightInd w:val="0"/>
              <w:snapToGrid w:val="0"/>
              <w:jc w:val="center"/>
              <w:rPr>
                <w:szCs w:val="21"/>
              </w:rPr>
            </w:pPr>
            <w:r>
              <w:rPr>
                <w:szCs w:val="21"/>
              </w:rPr>
              <w:t>建设地点</w:t>
            </w:r>
          </w:p>
        </w:tc>
        <w:tc>
          <w:tcPr>
            <w:tcW w:w="7524" w:type="dxa"/>
            <w:gridSpan w:val="3"/>
            <w:vAlign w:val="center"/>
          </w:tcPr>
          <w:p w14:paraId="47924C33">
            <w:pPr>
              <w:adjustRightInd w:val="0"/>
              <w:snapToGrid w:val="0"/>
              <w:jc w:val="center"/>
              <w:rPr>
                <w:szCs w:val="21"/>
              </w:rPr>
            </w:pPr>
            <w:r>
              <w:rPr>
                <w:rFonts w:hint="eastAsia"/>
                <w:szCs w:val="21"/>
              </w:rPr>
              <w:t>河南省安阳市汤阴县古贤镇材料园区腾飞路东侧8号</w:t>
            </w:r>
          </w:p>
        </w:tc>
      </w:tr>
      <w:tr w14:paraId="2B4A23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46" w:type="dxa"/>
            <w:gridSpan w:val="2"/>
            <w:tcMar>
              <w:top w:w="16" w:type="dxa"/>
              <w:left w:w="16" w:type="dxa"/>
              <w:right w:w="16" w:type="dxa"/>
            </w:tcMar>
            <w:vAlign w:val="center"/>
          </w:tcPr>
          <w:p w14:paraId="2E300383">
            <w:pPr>
              <w:adjustRightInd w:val="0"/>
              <w:snapToGrid w:val="0"/>
              <w:jc w:val="center"/>
              <w:rPr>
                <w:szCs w:val="21"/>
              </w:rPr>
            </w:pPr>
            <w:r>
              <w:rPr>
                <w:szCs w:val="21"/>
              </w:rPr>
              <w:t>地理坐标</w:t>
            </w:r>
          </w:p>
        </w:tc>
        <w:tc>
          <w:tcPr>
            <w:tcW w:w="7524" w:type="dxa"/>
            <w:gridSpan w:val="3"/>
            <w:vAlign w:val="center"/>
          </w:tcPr>
          <w:p w14:paraId="08B1170B">
            <w:pPr>
              <w:adjustRightInd w:val="0"/>
              <w:snapToGrid w:val="0"/>
              <w:jc w:val="center"/>
              <w:rPr>
                <w:szCs w:val="21"/>
              </w:rPr>
            </w:pPr>
            <w:r>
              <w:rPr>
                <w:szCs w:val="21"/>
              </w:rPr>
              <w:t>东经114°</w:t>
            </w:r>
            <w:r>
              <w:rPr>
                <w:rFonts w:hint="eastAsia"/>
                <w:szCs w:val="21"/>
                <w:lang w:val="en-US" w:eastAsia="zh-CN"/>
              </w:rPr>
              <w:t>26</w:t>
            </w:r>
            <w:r>
              <w:rPr>
                <w:szCs w:val="21"/>
              </w:rPr>
              <w:t>′</w:t>
            </w:r>
            <w:r>
              <w:rPr>
                <w:rFonts w:hint="eastAsia"/>
                <w:szCs w:val="21"/>
                <w:lang w:val="en-US" w:eastAsia="zh-CN"/>
              </w:rPr>
              <w:t>57.058</w:t>
            </w:r>
            <w:r>
              <w:rPr>
                <w:szCs w:val="21"/>
              </w:rPr>
              <w:t>″，北纬35°</w:t>
            </w:r>
            <w:r>
              <w:rPr>
                <w:rFonts w:hint="eastAsia"/>
                <w:szCs w:val="21"/>
                <w:lang w:val="en-US" w:eastAsia="zh-CN"/>
              </w:rPr>
              <w:t>56</w:t>
            </w:r>
            <w:r>
              <w:rPr>
                <w:szCs w:val="21"/>
              </w:rPr>
              <w:t>′</w:t>
            </w:r>
            <w:r>
              <w:rPr>
                <w:rFonts w:hint="eastAsia"/>
                <w:szCs w:val="21"/>
                <w:lang w:val="en-US" w:eastAsia="zh-CN"/>
              </w:rPr>
              <w:t>46.590</w:t>
            </w:r>
            <w:r>
              <w:rPr>
                <w:szCs w:val="21"/>
              </w:rPr>
              <w:t>″</w:t>
            </w:r>
          </w:p>
        </w:tc>
      </w:tr>
      <w:tr w14:paraId="44ED26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46" w:type="dxa"/>
            <w:gridSpan w:val="2"/>
            <w:tcMar>
              <w:top w:w="16" w:type="dxa"/>
              <w:left w:w="16" w:type="dxa"/>
              <w:right w:w="16" w:type="dxa"/>
            </w:tcMar>
            <w:vAlign w:val="center"/>
          </w:tcPr>
          <w:p w14:paraId="535C51C9">
            <w:pPr>
              <w:adjustRightInd w:val="0"/>
              <w:snapToGrid w:val="0"/>
              <w:jc w:val="center"/>
              <w:rPr>
                <w:szCs w:val="21"/>
              </w:rPr>
            </w:pPr>
            <w:r>
              <w:rPr>
                <w:szCs w:val="21"/>
              </w:rPr>
              <w:t>国民经济</w:t>
            </w:r>
          </w:p>
          <w:p w14:paraId="08544D16">
            <w:pPr>
              <w:adjustRightInd w:val="0"/>
              <w:snapToGrid w:val="0"/>
              <w:jc w:val="center"/>
              <w:rPr>
                <w:szCs w:val="21"/>
              </w:rPr>
            </w:pPr>
            <w:r>
              <w:rPr>
                <w:szCs w:val="21"/>
              </w:rPr>
              <w:t>行业类别</w:t>
            </w:r>
          </w:p>
        </w:tc>
        <w:tc>
          <w:tcPr>
            <w:tcW w:w="2283" w:type="dxa"/>
            <w:vAlign w:val="center"/>
          </w:tcPr>
          <w:p w14:paraId="4C0AD8A8">
            <w:pPr>
              <w:adjustRightInd w:val="0"/>
              <w:snapToGrid w:val="0"/>
              <w:jc w:val="center"/>
              <w:rPr>
                <w:rFonts w:hint="eastAsia"/>
                <w:lang w:val="en-US" w:eastAsia="zh-CN"/>
              </w:rPr>
            </w:pPr>
            <w:r>
              <w:t>C</w:t>
            </w:r>
            <w:r>
              <w:rPr>
                <w:rFonts w:hint="eastAsia"/>
                <w:lang w:val="en-US" w:eastAsia="zh-CN"/>
              </w:rPr>
              <w:t>1392豆制品制造</w:t>
            </w:r>
          </w:p>
          <w:p w14:paraId="2AD98B30">
            <w:pPr>
              <w:adjustRightInd w:val="0"/>
              <w:snapToGrid w:val="0"/>
              <w:jc w:val="center"/>
              <w:rPr>
                <w:rFonts w:hint="default"/>
                <w:lang w:val="en-US" w:eastAsia="zh-CN"/>
              </w:rPr>
            </w:pPr>
            <w:r>
              <w:rPr>
                <w:rFonts w:hint="eastAsia"/>
                <w:lang w:val="en-US" w:eastAsia="zh-CN"/>
              </w:rPr>
              <w:t>C146调味品、发酵制品制造</w:t>
            </w:r>
          </w:p>
        </w:tc>
        <w:tc>
          <w:tcPr>
            <w:tcW w:w="1792" w:type="dxa"/>
            <w:vAlign w:val="center"/>
          </w:tcPr>
          <w:p w14:paraId="66B17A38">
            <w:pPr>
              <w:adjustRightInd w:val="0"/>
              <w:snapToGrid w:val="0"/>
              <w:jc w:val="center"/>
              <w:rPr>
                <w:szCs w:val="21"/>
              </w:rPr>
            </w:pPr>
            <w:bookmarkStart w:id="1" w:name="_Hlk49843745"/>
            <w:r>
              <w:rPr>
                <w:szCs w:val="21"/>
              </w:rPr>
              <w:t>建设项目</w:t>
            </w:r>
          </w:p>
          <w:p w14:paraId="70C825EF">
            <w:pPr>
              <w:adjustRightInd w:val="0"/>
              <w:snapToGrid w:val="0"/>
              <w:jc w:val="center"/>
              <w:rPr>
                <w:szCs w:val="21"/>
              </w:rPr>
            </w:pPr>
            <w:r>
              <w:rPr>
                <w:szCs w:val="21"/>
              </w:rPr>
              <w:t>行业类别</w:t>
            </w:r>
            <w:bookmarkEnd w:id="1"/>
          </w:p>
        </w:tc>
        <w:tc>
          <w:tcPr>
            <w:tcW w:w="3449" w:type="dxa"/>
            <w:vAlign w:val="center"/>
          </w:tcPr>
          <w:p w14:paraId="4D8E0478">
            <w:pPr>
              <w:numPr>
                <w:ilvl w:val="0"/>
                <w:numId w:val="6"/>
              </w:numPr>
              <w:adjustRightInd w:val="0"/>
              <w:snapToGrid w:val="0"/>
              <w:jc w:val="center"/>
              <w:rPr>
                <w:rFonts w:hint="eastAsia"/>
                <w:szCs w:val="21"/>
              </w:rPr>
            </w:pPr>
            <w:r>
              <w:rPr>
                <w:rFonts w:hint="eastAsia"/>
                <w:szCs w:val="21"/>
                <w:lang w:val="en-US" w:eastAsia="zh-CN"/>
              </w:rPr>
              <w:t>农副食品加工业13</w:t>
            </w:r>
            <w:r>
              <w:rPr>
                <w:rFonts w:hint="eastAsia"/>
                <w:szCs w:val="21"/>
              </w:rPr>
              <w:t>；2</w:t>
            </w:r>
            <w:r>
              <w:rPr>
                <w:rFonts w:hint="eastAsia"/>
                <w:szCs w:val="21"/>
                <w:lang w:val="en-US" w:eastAsia="zh-CN"/>
              </w:rPr>
              <w:t>0</w:t>
            </w:r>
            <w:r>
              <w:rPr>
                <w:rFonts w:hint="eastAsia"/>
                <w:szCs w:val="21"/>
              </w:rPr>
              <w:t>、</w:t>
            </w:r>
            <w:r>
              <w:rPr>
                <w:rFonts w:hint="eastAsia"/>
                <w:szCs w:val="21"/>
                <w:lang w:val="en-US" w:eastAsia="zh-CN"/>
              </w:rPr>
              <w:t>其他农副食品加工139</w:t>
            </w:r>
            <w:r>
              <w:rPr>
                <w:rFonts w:hint="eastAsia"/>
                <w:szCs w:val="21"/>
              </w:rPr>
              <w:t>*</w:t>
            </w:r>
          </w:p>
          <w:p w14:paraId="7B576694">
            <w:pPr>
              <w:numPr>
                <w:ilvl w:val="0"/>
                <w:numId w:val="6"/>
              </w:numPr>
              <w:adjustRightInd w:val="0"/>
              <w:snapToGrid w:val="0"/>
              <w:jc w:val="center"/>
              <w:rPr>
                <w:rFonts w:hint="eastAsia"/>
                <w:szCs w:val="21"/>
              </w:rPr>
            </w:pPr>
            <w:r>
              <w:rPr>
                <w:rFonts w:hint="eastAsia"/>
                <w:szCs w:val="21"/>
                <w:lang w:val="en-US" w:eastAsia="zh-CN"/>
              </w:rPr>
              <w:t>食品制造业14；23调味品、发酵制品制造146</w:t>
            </w:r>
            <w:r>
              <w:rPr>
                <w:rFonts w:hint="eastAsia"/>
                <w:szCs w:val="21"/>
              </w:rPr>
              <w:t>*</w:t>
            </w:r>
          </w:p>
        </w:tc>
      </w:tr>
      <w:tr w14:paraId="3D88DD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46" w:type="dxa"/>
            <w:gridSpan w:val="2"/>
            <w:tcMar>
              <w:top w:w="16" w:type="dxa"/>
              <w:left w:w="16" w:type="dxa"/>
              <w:right w:w="16" w:type="dxa"/>
            </w:tcMar>
            <w:vAlign w:val="center"/>
          </w:tcPr>
          <w:p w14:paraId="4ECCEEB0">
            <w:pPr>
              <w:adjustRightInd w:val="0"/>
              <w:snapToGrid w:val="0"/>
              <w:jc w:val="center"/>
              <w:rPr>
                <w:szCs w:val="21"/>
              </w:rPr>
            </w:pPr>
            <w:r>
              <w:rPr>
                <w:szCs w:val="21"/>
              </w:rPr>
              <w:t>建设性质</w:t>
            </w:r>
          </w:p>
        </w:tc>
        <w:tc>
          <w:tcPr>
            <w:tcW w:w="2283" w:type="dxa"/>
            <w:vAlign w:val="center"/>
          </w:tcPr>
          <w:p w14:paraId="36D7E0C4">
            <w:pPr>
              <w:adjustRightInd w:val="0"/>
              <w:snapToGrid w:val="0"/>
              <w:jc w:val="left"/>
              <w:rPr>
                <w:szCs w:val="21"/>
              </w:rPr>
            </w:pPr>
            <w:r>
              <w:rPr>
                <w:b/>
                <w:bCs/>
                <w:color w:val="000000"/>
                <w:szCs w:val="21"/>
              </w:rPr>
              <w:sym w:font="Wingdings 2" w:char="0052"/>
            </w:r>
            <w:r>
              <w:rPr>
                <w:szCs w:val="21"/>
              </w:rPr>
              <w:t>新建（迁建）</w:t>
            </w:r>
          </w:p>
          <w:p w14:paraId="772AF108">
            <w:pPr>
              <w:adjustRightInd w:val="0"/>
              <w:snapToGrid w:val="0"/>
              <w:jc w:val="left"/>
              <w:rPr>
                <w:szCs w:val="21"/>
              </w:rPr>
            </w:pPr>
            <w:r>
              <w:rPr>
                <w:color w:val="000000"/>
                <w:szCs w:val="21"/>
              </w:rPr>
              <w:sym w:font="Wingdings 2" w:char="00A3"/>
            </w:r>
            <w:r>
              <w:rPr>
                <w:szCs w:val="21"/>
              </w:rPr>
              <w:t>改建</w:t>
            </w:r>
          </w:p>
          <w:p w14:paraId="46C41C81">
            <w:pPr>
              <w:adjustRightInd w:val="0"/>
              <w:snapToGrid w:val="0"/>
              <w:jc w:val="left"/>
              <w:rPr>
                <w:szCs w:val="21"/>
              </w:rPr>
            </w:pPr>
            <w:r>
              <w:rPr>
                <w:bCs/>
              </w:rPr>
              <w:sym w:font="Wingdings 2" w:char="00A3"/>
            </w:r>
            <w:r>
              <w:rPr>
                <w:szCs w:val="21"/>
              </w:rPr>
              <w:t>扩建</w:t>
            </w:r>
          </w:p>
          <w:p w14:paraId="1873CDF4">
            <w:pPr>
              <w:adjustRightInd w:val="0"/>
              <w:snapToGrid w:val="0"/>
              <w:jc w:val="left"/>
              <w:rPr>
                <w:szCs w:val="21"/>
              </w:rPr>
            </w:pPr>
            <w:r>
              <w:rPr>
                <w:color w:val="000000"/>
                <w:szCs w:val="21"/>
              </w:rPr>
              <w:sym w:font="Wingdings 2" w:char="00A3"/>
            </w:r>
            <w:r>
              <w:rPr>
                <w:szCs w:val="21"/>
              </w:rPr>
              <w:t>技术改造</w:t>
            </w:r>
          </w:p>
        </w:tc>
        <w:tc>
          <w:tcPr>
            <w:tcW w:w="1792" w:type="dxa"/>
            <w:vAlign w:val="center"/>
          </w:tcPr>
          <w:p w14:paraId="6969881B">
            <w:pPr>
              <w:adjustRightInd w:val="0"/>
              <w:snapToGrid w:val="0"/>
              <w:jc w:val="center"/>
              <w:rPr>
                <w:szCs w:val="21"/>
              </w:rPr>
            </w:pPr>
            <w:r>
              <w:rPr>
                <w:szCs w:val="21"/>
              </w:rPr>
              <w:t>建设项目</w:t>
            </w:r>
          </w:p>
          <w:p w14:paraId="1970198E">
            <w:pPr>
              <w:adjustRightInd w:val="0"/>
              <w:snapToGrid w:val="0"/>
              <w:jc w:val="center"/>
              <w:rPr>
                <w:szCs w:val="21"/>
              </w:rPr>
            </w:pPr>
            <w:r>
              <w:rPr>
                <w:szCs w:val="21"/>
              </w:rPr>
              <w:t>申报情形</w:t>
            </w:r>
          </w:p>
        </w:tc>
        <w:tc>
          <w:tcPr>
            <w:tcW w:w="3449" w:type="dxa"/>
            <w:vAlign w:val="center"/>
          </w:tcPr>
          <w:p w14:paraId="34041A8C">
            <w:pPr>
              <w:adjustRightInd w:val="0"/>
              <w:snapToGrid w:val="0"/>
              <w:jc w:val="left"/>
              <w:rPr>
                <w:szCs w:val="21"/>
              </w:rPr>
            </w:pPr>
            <w:r>
              <w:rPr>
                <w:b/>
              </w:rPr>
              <w:sym w:font="Wingdings 2" w:char="0052"/>
            </w:r>
            <w:r>
              <w:rPr>
                <w:szCs w:val="21"/>
              </w:rPr>
              <w:t>首次申报项目</w:t>
            </w:r>
          </w:p>
          <w:p w14:paraId="4A480C26">
            <w:pPr>
              <w:adjustRightInd w:val="0"/>
              <w:snapToGrid w:val="0"/>
              <w:jc w:val="left"/>
              <w:rPr>
                <w:szCs w:val="21"/>
              </w:rPr>
            </w:pPr>
            <w:r>
              <w:rPr>
                <w:color w:val="000000"/>
                <w:szCs w:val="21"/>
              </w:rPr>
              <w:t>□</w:t>
            </w:r>
            <w:r>
              <w:rPr>
                <w:szCs w:val="21"/>
              </w:rPr>
              <w:t>不予批准后再次申报项目</w:t>
            </w:r>
          </w:p>
          <w:p w14:paraId="1137D3D0">
            <w:pPr>
              <w:adjustRightInd w:val="0"/>
              <w:snapToGrid w:val="0"/>
              <w:jc w:val="left"/>
              <w:rPr>
                <w:szCs w:val="21"/>
              </w:rPr>
            </w:pPr>
            <w:r>
              <w:rPr>
                <w:color w:val="000000"/>
                <w:szCs w:val="21"/>
              </w:rPr>
              <w:t>□</w:t>
            </w:r>
            <w:r>
              <w:rPr>
                <w:szCs w:val="21"/>
              </w:rPr>
              <w:t>超五年重新审核项目</w:t>
            </w:r>
          </w:p>
          <w:p w14:paraId="38C23B7B">
            <w:pPr>
              <w:adjustRightInd w:val="0"/>
              <w:snapToGrid w:val="0"/>
              <w:jc w:val="left"/>
              <w:rPr>
                <w:szCs w:val="21"/>
              </w:rPr>
            </w:pPr>
            <w:r>
              <w:rPr>
                <w:color w:val="000000"/>
                <w:szCs w:val="21"/>
              </w:rPr>
              <w:t>□</w:t>
            </w:r>
            <w:r>
              <w:rPr>
                <w:szCs w:val="21"/>
              </w:rPr>
              <w:t>重大变动重新报批项目</w:t>
            </w:r>
          </w:p>
        </w:tc>
      </w:tr>
      <w:tr w14:paraId="2DE626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46" w:type="dxa"/>
            <w:gridSpan w:val="2"/>
            <w:tcMar>
              <w:top w:w="16" w:type="dxa"/>
              <w:left w:w="16" w:type="dxa"/>
              <w:right w:w="16" w:type="dxa"/>
            </w:tcMar>
            <w:vAlign w:val="center"/>
          </w:tcPr>
          <w:p w14:paraId="3DE0C74E">
            <w:pPr>
              <w:adjustRightInd w:val="0"/>
              <w:snapToGrid w:val="0"/>
              <w:jc w:val="center"/>
              <w:rPr>
                <w:szCs w:val="21"/>
              </w:rPr>
            </w:pPr>
            <w:r>
              <w:rPr>
                <w:szCs w:val="21"/>
              </w:rPr>
              <w:t>项目审批（核准/</w:t>
            </w:r>
          </w:p>
          <w:p w14:paraId="401B3D08">
            <w:pPr>
              <w:adjustRightInd w:val="0"/>
              <w:snapToGrid w:val="0"/>
              <w:jc w:val="center"/>
              <w:rPr>
                <w:szCs w:val="21"/>
              </w:rPr>
            </w:pPr>
            <w:r>
              <w:rPr>
                <w:szCs w:val="21"/>
              </w:rPr>
              <w:t>备案）部门（选填）</w:t>
            </w:r>
          </w:p>
        </w:tc>
        <w:tc>
          <w:tcPr>
            <w:tcW w:w="2283" w:type="dxa"/>
            <w:vAlign w:val="center"/>
          </w:tcPr>
          <w:p w14:paraId="2E096D01">
            <w:pPr>
              <w:adjustRightInd w:val="0"/>
              <w:snapToGrid w:val="0"/>
              <w:jc w:val="center"/>
              <w:rPr>
                <w:szCs w:val="21"/>
              </w:rPr>
            </w:pPr>
            <w:r>
              <w:rPr>
                <w:rFonts w:hint="eastAsia"/>
                <w:szCs w:val="21"/>
                <w:lang w:val="en-US" w:eastAsia="zh-CN"/>
              </w:rPr>
              <w:t>汤阴</w:t>
            </w:r>
            <w:r>
              <w:rPr>
                <w:rFonts w:hint="eastAsia"/>
                <w:szCs w:val="21"/>
              </w:rPr>
              <w:t>县发展和改革委员会</w:t>
            </w:r>
          </w:p>
        </w:tc>
        <w:tc>
          <w:tcPr>
            <w:tcW w:w="1792" w:type="dxa"/>
            <w:vAlign w:val="center"/>
          </w:tcPr>
          <w:p w14:paraId="71438F3D">
            <w:pPr>
              <w:adjustRightInd w:val="0"/>
              <w:snapToGrid w:val="0"/>
              <w:jc w:val="center"/>
              <w:rPr>
                <w:szCs w:val="21"/>
              </w:rPr>
            </w:pPr>
            <w:r>
              <w:rPr>
                <w:szCs w:val="21"/>
              </w:rPr>
              <w:t>项目审批（核准/</w:t>
            </w:r>
          </w:p>
          <w:p w14:paraId="59DC8D84">
            <w:pPr>
              <w:adjustRightInd w:val="0"/>
              <w:snapToGrid w:val="0"/>
              <w:jc w:val="center"/>
              <w:rPr>
                <w:szCs w:val="21"/>
              </w:rPr>
            </w:pPr>
            <w:r>
              <w:rPr>
                <w:szCs w:val="21"/>
              </w:rPr>
              <w:t>备案）文号（选填）</w:t>
            </w:r>
          </w:p>
        </w:tc>
        <w:tc>
          <w:tcPr>
            <w:tcW w:w="3449" w:type="dxa"/>
            <w:vAlign w:val="center"/>
          </w:tcPr>
          <w:p w14:paraId="2B9B9F34">
            <w:pPr>
              <w:adjustRightInd w:val="0"/>
              <w:snapToGrid w:val="0"/>
              <w:jc w:val="center"/>
              <w:rPr>
                <w:szCs w:val="21"/>
              </w:rPr>
            </w:pPr>
            <w:r>
              <w:rPr>
                <w:rFonts w:hint="eastAsia"/>
                <w:szCs w:val="21"/>
              </w:rPr>
              <w:t>2</w:t>
            </w:r>
            <w:r>
              <w:rPr>
                <w:rFonts w:hint="eastAsia"/>
                <w:szCs w:val="21"/>
                <w:lang w:val="en-US" w:eastAsia="zh-CN"/>
              </w:rPr>
              <w:t>601</w:t>
            </w:r>
            <w:r>
              <w:rPr>
                <w:rFonts w:hint="eastAsia"/>
                <w:szCs w:val="21"/>
              </w:rPr>
              <w:t>-4105</w:t>
            </w:r>
            <w:r>
              <w:rPr>
                <w:rFonts w:hint="eastAsia"/>
                <w:szCs w:val="21"/>
                <w:lang w:val="en-US" w:eastAsia="zh-CN"/>
              </w:rPr>
              <w:t>23</w:t>
            </w:r>
            <w:r>
              <w:rPr>
                <w:rFonts w:hint="eastAsia"/>
                <w:szCs w:val="21"/>
              </w:rPr>
              <w:t>-04-0</w:t>
            </w:r>
            <w:r>
              <w:rPr>
                <w:rFonts w:hint="eastAsia"/>
                <w:szCs w:val="21"/>
                <w:lang w:val="en-US" w:eastAsia="zh-CN"/>
              </w:rPr>
              <w:t>1</w:t>
            </w:r>
            <w:r>
              <w:rPr>
                <w:rFonts w:hint="eastAsia"/>
                <w:szCs w:val="21"/>
              </w:rPr>
              <w:t>-</w:t>
            </w:r>
            <w:r>
              <w:rPr>
                <w:rFonts w:hint="eastAsia"/>
                <w:szCs w:val="21"/>
                <w:lang w:val="en-US" w:eastAsia="zh-CN"/>
              </w:rPr>
              <w:t>515366</w:t>
            </w:r>
          </w:p>
        </w:tc>
      </w:tr>
      <w:tr w14:paraId="2F8F49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46" w:type="dxa"/>
            <w:gridSpan w:val="2"/>
            <w:tcMar>
              <w:top w:w="16" w:type="dxa"/>
              <w:left w:w="16" w:type="dxa"/>
              <w:right w:w="16" w:type="dxa"/>
            </w:tcMar>
            <w:vAlign w:val="center"/>
          </w:tcPr>
          <w:p w14:paraId="79E37EC1">
            <w:pPr>
              <w:adjustRightInd w:val="0"/>
              <w:snapToGrid w:val="0"/>
              <w:jc w:val="center"/>
              <w:rPr>
                <w:szCs w:val="21"/>
              </w:rPr>
            </w:pPr>
            <w:r>
              <w:rPr>
                <w:szCs w:val="21"/>
              </w:rPr>
              <w:t>总投资（万元）</w:t>
            </w:r>
          </w:p>
        </w:tc>
        <w:tc>
          <w:tcPr>
            <w:tcW w:w="2283" w:type="dxa"/>
            <w:vAlign w:val="center"/>
          </w:tcPr>
          <w:p w14:paraId="08E921C0">
            <w:pPr>
              <w:adjustRightInd w:val="0"/>
              <w:snapToGrid w:val="0"/>
              <w:jc w:val="center"/>
              <w:rPr>
                <w:rFonts w:hint="default" w:eastAsia="宋体"/>
                <w:szCs w:val="21"/>
                <w:lang w:val="en-US" w:eastAsia="zh-CN"/>
              </w:rPr>
            </w:pPr>
            <w:r>
              <w:rPr>
                <w:rFonts w:hint="eastAsia"/>
                <w:szCs w:val="21"/>
                <w:lang w:val="en-US" w:eastAsia="zh-CN"/>
              </w:rPr>
              <w:t>2000</w:t>
            </w:r>
          </w:p>
        </w:tc>
        <w:tc>
          <w:tcPr>
            <w:tcW w:w="1792" w:type="dxa"/>
            <w:tcMar>
              <w:top w:w="16" w:type="dxa"/>
              <w:left w:w="16" w:type="dxa"/>
              <w:right w:w="16" w:type="dxa"/>
            </w:tcMar>
            <w:vAlign w:val="center"/>
          </w:tcPr>
          <w:p w14:paraId="35026E7F">
            <w:pPr>
              <w:adjustRightInd w:val="0"/>
              <w:snapToGrid w:val="0"/>
              <w:jc w:val="center"/>
              <w:rPr>
                <w:szCs w:val="21"/>
              </w:rPr>
            </w:pPr>
            <w:r>
              <w:rPr>
                <w:szCs w:val="21"/>
              </w:rPr>
              <w:t>环保投资（万元）</w:t>
            </w:r>
          </w:p>
        </w:tc>
        <w:tc>
          <w:tcPr>
            <w:tcW w:w="3449" w:type="dxa"/>
            <w:vAlign w:val="center"/>
          </w:tcPr>
          <w:p w14:paraId="2BEA066B">
            <w:pPr>
              <w:adjustRightInd w:val="0"/>
              <w:snapToGrid w:val="0"/>
              <w:jc w:val="center"/>
              <w:rPr>
                <w:rFonts w:hint="default" w:eastAsia="宋体"/>
                <w:szCs w:val="21"/>
                <w:lang w:val="en-US" w:eastAsia="zh-CN"/>
              </w:rPr>
            </w:pPr>
            <w:r>
              <w:rPr>
                <w:rFonts w:hint="eastAsia"/>
                <w:szCs w:val="21"/>
                <w:lang w:val="en-US" w:eastAsia="zh-CN"/>
              </w:rPr>
              <w:t>60</w:t>
            </w:r>
          </w:p>
        </w:tc>
      </w:tr>
      <w:tr w14:paraId="54C07B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46" w:type="dxa"/>
            <w:gridSpan w:val="2"/>
            <w:tcMar>
              <w:top w:w="16" w:type="dxa"/>
              <w:left w:w="16" w:type="dxa"/>
              <w:right w:w="16" w:type="dxa"/>
            </w:tcMar>
            <w:vAlign w:val="center"/>
          </w:tcPr>
          <w:p w14:paraId="6FE93AB1">
            <w:pPr>
              <w:adjustRightInd w:val="0"/>
              <w:snapToGrid w:val="0"/>
              <w:jc w:val="center"/>
              <w:rPr>
                <w:szCs w:val="21"/>
              </w:rPr>
            </w:pPr>
            <w:r>
              <w:rPr>
                <w:szCs w:val="21"/>
              </w:rPr>
              <w:t>环保投资占比（%）</w:t>
            </w:r>
          </w:p>
        </w:tc>
        <w:tc>
          <w:tcPr>
            <w:tcW w:w="2283" w:type="dxa"/>
            <w:vAlign w:val="center"/>
          </w:tcPr>
          <w:p w14:paraId="4AFBBD9A">
            <w:pPr>
              <w:adjustRightInd w:val="0"/>
              <w:snapToGrid w:val="0"/>
              <w:jc w:val="center"/>
              <w:rPr>
                <w:rFonts w:hint="default" w:eastAsia="宋体"/>
                <w:szCs w:val="21"/>
                <w:lang w:val="en-US" w:eastAsia="zh-CN"/>
              </w:rPr>
            </w:pPr>
            <w:r>
              <w:rPr>
                <w:rFonts w:hint="eastAsia"/>
                <w:szCs w:val="21"/>
                <w:lang w:val="en-US" w:eastAsia="zh-CN"/>
              </w:rPr>
              <w:t>3</w:t>
            </w:r>
          </w:p>
        </w:tc>
        <w:tc>
          <w:tcPr>
            <w:tcW w:w="1792" w:type="dxa"/>
            <w:tcMar>
              <w:top w:w="16" w:type="dxa"/>
              <w:left w:w="16" w:type="dxa"/>
              <w:right w:w="16" w:type="dxa"/>
            </w:tcMar>
            <w:vAlign w:val="center"/>
          </w:tcPr>
          <w:p w14:paraId="366D63D3">
            <w:pPr>
              <w:adjustRightInd w:val="0"/>
              <w:snapToGrid w:val="0"/>
              <w:jc w:val="center"/>
              <w:rPr>
                <w:szCs w:val="21"/>
              </w:rPr>
            </w:pPr>
            <w:r>
              <w:rPr>
                <w:szCs w:val="21"/>
              </w:rPr>
              <w:t>施工工期</w:t>
            </w:r>
          </w:p>
        </w:tc>
        <w:tc>
          <w:tcPr>
            <w:tcW w:w="3449" w:type="dxa"/>
            <w:vAlign w:val="center"/>
          </w:tcPr>
          <w:p w14:paraId="21093FA9">
            <w:pPr>
              <w:adjustRightInd w:val="0"/>
              <w:snapToGrid w:val="0"/>
              <w:jc w:val="center"/>
              <w:rPr>
                <w:szCs w:val="21"/>
              </w:rPr>
            </w:pPr>
            <w:r>
              <w:rPr>
                <w:rFonts w:hint="eastAsia"/>
                <w:szCs w:val="21"/>
                <w:lang w:val="en-US" w:eastAsia="zh-CN"/>
              </w:rPr>
              <w:t>6</w:t>
            </w:r>
            <w:r>
              <w:rPr>
                <w:rFonts w:hint="eastAsia"/>
                <w:szCs w:val="21"/>
              </w:rPr>
              <w:t>个月</w:t>
            </w:r>
          </w:p>
        </w:tc>
      </w:tr>
      <w:tr w14:paraId="137897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346" w:type="dxa"/>
            <w:gridSpan w:val="2"/>
            <w:tcMar>
              <w:top w:w="16" w:type="dxa"/>
              <w:left w:w="16" w:type="dxa"/>
              <w:right w:w="16" w:type="dxa"/>
            </w:tcMar>
            <w:vAlign w:val="center"/>
          </w:tcPr>
          <w:p w14:paraId="0F154D20">
            <w:pPr>
              <w:adjustRightInd w:val="0"/>
              <w:snapToGrid w:val="0"/>
              <w:jc w:val="center"/>
              <w:rPr>
                <w:szCs w:val="21"/>
              </w:rPr>
            </w:pPr>
            <w:r>
              <w:rPr>
                <w:szCs w:val="21"/>
              </w:rPr>
              <w:t>是否开工建设</w:t>
            </w:r>
          </w:p>
        </w:tc>
        <w:tc>
          <w:tcPr>
            <w:tcW w:w="2283" w:type="dxa"/>
            <w:vAlign w:val="center"/>
          </w:tcPr>
          <w:p w14:paraId="17D6A4AE">
            <w:pPr>
              <w:adjustRightInd w:val="0"/>
              <w:snapToGrid w:val="0"/>
              <w:rPr>
                <w:szCs w:val="21"/>
              </w:rPr>
            </w:pPr>
            <w:r>
              <w:rPr>
                <w:color w:val="000000"/>
                <w:szCs w:val="21"/>
              </w:rPr>
              <w:sym w:font="Wingdings 2" w:char="0052"/>
            </w:r>
            <w:r>
              <w:rPr>
                <w:szCs w:val="21"/>
              </w:rPr>
              <w:t>否</w:t>
            </w:r>
          </w:p>
          <w:p w14:paraId="7FE33DC6">
            <w:pPr>
              <w:adjustRightInd w:val="0"/>
              <w:snapToGrid w:val="0"/>
              <w:rPr>
                <w:szCs w:val="21"/>
              </w:rPr>
            </w:pPr>
            <w:r>
              <w:rPr>
                <w:color w:val="000000"/>
                <w:szCs w:val="21"/>
              </w:rPr>
              <w:sym w:font="Wingdings 2" w:char="00A3"/>
            </w:r>
            <w:r>
              <w:rPr>
                <w:szCs w:val="21"/>
              </w:rPr>
              <w:t>是：</w:t>
            </w:r>
            <w:r>
              <w:rPr>
                <w:szCs w:val="21"/>
                <w:u w:val="single"/>
              </w:rPr>
              <w:t xml:space="preserve">         </w:t>
            </w:r>
          </w:p>
        </w:tc>
        <w:tc>
          <w:tcPr>
            <w:tcW w:w="1792" w:type="dxa"/>
            <w:tcMar>
              <w:top w:w="16" w:type="dxa"/>
              <w:left w:w="16" w:type="dxa"/>
              <w:right w:w="16" w:type="dxa"/>
            </w:tcMar>
            <w:vAlign w:val="center"/>
          </w:tcPr>
          <w:p w14:paraId="6FAAF570">
            <w:pPr>
              <w:adjustRightInd w:val="0"/>
              <w:snapToGrid w:val="0"/>
              <w:jc w:val="center"/>
              <w:rPr>
                <w:spacing w:val="-6"/>
                <w:szCs w:val="21"/>
              </w:rPr>
            </w:pPr>
            <w:r>
              <w:rPr>
                <w:spacing w:val="-6"/>
                <w:szCs w:val="21"/>
              </w:rPr>
              <w:t>用地（用海）</w:t>
            </w:r>
          </w:p>
          <w:p w14:paraId="49097ADA">
            <w:pPr>
              <w:adjustRightInd w:val="0"/>
              <w:snapToGrid w:val="0"/>
              <w:jc w:val="center"/>
              <w:rPr>
                <w:szCs w:val="21"/>
              </w:rPr>
            </w:pPr>
            <w:r>
              <w:rPr>
                <w:spacing w:val="-6"/>
                <w:szCs w:val="21"/>
              </w:rPr>
              <w:t>面积（m</w:t>
            </w:r>
            <w:r>
              <w:rPr>
                <w:spacing w:val="-6"/>
                <w:szCs w:val="21"/>
                <w:vertAlign w:val="superscript"/>
              </w:rPr>
              <w:t>2</w:t>
            </w:r>
            <w:r>
              <w:rPr>
                <w:spacing w:val="-6"/>
                <w:szCs w:val="21"/>
              </w:rPr>
              <w:t>）</w:t>
            </w:r>
          </w:p>
        </w:tc>
        <w:tc>
          <w:tcPr>
            <w:tcW w:w="3449" w:type="dxa"/>
            <w:vAlign w:val="center"/>
          </w:tcPr>
          <w:p w14:paraId="558A888D">
            <w:pPr>
              <w:adjustRightInd w:val="0"/>
              <w:snapToGrid w:val="0"/>
              <w:jc w:val="center"/>
              <w:rPr>
                <w:rFonts w:hint="default" w:eastAsia="宋体"/>
                <w:szCs w:val="21"/>
                <w:lang w:val="en-US" w:eastAsia="zh-CN"/>
              </w:rPr>
            </w:pPr>
            <w:r>
              <w:rPr>
                <w:rFonts w:hint="eastAsia"/>
                <w:szCs w:val="21"/>
                <w:lang w:val="en-US" w:eastAsia="zh-CN"/>
              </w:rPr>
              <w:t>3000</w:t>
            </w:r>
          </w:p>
        </w:tc>
      </w:tr>
      <w:tr w14:paraId="128BD8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346" w:type="dxa"/>
            <w:gridSpan w:val="2"/>
            <w:vAlign w:val="center"/>
          </w:tcPr>
          <w:p w14:paraId="2CD840A6">
            <w:pPr>
              <w:autoSpaceDE w:val="0"/>
              <w:autoSpaceDN w:val="0"/>
              <w:adjustRightInd w:val="0"/>
              <w:snapToGrid w:val="0"/>
              <w:jc w:val="center"/>
              <w:rPr>
                <w:kern w:val="0"/>
                <w:szCs w:val="21"/>
              </w:rPr>
            </w:pPr>
            <w:r>
              <w:rPr>
                <w:kern w:val="0"/>
                <w:szCs w:val="21"/>
              </w:rPr>
              <w:t>专项评价设置情况</w:t>
            </w:r>
          </w:p>
        </w:tc>
        <w:tc>
          <w:tcPr>
            <w:tcW w:w="7524" w:type="dxa"/>
            <w:gridSpan w:val="3"/>
            <w:vAlign w:val="center"/>
          </w:tcPr>
          <w:p w14:paraId="421B19CC">
            <w:pPr>
              <w:pStyle w:val="104"/>
              <w:rPr>
                <w:rFonts w:hAnsi="Times New Roman"/>
              </w:rPr>
            </w:pPr>
            <w:r>
              <w:rPr>
                <w:rFonts w:hAnsi="Times New Roman"/>
              </w:rPr>
              <w:t>根据建设项目排污情况及所涉环境敏感程度，结合《建设项目环境影响报告表</w:t>
            </w:r>
            <w:r>
              <w:rPr>
                <w:rFonts w:hint="eastAsia" w:hAnsi="Times New Roman"/>
                <w:lang w:eastAsia="zh-CN"/>
              </w:rPr>
              <w:t>编织</w:t>
            </w:r>
            <w:r>
              <w:rPr>
                <w:rFonts w:hAnsi="Times New Roman"/>
              </w:rPr>
              <w:t>技术指南（污染影响类）（试行）》表1专项评价设置原则表，本项目不需要设置专项评价。</w:t>
            </w:r>
          </w:p>
        </w:tc>
      </w:tr>
      <w:tr w14:paraId="21AE62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1346" w:type="dxa"/>
            <w:gridSpan w:val="2"/>
            <w:vAlign w:val="center"/>
          </w:tcPr>
          <w:p w14:paraId="247B9BFF">
            <w:pPr>
              <w:autoSpaceDE w:val="0"/>
              <w:autoSpaceDN w:val="0"/>
              <w:adjustRightInd w:val="0"/>
              <w:snapToGrid w:val="0"/>
              <w:jc w:val="center"/>
              <w:rPr>
                <w:kern w:val="0"/>
                <w:szCs w:val="21"/>
              </w:rPr>
            </w:pPr>
            <w:r>
              <w:rPr>
                <w:szCs w:val="21"/>
              </w:rPr>
              <w:t>规划情况</w:t>
            </w:r>
          </w:p>
        </w:tc>
        <w:tc>
          <w:tcPr>
            <w:tcW w:w="7524" w:type="dxa"/>
            <w:gridSpan w:val="3"/>
            <w:vAlign w:val="center"/>
          </w:tcPr>
          <w:p w14:paraId="4609BCA3">
            <w:pPr>
              <w:pStyle w:val="104"/>
              <w:jc w:val="left"/>
              <w:rPr>
                <w:rFonts w:hAnsi="Times New Roman"/>
                <w:lang w:val="zh-CN"/>
              </w:rPr>
            </w:pPr>
            <w:r>
              <w:rPr>
                <w:rFonts w:hint="eastAsia" w:hAnsi="Times New Roman"/>
                <w:lang w:val="zh-CN"/>
              </w:rPr>
              <w:t>规划名称：</w:t>
            </w:r>
            <w:r>
              <w:rPr>
                <w:rFonts w:hAnsi="Times New Roman"/>
                <w:lang w:val="zh-CN"/>
              </w:rPr>
              <w:t>《汤阴县新型材料产业园</w:t>
            </w:r>
            <w:r>
              <w:rPr>
                <w:rFonts w:hint="eastAsia" w:hAnsi="Times New Roman"/>
                <w:lang w:val="zh-CN"/>
              </w:rPr>
              <w:t>区总体发展规划（2011~2020）</w:t>
            </w:r>
            <w:r>
              <w:rPr>
                <w:rFonts w:hAnsi="Times New Roman"/>
                <w:lang w:val="zh-CN"/>
              </w:rPr>
              <w:t>》</w:t>
            </w:r>
            <w:r>
              <w:rPr>
                <w:rFonts w:hint="eastAsia" w:hAnsi="Times New Roman"/>
                <w:lang w:val="zh-CN"/>
              </w:rPr>
              <w:t>；</w:t>
            </w:r>
          </w:p>
          <w:p w14:paraId="3732E0DF">
            <w:pPr>
              <w:pStyle w:val="104"/>
              <w:jc w:val="left"/>
              <w:rPr>
                <w:rFonts w:hint="eastAsia" w:hAnsi="Times New Roman"/>
                <w:lang w:val="zh-CN"/>
              </w:rPr>
            </w:pPr>
            <w:r>
              <w:rPr>
                <w:rFonts w:hint="eastAsia" w:hAnsi="Times New Roman"/>
                <w:lang w:val="zh-CN"/>
              </w:rPr>
              <w:t>审批机关：</w:t>
            </w:r>
            <w:r>
              <w:rPr>
                <w:rFonts w:hAnsi="Times New Roman"/>
                <w:lang w:val="zh-CN"/>
              </w:rPr>
              <w:t>安阳市发展和</w:t>
            </w:r>
            <w:r>
              <w:rPr>
                <w:rFonts w:hint="eastAsia" w:hAnsi="Times New Roman"/>
                <w:lang w:val="zh-CN"/>
              </w:rPr>
              <w:t>改革</w:t>
            </w:r>
            <w:r>
              <w:rPr>
                <w:rFonts w:hAnsi="Times New Roman"/>
                <w:lang w:val="zh-CN"/>
              </w:rPr>
              <w:t>委员会</w:t>
            </w:r>
            <w:r>
              <w:rPr>
                <w:rFonts w:hint="eastAsia" w:hAnsi="Times New Roman"/>
                <w:lang w:val="zh-CN"/>
              </w:rPr>
              <w:t>；</w:t>
            </w:r>
          </w:p>
          <w:p w14:paraId="4A1D5CF9">
            <w:pPr>
              <w:pStyle w:val="104"/>
              <w:jc w:val="left"/>
              <w:rPr>
                <w:rFonts w:hAnsi="Times New Roman"/>
                <w:lang w:val="zh-CN"/>
              </w:rPr>
            </w:pPr>
            <w:r>
              <w:rPr>
                <w:rFonts w:hint="eastAsia" w:hAnsi="Times New Roman"/>
                <w:lang w:val="zh-CN"/>
              </w:rPr>
              <w:t>审批文件名称及文号：</w:t>
            </w:r>
            <w:r>
              <w:rPr>
                <w:rFonts w:hAnsi="Times New Roman"/>
                <w:lang w:val="zh-CN"/>
              </w:rPr>
              <w:t>《关于汤阴县新型材料产业园</w:t>
            </w:r>
            <w:r>
              <w:rPr>
                <w:rFonts w:hint="eastAsia" w:hAnsi="Times New Roman"/>
                <w:lang w:val="zh-CN"/>
              </w:rPr>
              <w:t>区</w:t>
            </w:r>
            <w:r>
              <w:rPr>
                <w:rFonts w:hAnsi="Times New Roman"/>
                <w:lang w:val="zh-CN"/>
              </w:rPr>
              <w:t>发展规划的批复》</w:t>
            </w:r>
            <w:r>
              <w:rPr>
                <w:rFonts w:hint="eastAsia" w:hAnsi="Times New Roman"/>
                <w:lang w:val="zh-CN"/>
              </w:rPr>
              <w:t>（</w:t>
            </w:r>
            <w:r>
              <w:rPr>
                <w:rFonts w:hAnsi="Times New Roman"/>
                <w:lang w:val="zh-CN"/>
              </w:rPr>
              <w:t>安发改工业﹝2012﹞724号</w:t>
            </w:r>
            <w:r>
              <w:rPr>
                <w:rFonts w:hint="eastAsia" w:hAnsi="Times New Roman"/>
                <w:lang w:val="zh-CN"/>
              </w:rPr>
              <w:t>）。</w:t>
            </w:r>
          </w:p>
        </w:tc>
      </w:tr>
      <w:tr w14:paraId="30CA2F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1346" w:type="dxa"/>
            <w:gridSpan w:val="2"/>
            <w:vAlign w:val="center"/>
          </w:tcPr>
          <w:p w14:paraId="7BD6AB4C">
            <w:pPr>
              <w:adjustRightInd w:val="0"/>
              <w:snapToGrid w:val="0"/>
              <w:jc w:val="center"/>
              <w:rPr>
                <w:kern w:val="0"/>
                <w:szCs w:val="21"/>
              </w:rPr>
            </w:pPr>
            <w:r>
              <w:rPr>
                <w:szCs w:val="21"/>
              </w:rPr>
              <w:t>规划环境影响评价情况</w:t>
            </w:r>
          </w:p>
        </w:tc>
        <w:tc>
          <w:tcPr>
            <w:tcW w:w="7524" w:type="dxa"/>
            <w:gridSpan w:val="3"/>
            <w:vAlign w:val="center"/>
          </w:tcPr>
          <w:p w14:paraId="1A491FB7">
            <w:pPr>
              <w:pStyle w:val="257"/>
              <w:jc w:val="left"/>
              <w:rPr>
                <w:rFonts w:hint="eastAsia" w:hAnsi="Times New Roman"/>
                <w:kern w:val="0"/>
              </w:rPr>
            </w:pPr>
            <w:r>
              <w:rPr>
                <w:rFonts w:hint="eastAsia" w:hAnsi="Times New Roman"/>
                <w:kern w:val="0"/>
              </w:rPr>
              <w:t>规划环境影响评价文件：《汤阴县新型材料产业园区总体发展规划（2011~2020）》；</w:t>
            </w:r>
          </w:p>
          <w:p w14:paraId="32129AA1">
            <w:pPr>
              <w:pStyle w:val="257"/>
              <w:jc w:val="left"/>
              <w:rPr>
                <w:rFonts w:hint="eastAsia" w:hAnsi="Times New Roman"/>
                <w:kern w:val="0"/>
              </w:rPr>
            </w:pPr>
            <w:r>
              <w:rPr>
                <w:rFonts w:hint="eastAsia" w:hAnsi="Times New Roman"/>
                <w:kern w:val="0"/>
              </w:rPr>
              <w:t>审批机关：原安阳市环境保护局；</w:t>
            </w:r>
          </w:p>
          <w:p w14:paraId="52ECD520">
            <w:pPr>
              <w:pStyle w:val="257"/>
              <w:jc w:val="left"/>
            </w:pPr>
            <w:r>
              <w:rPr>
                <w:rFonts w:hint="eastAsia" w:hAnsi="Times New Roman"/>
                <w:kern w:val="0"/>
              </w:rPr>
              <w:t>审查文件名称及文号：《汤阴县新型材料产业园区总体发展规划（2011-2020）环境影响报告书审查小组意见》，原则同意通过该《报告书》，无文号。</w:t>
            </w:r>
          </w:p>
        </w:tc>
      </w:tr>
      <w:tr w14:paraId="077DC2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vAlign w:val="center"/>
          </w:tcPr>
          <w:p w14:paraId="18B171F1">
            <w:pPr>
              <w:autoSpaceDE w:val="0"/>
              <w:autoSpaceDN w:val="0"/>
              <w:adjustRightInd w:val="0"/>
              <w:snapToGrid w:val="0"/>
              <w:jc w:val="center"/>
              <w:rPr>
                <w:kern w:val="0"/>
                <w:szCs w:val="21"/>
              </w:rPr>
            </w:pPr>
            <w:r>
              <w:rPr>
                <w:kern w:val="0"/>
                <w:szCs w:val="21"/>
              </w:rPr>
              <w:t>规划及规划环境</w:t>
            </w:r>
          </w:p>
          <w:p w14:paraId="20EF8B73">
            <w:pPr>
              <w:autoSpaceDE w:val="0"/>
              <w:autoSpaceDN w:val="0"/>
              <w:adjustRightInd w:val="0"/>
              <w:snapToGrid w:val="0"/>
              <w:jc w:val="center"/>
              <w:rPr>
                <w:kern w:val="0"/>
                <w:szCs w:val="21"/>
              </w:rPr>
            </w:pPr>
            <w:r>
              <w:rPr>
                <w:kern w:val="0"/>
                <w:szCs w:val="21"/>
              </w:rPr>
              <w:t>影响评价符合性分析</w:t>
            </w:r>
          </w:p>
        </w:tc>
        <w:tc>
          <w:tcPr>
            <w:tcW w:w="8438" w:type="dxa"/>
            <w:gridSpan w:val="4"/>
            <w:vAlign w:val="center"/>
          </w:tcPr>
          <w:p w14:paraId="77C6DD14">
            <w:pPr>
              <w:autoSpaceDE w:val="0"/>
              <w:autoSpaceDN w:val="0"/>
              <w:adjustRightInd w:val="0"/>
              <w:snapToGrid w:val="0"/>
              <w:spacing w:line="360" w:lineRule="auto"/>
              <w:ind w:firstLine="480" w:firstLineChars="200"/>
              <w:rPr>
                <w:kern w:val="0"/>
                <w:sz w:val="24"/>
              </w:rPr>
            </w:pPr>
            <w:r>
              <w:rPr>
                <w:rFonts w:hint="eastAsia"/>
                <w:kern w:val="0"/>
                <w:sz w:val="24"/>
              </w:rPr>
              <w:t>1、汤阴县新型材料产业园相符性分析</w:t>
            </w:r>
          </w:p>
          <w:p w14:paraId="3B067838">
            <w:pPr>
              <w:autoSpaceDE w:val="0"/>
              <w:autoSpaceDN w:val="0"/>
              <w:adjustRightInd w:val="0"/>
              <w:snapToGrid w:val="0"/>
              <w:spacing w:line="360" w:lineRule="auto"/>
              <w:ind w:firstLine="480" w:firstLineChars="200"/>
              <w:rPr>
                <w:kern w:val="0"/>
                <w:sz w:val="24"/>
              </w:rPr>
            </w:pPr>
            <w:r>
              <w:rPr>
                <w:rFonts w:hint="eastAsia"/>
                <w:kern w:val="0"/>
                <w:sz w:val="24"/>
              </w:rPr>
              <w:t>（1）规划概述</w:t>
            </w:r>
          </w:p>
          <w:p w14:paraId="44E1B7AB">
            <w:pPr>
              <w:autoSpaceDE w:val="0"/>
              <w:autoSpaceDN w:val="0"/>
              <w:adjustRightInd w:val="0"/>
              <w:snapToGrid w:val="0"/>
              <w:spacing w:line="360" w:lineRule="auto"/>
              <w:ind w:firstLine="480" w:firstLineChars="200"/>
              <w:rPr>
                <w:rFonts w:hint="eastAsia"/>
                <w:kern w:val="0"/>
                <w:sz w:val="24"/>
              </w:rPr>
            </w:pPr>
            <w:r>
              <w:rPr>
                <w:rFonts w:hint="eastAsia"/>
                <w:kern w:val="0"/>
                <w:sz w:val="24"/>
              </w:rPr>
              <w:t>规划期限：2012-2020年，近期为2012-2015年，远期为2016-2020年。</w:t>
            </w:r>
          </w:p>
          <w:p w14:paraId="74611A0A">
            <w:pPr>
              <w:autoSpaceDE w:val="0"/>
              <w:autoSpaceDN w:val="0"/>
              <w:adjustRightInd w:val="0"/>
              <w:snapToGrid w:val="0"/>
              <w:spacing w:line="360" w:lineRule="auto"/>
              <w:ind w:firstLine="480" w:firstLineChars="200"/>
              <w:rPr>
                <w:kern w:val="0"/>
                <w:sz w:val="24"/>
              </w:rPr>
            </w:pPr>
            <w:r>
              <w:rPr>
                <w:rFonts w:hint="eastAsia"/>
                <w:kern w:val="0"/>
                <w:sz w:val="24"/>
              </w:rPr>
              <w:t>规划地理位置及面积：汤阴县新型材料产业园区位于汤阴县古贤镇西部，北邻汤河，南跨S302线至前路村北，西至规划的西外环路，东至规划的福盛路。园区涉及古贤镇的古贤、河岸、大朱庄、小朱庄、前路、后路等6个村庄和白营镇胡营村的部分土地，规划用地面积3.66平方公里。</w:t>
            </w:r>
          </w:p>
          <w:p w14:paraId="7E7A4435">
            <w:pPr>
              <w:autoSpaceDE w:val="0"/>
              <w:autoSpaceDN w:val="0"/>
              <w:adjustRightInd w:val="0"/>
              <w:snapToGrid w:val="0"/>
              <w:spacing w:line="360" w:lineRule="auto"/>
              <w:ind w:firstLine="480" w:firstLineChars="200"/>
              <w:rPr>
                <w:rFonts w:hint="eastAsia"/>
                <w:kern w:val="0"/>
                <w:sz w:val="24"/>
              </w:rPr>
            </w:pPr>
            <w:r>
              <w:rPr>
                <w:rFonts w:hint="eastAsia"/>
                <w:kern w:val="0"/>
                <w:sz w:val="24"/>
              </w:rPr>
              <w:t>（2）产业园区发展定位</w:t>
            </w:r>
          </w:p>
          <w:p w14:paraId="0E154D79">
            <w:pPr>
              <w:autoSpaceDE w:val="0"/>
              <w:autoSpaceDN w:val="0"/>
              <w:adjustRightInd w:val="0"/>
              <w:snapToGrid w:val="0"/>
              <w:spacing w:line="360" w:lineRule="auto"/>
              <w:ind w:firstLine="480" w:firstLineChars="200"/>
              <w:rPr>
                <w:rFonts w:hint="eastAsia"/>
                <w:kern w:val="0"/>
                <w:sz w:val="24"/>
              </w:rPr>
            </w:pPr>
            <w:r>
              <w:rPr>
                <w:rFonts w:hint="eastAsia"/>
                <w:kern w:val="0"/>
                <w:sz w:val="24"/>
              </w:rPr>
              <w:t>汤阴县新型材料产业园区的发展定位是：新型材料产业基地和木业精深加工产业基地。</w:t>
            </w:r>
          </w:p>
          <w:p w14:paraId="3F3FD554">
            <w:pPr>
              <w:autoSpaceDE w:val="0"/>
              <w:autoSpaceDN w:val="0"/>
              <w:adjustRightInd w:val="0"/>
              <w:snapToGrid w:val="0"/>
              <w:spacing w:line="360" w:lineRule="auto"/>
              <w:ind w:firstLine="480" w:firstLineChars="200"/>
              <w:rPr>
                <w:kern w:val="0"/>
                <w:sz w:val="24"/>
              </w:rPr>
            </w:pPr>
            <w:r>
              <w:rPr>
                <w:rFonts w:hint="eastAsia"/>
                <w:kern w:val="0"/>
                <w:sz w:val="24"/>
              </w:rPr>
              <w:t>（3）主导产业</w:t>
            </w:r>
          </w:p>
          <w:p w14:paraId="5E65A505">
            <w:pPr>
              <w:autoSpaceDE w:val="0"/>
              <w:autoSpaceDN w:val="0"/>
              <w:adjustRightInd w:val="0"/>
              <w:snapToGrid w:val="0"/>
              <w:spacing w:line="360" w:lineRule="auto"/>
              <w:ind w:firstLine="480" w:firstLineChars="200"/>
              <w:rPr>
                <w:kern w:val="0"/>
                <w:sz w:val="24"/>
              </w:rPr>
            </w:pPr>
            <w:r>
              <w:rPr>
                <w:rFonts w:hint="eastAsia"/>
                <w:kern w:val="0"/>
                <w:sz w:val="24"/>
              </w:rPr>
              <w:t>主导产业为新型材料产业和木材精深加工产业两大产业。依托园区内现有的新型材料产业基础，通过积极培育、重点扶持，引入大型龙头企业，重点发展新型材料产业；依托园区内现有的木业精深加工产业基础，扶持壮大一批重点龙头企业，重点发展门业、窗业及家具业三个子产业。</w:t>
            </w:r>
          </w:p>
          <w:p w14:paraId="0B756DE0">
            <w:pPr>
              <w:autoSpaceDE w:val="0"/>
              <w:autoSpaceDN w:val="0"/>
              <w:adjustRightInd w:val="0"/>
              <w:snapToGrid w:val="0"/>
              <w:spacing w:line="360" w:lineRule="auto"/>
              <w:ind w:firstLine="480" w:firstLineChars="200"/>
              <w:rPr>
                <w:rFonts w:hint="eastAsia"/>
                <w:kern w:val="0"/>
                <w:sz w:val="24"/>
              </w:rPr>
            </w:pPr>
            <w:r>
              <w:rPr>
                <w:rFonts w:hint="eastAsia"/>
                <w:kern w:val="0"/>
                <w:sz w:val="24"/>
              </w:rPr>
              <w:t>（4）规划发展目标</w:t>
            </w:r>
          </w:p>
          <w:p w14:paraId="04B86EB6">
            <w:pPr>
              <w:autoSpaceDE w:val="0"/>
              <w:autoSpaceDN w:val="0"/>
              <w:adjustRightInd w:val="0"/>
              <w:snapToGrid w:val="0"/>
              <w:spacing w:line="360" w:lineRule="auto"/>
              <w:ind w:firstLine="480" w:firstLineChars="200"/>
              <w:rPr>
                <w:rFonts w:hint="eastAsia"/>
                <w:kern w:val="0"/>
                <w:sz w:val="24"/>
              </w:rPr>
            </w:pPr>
            <w:r>
              <w:rPr>
                <w:rFonts w:hint="eastAsia"/>
                <w:kern w:val="0"/>
                <w:sz w:val="24"/>
              </w:rPr>
              <w:t>4.1总体发展目标</w:t>
            </w:r>
          </w:p>
          <w:p w14:paraId="5DEAC718">
            <w:pPr>
              <w:autoSpaceDE w:val="0"/>
              <w:autoSpaceDN w:val="0"/>
              <w:adjustRightInd w:val="0"/>
              <w:snapToGrid w:val="0"/>
              <w:spacing w:line="360" w:lineRule="auto"/>
              <w:ind w:firstLine="480" w:firstLineChars="200"/>
              <w:rPr>
                <w:rFonts w:hint="eastAsia"/>
                <w:kern w:val="0"/>
                <w:sz w:val="24"/>
              </w:rPr>
            </w:pPr>
            <w:r>
              <w:rPr>
                <w:rFonts w:hint="eastAsia"/>
                <w:kern w:val="0"/>
                <w:sz w:val="24"/>
              </w:rPr>
              <w:t>以市场为导向，以创新为动力，以整合区域资源为出发点，以招商引资为抓手，以项目入驻为根本，通过政府积极引导，合理规划布局，加强内引外联，大力招商引资，重点发展新兴材料、木业精深加工业，推进产业聚集，做好服务引导措施，规划期内，将汤阴县新型材料产业园建设成为产业聚集、布局合理、功能完善、环境优美的新兴工业园区，成为汤阴县经济发展新的增长点。</w:t>
            </w:r>
          </w:p>
          <w:p w14:paraId="260A08BA">
            <w:pPr>
              <w:autoSpaceDE w:val="0"/>
              <w:autoSpaceDN w:val="0"/>
              <w:adjustRightInd w:val="0"/>
              <w:snapToGrid w:val="0"/>
              <w:spacing w:line="360" w:lineRule="auto"/>
              <w:ind w:firstLine="480" w:firstLineChars="200"/>
              <w:rPr>
                <w:kern w:val="0"/>
                <w:sz w:val="24"/>
              </w:rPr>
            </w:pPr>
            <w:r>
              <w:rPr>
                <w:rFonts w:hint="eastAsia"/>
                <w:kern w:val="0"/>
                <w:sz w:val="24"/>
              </w:rPr>
              <w:t>4.2主要发展指标</w:t>
            </w:r>
          </w:p>
          <w:p w14:paraId="3BE93A65">
            <w:pPr>
              <w:autoSpaceDE w:val="0"/>
              <w:autoSpaceDN w:val="0"/>
              <w:adjustRightInd w:val="0"/>
              <w:snapToGrid w:val="0"/>
              <w:spacing w:line="360" w:lineRule="auto"/>
              <w:ind w:firstLine="480" w:firstLineChars="200"/>
              <w:rPr>
                <w:kern w:val="0"/>
                <w:sz w:val="24"/>
              </w:rPr>
            </w:pPr>
            <w:r>
              <w:rPr>
                <w:rFonts w:hint="eastAsia"/>
                <w:kern w:val="0"/>
                <w:sz w:val="24"/>
              </w:rPr>
              <w:t>人口规模：根据现有企业情况，结合产业发展趋势，随着产业的优化升级，科技不断进步，近期园区人口1万人，规划期末园区人口2万人。</w:t>
            </w:r>
          </w:p>
          <w:p w14:paraId="5645FF48">
            <w:pPr>
              <w:autoSpaceDE w:val="0"/>
              <w:autoSpaceDN w:val="0"/>
              <w:adjustRightInd w:val="0"/>
              <w:snapToGrid w:val="0"/>
              <w:spacing w:line="360" w:lineRule="auto"/>
              <w:ind w:firstLine="480" w:firstLineChars="200"/>
              <w:rPr>
                <w:kern w:val="0"/>
                <w:sz w:val="24"/>
              </w:rPr>
            </w:pPr>
            <w:r>
              <w:rPr>
                <w:rFonts w:hint="eastAsia"/>
                <w:kern w:val="0"/>
                <w:sz w:val="24"/>
              </w:rPr>
              <w:t>用地规模：到2020年，汤阴县新型材料园区用地规模控制在3.66平方公里以内。其中，起步区0.79平方公里，发展区2.07平方公里，控制区0.8平方公里。</w:t>
            </w:r>
          </w:p>
          <w:p w14:paraId="3D35CAF0">
            <w:pPr>
              <w:autoSpaceDE w:val="0"/>
              <w:autoSpaceDN w:val="0"/>
              <w:adjustRightInd w:val="0"/>
              <w:snapToGrid w:val="0"/>
              <w:spacing w:line="360" w:lineRule="auto"/>
              <w:ind w:firstLine="480" w:firstLineChars="200"/>
              <w:rPr>
                <w:rFonts w:hint="eastAsia"/>
                <w:kern w:val="0"/>
                <w:sz w:val="24"/>
              </w:rPr>
            </w:pPr>
            <w:r>
              <w:rPr>
                <w:rFonts w:hint="eastAsia"/>
                <w:kern w:val="0"/>
                <w:sz w:val="24"/>
              </w:rPr>
              <w:t>经济总量：近期园区主营业务收入达到50亿元，到2020年，汤阴县新型材料产业园主营业务收入达到90亿元。</w:t>
            </w:r>
          </w:p>
          <w:p w14:paraId="7A4142ED">
            <w:pPr>
              <w:autoSpaceDE w:val="0"/>
              <w:autoSpaceDN w:val="0"/>
              <w:adjustRightInd w:val="0"/>
              <w:snapToGrid w:val="0"/>
              <w:spacing w:line="360" w:lineRule="auto"/>
              <w:ind w:firstLine="480" w:firstLineChars="200"/>
              <w:rPr>
                <w:rFonts w:hint="eastAsia"/>
                <w:kern w:val="0"/>
                <w:sz w:val="24"/>
              </w:rPr>
            </w:pPr>
            <w:r>
              <w:rPr>
                <w:rFonts w:hint="eastAsia"/>
                <w:kern w:val="0"/>
                <w:sz w:val="24"/>
              </w:rPr>
              <w:t>4.3分阶段目标</w:t>
            </w:r>
          </w:p>
          <w:p w14:paraId="6582E26C">
            <w:pPr>
              <w:autoSpaceDE w:val="0"/>
              <w:autoSpaceDN w:val="0"/>
              <w:adjustRightInd w:val="0"/>
              <w:snapToGrid w:val="0"/>
              <w:spacing w:line="360" w:lineRule="auto"/>
              <w:ind w:firstLine="480" w:firstLineChars="200"/>
              <w:rPr>
                <w:rFonts w:hint="eastAsia"/>
                <w:kern w:val="0"/>
                <w:sz w:val="24"/>
              </w:rPr>
            </w:pPr>
            <w:r>
              <w:rPr>
                <w:rFonts w:hint="eastAsia"/>
                <w:kern w:val="0"/>
                <w:sz w:val="24"/>
              </w:rPr>
              <w:t>近期规划目标（2012-2015年）：确定近期人口为1万人，建设用地规模为2平方公里，入驻企业达到30家，主营业务收入达到50亿元，利税10亿元。园区产业体系基本完善，木业精深加工业的集群化和新型材料产业集群化的优势初步显现，园区物流、研发、培训、商务、教育、娱乐等配套设施基本形成。</w:t>
            </w:r>
          </w:p>
          <w:p w14:paraId="0D5FFEDC">
            <w:pPr>
              <w:autoSpaceDE w:val="0"/>
              <w:autoSpaceDN w:val="0"/>
              <w:adjustRightInd w:val="0"/>
              <w:snapToGrid w:val="0"/>
              <w:spacing w:line="360" w:lineRule="auto"/>
              <w:ind w:firstLine="480" w:firstLineChars="200"/>
              <w:rPr>
                <w:kern w:val="0"/>
                <w:sz w:val="24"/>
              </w:rPr>
            </w:pPr>
            <w:r>
              <w:rPr>
                <w:rFonts w:hint="eastAsia"/>
                <w:kern w:val="0"/>
                <w:sz w:val="24"/>
              </w:rPr>
              <w:t>远期规划目标（2016-2020年）：确定远期2020年园区建设用地规模为3.66平方公里，入驻企业达到60家，主营业务收入达到90亿元，利税18亿元，园区人口达2万余人。园区产业体系十分完善，木业精深加工业的集群化和新型材料产业的集群化真正形成，综合物料服务中心规模形成、体系完善，各种研发、培训、商务、教育、娱乐等配套设施完善。</w:t>
            </w:r>
          </w:p>
          <w:p w14:paraId="0FBCA1E6">
            <w:pPr>
              <w:autoSpaceDE w:val="0"/>
              <w:autoSpaceDN w:val="0"/>
              <w:adjustRightInd w:val="0"/>
              <w:snapToGrid w:val="0"/>
              <w:spacing w:line="360" w:lineRule="auto"/>
              <w:ind w:firstLine="480" w:firstLineChars="200"/>
              <w:rPr>
                <w:rFonts w:hint="eastAsia"/>
                <w:kern w:val="0"/>
                <w:sz w:val="24"/>
              </w:rPr>
            </w:pPr>
            <w:r>
              <w:rPr>
                <w:rFonts w:hint="eastAsia"/>
                <w:kern w:val="0"/>
                <w:sz w:val="24"/>
              </w:rPr>
              <w:t>（5）空间结构</w:t>
            </w:r>
          </w:p>
          <w:p w14:paraId="70BC416B">
            <w:pPr>
              <w:autoSpaceDE w:val="0"/>
              <w:autoSpaceDN w:val="0"/>
              <w:adjustRightInd w:val="0"/>
              <w:snapToGrid w:val="0"/>
              <w:spacing w:line="360" w:lineRule="auto"/>
              <w:ind w:firstLine="480" w:firstLineChars="200"/>
              <w:rPr>
                <w:kern w:val="0"/>
                <w:sz w:val="24"/>
              </w:rPr>
            </w:pPr>
            <w:r>
              <w:rPr>
                <w:rFonts w:hint="eastAsia"/>
                <w:kern w:val="0"/>
                <w:sz w:val="24"/>
              </w:rPr>
              <w:t>汤阴县新型材料产业园区规划考虑交通条件、自然生态、产业布局特点等方面，将园区分为三个功能区。</w:t>
            </w:r>
          </w:p>
          <w:p w14:paraId="077FDCFB">
            <w:pPr>
              <w:autoSpaceDE w:val="0"/>
              <w:autoSpaceDN w:val="0"/>
              <w:adjustRightInd w:val="0"/>
              <w:snapToGrid w:val="0"/>
              <w:spacing w:line="360" w:lineRule="auto"/>
              <w:ind w:firstLine="480" w:firstLineChars="200"/>
              <w:rPr>
                <w:rFonts w:hint="eastAsia"/>
                <w:kern w:val="0"/>
                <w:sz w:val="24"/>
              </w:rPr>
            </w:pPr>
            <w:r>
              <w:rPr>
                <w:rFonts w:hint="eastAsia"/>
                <w:kern w:val="0"/>
                <w:sz w:val="24"/>
              </w:rPr>
              <w:t>生产区：本区主要指工业生产区，占地面积2.6平方公里。</w:t>
            </w:r>
          </w:p>
          <w:p w14:paraId="7A3B87FC">
            <w:pPr>
              <w:autoSpaceDE w:val="0"/>
              <w:autoSpaceDN w:val="0"/>
              <w:adjustRightInd w:val="0"/>
              <w:snapToGrid w:val="0"/>
              <w:spacing w:line="360" w:lineRule="auto"/>
              <w:ind w:firstLine="480" w:firstLineChars="200"/>
              <w:rPr>
                <w:rFonts w:hint="eastAsia"/>
                <w:kern w:val="0"/>
                <w:sz w:val="24"/>
              </w:rPr>
            </w:pPr>
            <w:r>
              <w:rPr>
                <w:rFonts w:hint="eastAsia"/>
                <w:kern w:val="0"/>
                <w:sz w:val="24"/>
              </w:rPr>
              <w:t>综合服务区：本区主要位于工业三路及工业四路两侧，主要指综合服务区，包括行政办公、文化设施、体育、绿化、停车、商业服务设施、医疗卫生等用地，占地面积0.17平方公里。</w:t>
            </w:r>
          </w:p>
          <w:p w14:paraId="7E6389A0">
            <w:pPr>
              <w:autoSpaceDE w:val="0"/>
              <w:autoSpaceDN w:val="0"/>
              <w:adjustRightInd w:val="0"/>
              <w:snapToGrid w:val="0"/>
              <w:spacing w:line="360" w:lineRule="auto"/>
              <w:ind w:firstLine="480" w:firstLineChars="200"/>
              <w:rPr>
                <w:rFonts w:hint="eastAsia"/>
                <w:kern w:val="0"/>
                <w:sz w:val="24"/>
              </w:rPr>
            </w:pPr>
            <w:r>
              <w:rPr>
                <w:rFonts w:hint="eastAsia"/>
                <w:kern w:val="0"/>
                <w:sz w:val="24"/>
              </w:rPr>
              <w:t>仓储物流区：本区位于园区东北部及迎宾路路北，占地面积0.28平方公里。</w:t>
            </w:r>
          </w:p>
          <w:p w14:paraId="7723B699">
            <w:pPr>
              <w:autoSpaceDE w:val="0"/>
              <w:autoSpaceDN w:val="0"/>
              <w:adjustRightInd w:val="0"/>
              <w:snapToGrid w:val="0"/>
              <w:spacing w:line="360" w:lineRule="auto"/>
              <w:ind w:firstLine="480" w:firstLineChars="200"/>
              <w:rPr>
                <w:rFonts w:hint="eastAsia"/>
                <w:kern w:val="0"/>
                <w:sz w:val="24"/>
              </w:rPr>
            </w:pPr>
            <w:r>
              <w:rPr>
                <w:rFonts w:hint="eastAsia"/>
                <w:kern w:val="0"/>
                <w:sz w:val="24"/>
              </w:rPr>
              <w:t>三者的关系体现产城一体，推动企业生产生活服务的社会化，生产区和服务区相互依托、相互促进、相互渗透、相互补充，以产业的集聚发展实现人口的集中，为城镇化提供基础支持，又以城镇的服务功能为产业发展、人口集中创造条件。</w:t>
            </w:r>
          </w:p>
          <w:p w14:paraId="76452011">
            <w:pPr>
              <w:autoSpaceDE w:val="0"/>
              <w:autoSpaceDN w:val="0"/>
              <w:adjustRightInd w:val="0"/>
              <w:snapToGrid w:val="0"/>
              <w:spacing w:line="360" w:lineRule="auto"/>
              <w:ind w:firstLine="480" w:firstLineChars="200"/>
              <w:rPr>
                <w:rFonts w:hint="eastAsia"/>
                <w:kern w:val="0"/>
                <w:sz w:val="24"/>
              </w:rPr>
            </w:pPr>
            <w:r>
              <w:rPr>
                <w:rFonts w:hint="eastAsia"/>
                <w:kern w:val="0"/>
                <w:sz w:val="24"/>
              </w:rPr>
              <w:t>（6）总体用地布局</w:t>
            </w:r>
          </w:p>
          <w:p w14:paraId="1CE09609">
            <w:pPr>
              <w:autoSpaceDE w:val="0"/>
              <w:autoSpaceDN w:val="0"/>
              <w:adjustRightInd w:val="0"/>
              <w:snapToGrid w:val="0"/>
              <w:spacing w:line="360" w:lineRule="auto"/>
              <w:ind w:firstLine="480" w:firstLineChars="200"/>
              <w:rPr>
                <w:rFonts w:hint="eastAsia"/>
                <w:kern w:val="0"/>
                <w:sz w:val="24"/>
              </w:rPr>
            </w:pPr>
            <w:r>
              <w:rPr>
                <w:rFonts w:hint="eastAsia"/>
                <w:kern w:val="0"/>
                <w:sz w:val="24"/>
              </w:rPr>
              <w:t>按照汤阴县新型材料产业园区规划定位，规划布局本着以人为本的规划理念，保护生态环境，创造良好的工作、生活和学习环境，节约土地，注重近远期结合，合理安排各项建设用地，引导专业园区可持续发展。</w:t>
            </w:r>
          </w:p>
          <w:p w14:paraId="3DCA9882">
            <w:pPr>
              <w:autoSpaceDE w:val="0"/>
              <w:autoSpaceDN w:val="0"/>
              <w:adjustRightInd w:val="0"/>
              <w:snapToGrid w:val="0"/>
              <w:spacing w:line="360" w:lineRule="auto"/>
              <w:ind w:firstLine="480" w:firstLineChars="200"/>
              <w:rPr>
                <w:rFonts w:hint="eastAsia"/>
                <w:kern w:val="0"/>
                <w:sz w:val="24"/>
              </w:rPr>
            </w:pPr>
            <w:r>
              <w:rPr>
                <w:rFonts w:hint="eastAsia"/>
                <w:kern w:val="0"/>
                <w:sz w:val="24"/>
              </w:rPr>
              <w:t>工业用地规划：规划工业用地总面积2.6平方公里，占总建设用地的71.2%。其中一类工业用地总面积1.68平方公里；二类工业用地总面积0.92平方公里。有计划有步骤地分期实施。</w:t>
            </w:r>
          </w:p>
          <w:p w14:paraId="37737BFB">
            <w:pPr>
              <w:autoSpaceDE w:val="0"/>
              <w:autoSpaceDN w:val="0"/>
              <w:adjustRightInd w:val="0"/>
              <w:snapToGrid w:val="0"/>
              <w:spacing w:line="360" w:lineRule="auto"/>
              <w:ind w:firstLine="480" w:firstLineChars="200"/>
              <w:rPr>
                <w:rFonts w:hint="eastAsia"/>
                <w:kern w:val="0"/>
                <w:sz w:val="24"/>
              </w:rPr>
            </w:pPr>
            <w:r>
              <w:rPr>
                <w:rFonts w:hint="eastAsia"/>
                <w:kern w:val="0"/>
                <w:sz w:val="24"/>
              </w:rPr>
              <w:t>仓储用地规划：规划仓储用地在园区东北部新S302南侧及迎宾路北侧部分地区，主要为陆路港物流贸易。</w:t>
            </w:r>
          </w:p>
          <w:p w14:paraId="73A8FCC2">
            <w:pPr>
              <w:autoSpaceDE w:val="0"/>
              <w:autoSpaceDN w:val="0"/>
              <w:adjustRightInd w:val="0"/>
              <w:snapToGrid w:val="0"/>
              <w:spacing w:line="360" w:lineRule="auto"/>
              <w:ind w:firstLine="480" w:firstLineChars="200"/>
              <w:rPr>
                <w:kern w:val="0"/>
                <w:sz w:val="24"/>
              </w:rPr>
            </w:pPr>
            <w:r>
              <w:rPr>
                <w:rFonts w:hint="eastAsia"/>
                <w:kern w:val="0"/>
                <w:sz w:val="24"/>
              </w:rPr>
              <w:t>公共设施用地规划：规划公共服务设施主要在工业三路和工业四路</w:t>
            </w:r>
            <w:r>
              <w:rPr>
                <w:kern w:val="0"/>
                <w:sz w:val="24"/>
              </w:rPr>
              <w:t>两侧带状分布，总用地16.72公顷，占总建设用地的4.6%。其中公共管理与公共服务用地5.5公顷，商业金融用地11.22公顷</w:t>
            </w:r>
            <w:r>
              <w:rPr>
                <w:rFonts w:hint="eastAsia"/>
                <w:kern w:val="0"/>
                <w:sz w:val="24"/>
              </w:rPr>
              <w:t>。</w:t>
            </w:r>
          </w:p>
          <w:p w14:paraId="4666B471">
            <w:pPr>
              <w:autoSpaceDE w:val="0"/>
              <w:autoSpaceDN w:val="0"/>
              <w:adjustRightInd w:val="0"/>
              <w:snapToGrid w:val="0"/>
              <w:spacing w:line="360" w:lineRule="auto"/>
              <w:ind w:firstLine="480" w:firstLineChars="200"/>
              <w:rPr>
                <w:kern w:val="0"/>
                <w:sz w:val="24"/>
              </w:rPr>
            </w:pPr>
            <w:r>
              <w:rPr>
                <w:rFonts w:hint="eastAsia"/>
                <w:kern w:val="0"/>
                <w:sz w:val="24"/>
              </w:rPr>
              <w:t>（7）</w:t>
            </w:r>
            <w:r>
              <w:rPr>
                <w:kern w:val="0"/>
                <w:sz w:val="24"/>
              </w:rPr>
              <w:t>建设项目环境准入条件</w:t>
            </w:r>
          </w:p>
          <w:p w14:paraId="5795384D">
            <w:pPr>
              <w:autoSpaceDE w:val="0"/>
              <w:autoSpaceDN w:val="0"/>
              <w:adjustRightInd w:val="0"/>
              <w:snapToGrid w:val="0"/>
              <w:spacing w:line="360" w:lineRule="auto"/>
              <w:ind w:firstLine="480" w:firstLineChars="200"/>
              <w:rPr>
                <w:kern w:val="0"/>
                <w:sz w:val="24"/>
              </w:rPr>
            </w:pPr>
            <w:r>
              <w:rPr>
                <w:kern w:val="0"/>
                <w:sz w:val="24"/>
              </w:rPr>
              <w:t>产业园区应牢固树立科学发展观，全面贯彻</w:t>
            </w:r>
            <w:r>
              <w:rPr>
                <w:rFonts w:hint="eastAsia"/>
                <w:kern w:val="0"/>
                <w:sz w:val="24"/>
              </w:rPr>
              <w:t>“</w:t>
            </w:r>
            <w:r>
              <w:rPr>
                <w:kern w:val="0"/>
                <w:sz w:val="24"/>
              </w:rPr>
              <w:t>节能降耗、污染物减排</w:t>
            </w:r>
            <w:r>
              <w:rPr>
                <w:rFonts w:hint="eastAsia"/>
                <w:kern w:val="0"/>
                <w:sz w:val="24"/>
              </w:rPr>
              <w:t>”</w:t>
            </w:r>
            <w:r>
              <w:rPr>
                <w:kern w:val="0"/>
                <w:sz w:val="24"/>
              </w:rPr>
              <w:t>的指导思想，大力发展</w:t>
            </w:r>
            <w:r>
              <w:rPr>
                <w:rFonts w:hint="eastAsia"/>
                <w:kern w:val="0"/>
                <w:sz w:val="24"/>
              </w:rPr>
              <w:t>“</w:t>
            </w:r>
            <w:r>
              <w:rPr>
                <w:kern w:val="0"/>
                <w:sz w:val="24"/>
              </w:rPr>
              <w:t>清洁生产、循环经济</w:t>
            </w:r>
            <w:r>
              <w:rPr>
                <w:rFonts w:hint="eastAsia"/>
                <w:kern w:val="0"/>
                <w:sz w:val="24"/>
              </w:rPr>
              <w:t>”</w:t>
            </w:r>
            <w:r>
              <w:rPr>
                <w:kern w:val="0"/>
                <w:sz w:val="24"/>
              </w:rPr>
              <w:t>，实现社会</w:t>
            </w:r>
            <w:r>
              <w:rPr>
                <w:rFonts w:hint="eastAsia"/>
                <w:kern w:val="0"/>
                <w:sz w:val="24"/>
              </w:rPr>
              <w:t>经济</w:t>
            </w:r>
            <w:r>
              <w:rPr>
                <w:kern w:val="0"/>
                <w:sz w:val="24"/>
              </w:rPr>
              <w:t>的健康稳定发展。</w:t>
            </w:r>
          </w:p>
          <w:p w14:paraId="34B95B6C">
            <w:pPr>
              <w:autoSpaceDE w:val="0"/>
              <w:autoSpaceDN w:val="0"/>
              <w:adjustRightInd w:val="0"/>
              <w:snapToGrid w:val="0"/>
              <w:spacing w:line="360" w:lineRule="auto"/>
              <w:ind w:firstLine="480" w:firstLineChars="200"/>
              <w:rPr>
                <w:kern w:val="0"/>
                <w:sz w:val="24"/>
              </w:rPr>
            </w:pPr>
            <w:r>
              <w:rPr>
                <w:kern w:val="0"/>
                <w:sz w:val="24"/>
              </w:rPr>
              <w:t>根据产业园区环境质量现状、环境敏感因素、工业企业现状</w:t>
            </w:r>
            <w:r>
              <w:rPr>
                <w:rFonts w:hint="eastAsia"/>
                <w:kern w:val="0"/>
                <w:sz w:val="24"/>
              </w:rPr>
              <w:t>及</w:t>
            </w:r>
            <w:r>
              <w:rPr>
                <w:kern w:val="0"/>
                <w:sz w:val="24"/>
              </w:rPr>
              <w:t>发展情况等，评价建议产业园区建设项目环境保护准入要求如下：</w:t>
            </w:r>
          </w:p>
          <w:p w14:paraId="55CE8FBC">
            <w:pPr>
              <w:autoSpaceDE w:val="0"/>
              <w:autoSpaceDN w:val="0"/>
              <w:adjustRightInd w:val="0"/>
              <w:snapToGrid w:val="0"/>
              <w:spacing w:line="360" w:lineRule="auto"/>
              <w:ind w:firstLine="480" w:firstLineChars="200"/>
              <w:rPr>
                <w:kern w:val="0"/>
                <w:sz w:val="24"/>
              </w:rPr>
            </w:pPr>
            <w:r>
              <w:rPr>
                <w:rFonts w:hint="eastAsia"/>
                <w:kern w:val="0"/>
                <w:sz w:val="24"/>
              </w:rPr>
              <w:t>7.1</w:t>
            </w:r>
            <w:r>
              <w:rPr>
                <w:kern w:val="0"/>
                <w:sz w:val="24"/>
              </w:rPr>
              <w:t>根据区域环境的实际特点，建议鼓励建设新型材料制造业</w:t>
            </w:r>
            <w:r>
              <w:rPr>
                <w:rFonts w:hint="eastAsia"/>
                <w:kern w:val="0"/>
                <w:sz w:val="24"/>
              </w:rPr>
              <w:t>、</w:t>
            </w:r>
            <w:r>
              <w:rPr>
                <w:kern w:val="0"/>
                <w:sz w:val="24"/>
              </w:rPr>
              <w:t>木业精深加工业等符合产业园区功能定位的建设项目入驻，同时</w:t>
            </w:r>
            <w:r>
              <w:rPr>
                <w:rFonts w:hint="eastAsia"/>
                <w:kern w:val="0"/>
                <w:sz w:val="24"/>
              </w:rPr>
              <w:t>应</w:t>
            </w:r>
            <w:r>
              <w:rPr>
                <w:kern w:val="0"/>
                <w:sz w:val="24"/>
              </w:rPr>
              <w:t>考虑上下游产品的关联性，尽可能延长产业链；鼓励建设省级以</w:t>
            </w:r>
            <w:r>
              <w:rPr>
                <w:rFonts w:hint="eastAsia"/>
                <w:kern w:val="0"/>
                <w:sz w:val="24"/>
              </w:rPr>
              <w:t>上</w:t>
            </w:r>
            <w:r>
              <w:rPr>
                <w:kern w:val="0"/>
                <w:sz w:val="24"/>
              </w:rPr>
              <w:t>(含省级)认定的高新技术类项目。</w:t>
            </w:r>
          </w:p>
          <w:p w14:paraId="36E15722">
            <w:pPr>
              <w:autoSpaceDE w:val="0"/>
              <w:autoSpaceDN w:val="0"/>
              <w:adjustRightInd w:val="0"/>
              <w:snapToGrid w:val="0"/>
              <w:spacing w:line="360" w:lineRule="auto"/>
              <w:ind w:firstLine="480" w:firstLineChars="200"/>
              <w:rPr>
                <w:kern w:val="0"/>
                <w:sz w:val="24"/>
              </w:rPr>
            </w:pPr>
            <w:r>
              <w:rPr>
                <w:rFonts w:hint="eastAsia"/>
                <w:kern w:val="0"/>
                <w:sz w:val="24"/>
              </w:rPr>
              <w:t>7.2</w:t>
            </w:r>
            <w:r>
              <w:rPr>
                <w:kern w:val="0"/>
                <w:sz w:val="24"/>
              </w:rPr>
              <w:t>禁止与主导产业相关性不强的企业入驻；限制大气污染物放量大的企业入驻；限制水资源消耗量大、水污染物排放量大的</w:t>
            </w:r>
            <w:r>
              <w:rPr>
                <w:rFonts w:hint="eastAsia"/>
                <w:kern w:val="0"/>
                <w:sz w:val="24"/>
              </w:rPr>
              <w:t>企</w:t>
            </w:r>
            <w:r>
              <w:rPr>
                <w:kern w:val="0"/>
                <w:sz w:val="24"/>
              </w:rPr>
              <w:t>业入驻。</w:t>
            </w:r>
          </w:p>
          <w:p w14:paraId="2E0656B3">
            <w:pPr>
              <w:autoSpaceDE w:val="0"/>
              <w:autoSpaceDN w:val="0"/>
              <w:adjustRightInd w:val="0"/>
              <w:snapToGrid w:val="0"/>
              <w:spacing w:line="360" w:lineRule="auto"/>
              <w:ind w:firstLine="480" w:firstLineChars="200"/>
              <w:rPr>
                <w:kern w:val="0"/>
                <w:sz w:val="24"/>
              </w:rPr>
            </w:pPr>
            <w:r>
              <w:rPr>
                <w:rFonts w:hint="eastAsia"/>
                <w:kern w:val="0"/>
                <w:sz w:val="24"/>
              </w:rPr>
              <w:t>7.3</w:t>
            </w:r>
            <w:r>
              <w:rPr>
                <w:kern w:val="0"/>
                <w:sz w:val="24"/>
              </w:rPr>
              <w:t>禁止新建电镀、皮革加工、造纸、印染、选矿、冶炼、炼焦、炼油和禽畜养殖以及其他污染重的建设项目。</w:t>
            </w:r>
          </w:p>
          <w:p w14:paraId="336660EE">
            <w:pPr>
              <w:autoSpaceDE w:val="0"/>
              <w:autoSpaceDN w:val="0"/>
              <w:adjustRightInd w:val="0"/>
              <w:snapToGrid w:val="0"/>
              <w:spacing w:line="360" w:lineRule="auto"/>
              <w:ind w:firstLine="480" w:firstLineChars="200"/>
              <w:rPr>
                <w:kern w:val="0"/>
                <w:sz w:val="24"/>
              </w:rPr>
            </w:pPr>
            <w:r>
              <w:rPr>
                <w:rFonts w:hint="eastAsia"/>
                <w:kern w:val="0"/>
                <w:sz w:val="24"/>
              </w:rPr>
              <w:t>7.4</w:t>
            </w:r>
            <w:r>
              <w:rPr>
                <w:kern w:val="0"/>
                <w:sz w:val="24"/>
              </w:rPr>
              <w:t>在环境保护与资源综合利用方面，建设项目应首先严格执</w:t>
            </w:r>
            <w:r>
              <w:rPr>
                <w:rFonts w:hint="eastAsia"/>
                <w:kern w:val="0"/>
                <w:sz w:val="24"/>
              </w:rPr>
              <w:t>“</w:t>
            </w:r>
            <w:r>
              <w:rPr>
                <w:kern w:val="0"/>
                <w:sz w:val="24"/>
              </w:rPr>
              <w:t>三同时</w:t>
            </w:r>
            <w:r>
              <w:rPr>
                <w:rFonts w:hint="eastAsia"/>
                <w:kern w:val="0"/>
                <w:sz w:val="24"/>
              </w:rPr>
              <w:t>”</w:t>
            </w:r>
            <w:r>
              <w:rPr>
                <w:kern w:val="0"/>
                <w:sz w:val="24"/>
              </w:rPr>
              <w:t>制度，大力推行清洁生产，改进先进生产技术和设备，</w:t>
            </w:r>
            <w:r>
              <w:rPr>
                <w:rFonts w:hint="eastAsia"/>
                <w:kern w:val="0"/>
                <w:sz w:val="24"/>
              </w:rPr>
              <w:t>从</w:t>
            </w:r>
            <w:r>
              <w:rPr>
                <w:kern w:val="0"/>
                <w:sz w:val="24"/>
              </w:rPr>
              <w:t>生产的源头控制污染物产生量，降低末端治理压力。</w:t>
            </w:r>
          </w:p>
          <w:p w14:paraId="72FED717">
            <w:pPr>
              <w:autoSpaceDE w:val="0"/>
              <w:autoSpaceDN w:val="0"/>
              <w:adjustRightInd w:val="0"/>
              <w:snapToGrid w:val="0"/>
              <w:spacing w:line="360" w:lineRule="auto"/>
              <w:ind w:firstLine="480" w:firstLineChars="200"/>
              <w:rPr>
                <w:kern w:val="0"/>
                <w:sz w:val="24"/>
              </w:rPr>
            </w:pPr>
            <w:r>
              <w:rPr>
                <w:rFonts w:hint="eastAsia"/>
                <w:kern w:val="0"/>
                <w:sz w:val="24"/>
              </w:rPr>
              <w:t>7.5</w:t>
            </w:r>
            <w:r>
              <w:rPr>
                <w:kern w:val="0"/>
                <w:sz w:val="24"/>
              </w:rPr>
              <w:t>建设项目应采用国际、国内先进水平的清洁生产工艺和</w:t>
            </w:r>
            <w:r>
              <w:rPr>
                <w:rFonts w:hint="eastAsia"/>
                <w:kern w:val="0"/>
                <w:sz w:val="24"/>
              </w:rPr>
              <w:t>技</w:t>
            </w:r>
            <w:r>
              <w:rPr>
                <w:kern w:val="0"/>
                <w:sz w:val="24"/>
              </w:rPr>
              <w:t>术，禁止新建国家产业政策限制类、淘汰类的项目进入。</w:t>
            </w:r>
          </w:p>
          <w:p w14:paraId="5546F74C">
            <w:pPr>
              <w:autoSpaceDE w:val="0"/>
              <w:autoSpaceDN w:val="0"/>
              <w:adjustRightInd w:val="0"/>
              <w:snapToGrid w:val="0"/>
              <w:spacing w:line="360" w:lineRule="auto"/>
              <w:ind w:firstLine="480" w:firstLineChars="200"/>
              <w:rPr>
                <w:kern w:val="0"/>
                <w:sz w:val="24"/>
              </w:rPr>
            </w:pPr>
            <w:r>
              <w:rPr>
                <w:rFonts w:hint="eastAsia"/>
                <w:kern w:val="0"/>
                <w:sz w:val="24"/>
              </w:rPr>
              <w:t>7.6</w:t>
            </w:r>
            <w:r>
              <w:rPr>
                <w:kern w:val="0"/>
                <w:sz w:val="24"/>
              </w:rPr>
              <w:t>企业新建燃煤炉窑必须配置脱硫、脱硝措施，脱硫效率不于80%、脱硝效率不低于60%。</w:t>
            </w:r>
          </w:p>
          <w:p w14:paraId="1B0EE196">
            <w:pPr>
              <w:autoSpaceDE w:val="0"/>
              <w:autoSpaceDN w:val="0"/>
              <w:adjustRightInd w:val="0"/>
              <w:snapToGrid w:val="0"/>
              <w:spacing w:line="360" w:lineRule="auto"/>
              <w:ind w:firstLine="480" w:firstLineChars="200"/>
              <w:rPr>
                <w:rFonts w:hint="eastAsia"/>
                <w:kern w:val="0"/>
                <w:sz w:val="24"/>
              </w:rPr>
            </w:pPr>
            <w:r>
              <w:rPr>
                <w:rFonts w:hint="eastAsia"/>
                <w:kern w:val="0"/>
                <w:sz w:val="24"/>
              </w:rPr>
              <w:t>7.7建议拟入驻的“退城进园”项目在满足园区发展指标、不违背园区土地利用和布局规划、不会对园区规划产生重大影响的前提下，可适当放宽入驻条件，不受园区主导产业限制。</w:t>
            </w:r>
          </w:p>
          <w:p w14:paraId="50FCF1C9">
            <w:pPr>
              <w:autoSpaceDE w:val="0"/>
              <w:autoSpaceDN w:val="0"/>
              <w:adjustRightInd w:val="0"/>
              <w:snapToGrid w:val="0"/>
              <w:spacing w:line="360" w:lineRule="auto"/>
              <w:ind w:firstLine="480" w:firstLineChars="200"/>
              <w:rPr>
                <w:kern w:val="0"/>
                <w:sz w:val="24"/>
              </w:rPr>
            </w:pPr>
            <w:r>
              <w:rPr>
                <w:kern w:val="0"/>
                <w:sz w:val="24"/>
              </w:rPr>
              <w:t>本项目</w:t>
            </w:r>
            <w:r>
              <w:rPr>
                <w:rFonts w:hint="eastAsia"/>
                <w:kern w:val="0"/>
                <w:sz w:val="24"/>
                <w:lang w:val="en-US" w:eastAsia="zh-CN"/>
              </w:rPr>
              <w:t>与园区主导产业不冲突</w:t>
            </w:r>
            <w:r>
              <w:rPr>
                <w:kern w:val="0"/>
                <w:sz w:val="24"/>
              </w:rPr>
              <w:t>，</w:t>
            </w:r>
            <w:r>
              <w:rPr>
                <w:rFonts w:hint="eastAsia"/>
                <w:kern w:val="0"/>
                <w:sz w:val="24"/>
              </w:rPr>
              <w:t>按照《产业结构调整指导目录》（20</w:t>
            </w:r>
            <w:r>
              <w:rPr>
                <w:rFonts w:hint="eastAsia"/>
                <w:kern w:val="0"/>
                <w:sz w:val="24"/>
                <w:lang w:val="en-US" w:eastAsia="zh-CN"/>
              </w:rPr>
              <w:t>24</w:t>
            </w:r>
            <w:r>
              <w:rPr>
                <w:rFonts w:hint="eastAsia"/>
                <w:kern w:val="0"/>
                <w:sz w:val="24"/>
              </w:rPr>
              <w:t>年本），本项目属于</w:t>
            </w:r>
            <w:r>
              <w:rPr>
                <w:rFonts w:hint="eastAsia"/>
                <w:kern w:val="0"/>
                <w:sz w:val="24"/>
                <w:lang w:val="en-US" w:eastAsia="zh-CN"/>
              </w:rPr>
              <w:t>允许</w:t>
            </w:r>
            <w:r>
              <w:rPr>
                <w:rFonts w:hint="eastAsia"/>
                <w:kern w:val="0"/>
                <w:sz w:val="24"/>
              </w:rPr>
              <w:t>类项目；</w:t>
            </w:r>
            <w:r>
              <w:rPr>
                <w:kern w:val="0"/>
                <w:sz w:val="24"/>
              </w:rPr>
              <w:t>根据</w:t>
            </w:r>
            <w:r>
              <w:rPr>
                <w:rFonts w:hint="eastAsia"/>
                <w:kern w:val="0"/>
                <w:sz w:val="24"/>
              </w:rPr>
              <w:t>汤阴县</w:t>
            </w:r>
            <w:r>
              <w:rPr>
                <w:rFonts w:hint="eastAsia"/>
                <w:kern w:val="0"/>
                <w:sz w:val="24"/>
                <w:lang w:val="en-US" w:eastAsia="zh-CN"/>
              </w:rPr>
              <w:t>古贤镇人民政府</w:t>
            </w:r>
            <w:r>
              <w:rPr>
                <w:kern w:val="0"/>
                <w:sz w:val="24"/>
              </w:rPr>
              <w:t>出具的证明，</w:t>
            </w:r>
            <w:r>
              <w:rPr>
                <w:rFonts w:hint="eastAsia"/>
                <w:kern w:val="0"/>
                <w:sz w:val="24"/>
              </w:rPr>
              <w:t>同意入驻</w:t>
            </w:r>
            <w:r>
              <w:rPr>
                <w:kern w:val="0"/>
                <w:sz w:val="24"/>
              </w:rPr>
              <w:t>。</w:t>
            </w:r>
          </w:p>
          <w:p w14:paraId="3EA67920">
            <w:pPr>
              <w:autoSpaceDE w:val="0"/>
              <w:autoSpaceDN w:val="0"/>
              <w:adjustRightInd w:val="0"/>
              <w:snapToGrid w:val="0"/>
              <w:spacing w:line="360" w:lineRule="auto"/>
              <w:ind w:firstLine="480" w:firstLineChars="200"/>
              <w:rPr>
                <w:kern w:val="0"/>
                <w:sz w:val="24"/>
              </w:rPr>
            </w:pPr>
            <w:r>
              <w:rPr>
                <w:kern w:val="0"/>
                <w:sz w:val="24"/>
              </w:rPr>
              <w:t>2、土地利用规划相符性分析</w:t>
            </w:r>
          </w:p>
          <w:p w14:paraId="75F3EF8F">
            <w:pPr>
              <w:autoSpaceDE w:val="0"/>
              <w:autoSpaceDN w:val="0"/>
              <w:adjustRightInd w:val="0"/>
              <w:snapToGrid w:val="0"/>
              <w:spacing w:line="360" w:lineRule="auto"/>
              <w:ind w:firstLine="480" w:firstLineChars="200"/>
              <w:rPr>
                <w:sz w:val="21"/>
                <w:szCs w:val="21"/>
              </w:rPr>
            </w:pPr>
            <w:r>
              <w:rPr>
                <w:rFonts w:hint="eastAsia"/>
                <w:kern w:val="0"/>
                <w:sz w:val="24"/>
              </w:rPr>
              <w:t>根据企业提供的</w:t>
            </w:r>
            <w:r>
              <w:rPr>
                <w:rFonts w:hint="eastAsia"/>
                <w:kern w:val="0"/>
                <w:sz w:val="24"/>
                <w:lang w:val="en-US" w:eastAsia="zh-CN"/>
              </w:rPr>
              <w:t>租赁合同及</w:t>
            </w:r>
            <w:r>
              <w:rPr>
                <w:rFonts w:hint="eastAsia"/>
                <w:kern w:val="0"/>
                <w:sz w:val="24"/>
              </w:rPr>
              <w:t>不动产权证明</w:t>
            </w:r>
            <w:r>
              <w:rPr>
                <w:kern w:val="0"/>
                <w:sz w:val="24"/>
              </w:rPr>
              <w:t>，本项目</w:t>
            </w:r>
            <w:r>
              <w:rPr>
                <w:rFonts w:hint="eastAsia"/>
                <w:kern w:val="0"/>
                <w:sz w:val="24"/>
              </w:rPr>
              <w:t>土地用途为工业用地</w:t>
            </w:r>
            <w:r>
              <w:rPr>
                <w:kern w:val="0"/>
                <w:sz w:val="24"/>
              </w:rPr>
              <w:t>，符合土地利用总体规划要求</w:t>
            </w:r>
            <w:r>
              <w:rPr>
                <w:rFonts w:hint="eastAsia"/>
                <w:kern w:val="0"/>
                <w:sz w:val="24"/>
              </w:rPr>
              <w:t>。</w:t>
            </w:r>
          </w:p>
        </w:tc>
      </w:tr>
      <w:tr w14:paraId="5D87E8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2" w:type="dxa"/>
            <w:vAlign w:val="center"/>
          </w:tcPr>
          <w:p w14:paraId="11A73817">
            <w:pPr>
              <w:autoSpaceDE w:val="0"/>
              <w:autoSpaceDN w:val="0"/>
              <w:adjustRightInd w:val="0"/>
              <w:snapToGrid w:val="0"/>
              <w:jc w:val="center"/>
              <w:rPr>
                <w:kern w:val="0"/>
                <w:szCs w:val="21"/>
              </w:rPr>
            </w:pPr>
            <w:r>
              <w:rPr>
                <w:kern w:val="0"/>
                <w:szCs w:val="21"/>
              </w:rPr>
              <w:t>其他符合性分析</w:t>
            </w:r>
          </w:p>
        </w:tc>
        <w:tc>
          <w:tcPr>
            <w:tcW w:w="8438" w:type="dxa"/>
            <w:gridSpan w:val="4"/>
            <w:vAlign w:val="center"/>
          </w:tcPr>
          <w:p w14:paraId="4773CF8C">
            <w:pPr>
              <w:pStyle w:val="259"/>
              <w:spacing w:before="120" w:after="120"/>
            </w:pPr>
            <w:bookmarkStart w:id="2" w:name="_Toc197848418"/>
            <w:r>
              <w:t>1、产业政策</w:t>
            </w:r>
            <w:bookmarkEnd w:id="2"/>
          </w:p>
          <w:p w14:paraId="185CA9E8">
            <w:pPr>
              <w:pStyle w:val="144"/>
            </w:pPr>
            <w:r>
              <w:t>根据</w:t>
            </w:r>
            <w:r>
              <w:rPr>
                <w:rFonts w:hint="eastAsia"/>
              </w:rPr>
              <w:t>《</w:t>
            </w:r>
            <w:r>
              <w:t>国民经济行业分类</w:t>
            </w:r>
            <w:r>
              <w:rPr>
                <w:rFonts w:hint="eastAsia"/>
              </w:rPr>
              <w:t>》</w:t>
            </w:r>
            <w:r>
              <w:t>（GB/T4754-2017）及修改单</w:t>
            </w:r>
            <w:r>
              <w:rPr>
                <w:rFonts w:hint="eastAsia"/>
              </w:rPr>
              <w:t>，</w:t>
            </w:r>
            <w:r>
              <w:t>项目属于C</w:t>
            </w:r>
            <w:r>
              <w:rPr>
                <w:rFonts w:hint="eastAsia"/>
                <w:lang w:val="en-US" w:eastAsia="zh-CN"/>
              </w:rPr>
              <w:t>1392豆制品制造及C146调味品、发酵制品制造</w:t>
            </w:r>
            <w:r>
              <w:t>。按照《产业结构调整指导目录》（2024年本），本项目属于</w:t>
            </w:r>
            <w:r>
              <w:rPr>
                <w:rFonts w:hint="eastAsia"/>
              </w:rPr>
              <w:t>“允许</w:t>
            </w:r>
            <w:r>
              <w:t>类</w:t>
            </w:r>
            <w:r>
              <w:rPr>
                <w:rFonts w:hint="eastAsia"/>
              </w:rPr>
              <w:t>”</w:t>
            </w:r>
            <w:r>
              <w:t>。本项目所用设备均不属于《高耗能落后机电设备（产品）淘汰目录（全四批）》中的淘汰落后设备。因此，项目建设符合国家产业政策。</w:t>
            </w:r>
          </w:p>
          <w:p w14:paraId="3F6B58E9">
            <w:pPr>
              <w:pStyle w:val="259"/>
              <w:spacing w:before="156" w:after="156"/>
              <w:rPr>
                <w:highlight w:val="none"/>
              </w:rPr>
            </w:pPr>
            <w:bookmarkStart w:id="3" w:name="_Toc197848419"/>
            <w:r>
              <w:t>2、</w:t>
            </w:r>
            <w:bookmarkEnd w:id="3"/>
            <w:r>
              <w:rPr>
                <w:rFonts w:hint="eastAsia"/>
                <w:highlight w:val="none"/>
                <w:lang w:val="en-US" w:eastAsia="zh-CN"/>
              </w:rPr>
              <w:t>生态环境分区管控要求</w:t>
            </w:r>
            <w:r>
              <w:rPr>
                <w:highlight w:val="none"/>
              </w:rPr>
              <w:t>对比分析</w:t>
            </w:r>
          </w:p>
          <w:p w14:paraId="1F5FDCDD">
            <w:pPr>
              <w:pStyle w:val="261"/>
              <w:ind w:firstLine="240"/>
            </w:pPr>
            <w:r>
              <w:rPr>
                <w:rFonts w:hint="eastAsia"/>
              </w:rPr>
              <w:t>2.1</w:t>
            </w:r>
            <w:r>
              <w:rPr>
                <w:rFonts w:hint="eastAsia"/>
                <w:lang w:val="en-US" w:eastAsia="zh-CN"/>
              </w:rPr>
              <w:t>与安阳市生态环境分区管控</w:t>
            </w:r>
            <w:r>
              <w:rPr>
                <w:rFonts w:hint="eastAsia"/>
              </w:rPr>
              <w:t>要求</w:t>
            </w:r>
            <w:r>
              <w:t>相符性分析</w:t>
            </w:r>
          </w:p>
          <w:p w14:paraId="177D1F9B">
            <w:pPr>
              <w:pStyle w:val="144"/>
              <w:rPr>
                <w:rFonts w:hint="eastAsia"/>
              </w:rPr>
            </w:pPr>
            <w:r>
              <w:rPr>
                <w:rFonts w:hint="eastAsia"/>
              </w:rPr>
              <w:t>（1）与</w:t>
            </w:r>
            <w:r>
              <w:t>生态保护红线</w:t>
            </w:r>
            <w:r>
              <w:rPr>
                <w:rFonts w:hint="eastAsia"/>
              </w:rPr>
              <w:t>的相符性</w:t>
            </w:r>
          </w:p>
          <w:p w14:paraId="6B498694">
            <w:pPr>
              <w:pStyle w:val="144"/>
              <w:rPr>
                <w:rFonts w:hint="eastAsia"/>
              </w:rPr>
            </w:pPr>
            <w:r>
              <w:rPr>
                <w:rFonts w:hint="eastAsia"/>
              </w:rPr>
              <w:t>本项目位于</w:t>
            </w:r>
            <w:r>
              <w:rPr>
                <w:rFonts w:hint="eastAsia"/>
                <w:highlight w:val="none"/>
                <w:lang w:eastAsia="zh-CN"/>
              </w:rPr>
              <w:t>安阳市</w:t>
            </w:r>
            <w:r>
              <w:rPr>
                <w:rFonts w:hint="eastAsia"/>
                <w:highlight w:val="none"/>
                <w:lang w:val="en-US" w:eastAsia="zh-CN"/>
              </w:rPr>
              <w:t>汤阴县古贤镇材料园区腾飞路东侧8号</w:t>
            </w:r>
            <w:r>
              <w:rPr>
                <w:rFonts w:hint="eastAsia"/>
              </w:rPr>
              <w:t>，</w:t>
            </w:r>
            <w:r>
              <w:rPr>
                <w:rFonts w:hint="eastAsia"/>
                <w:b w:val="0"/>
                <w:bCs w:val="0"/>
                <w:color w:val="000000" w:themeColor="text1"/>
                <w:u w:val="none"/>
                <w14:textFill>
                  <w14:solidFill>
                    <w14:schemeClr w14:val="tx1"/>
                  </w14:solidFill>
                </w14:textFill>
              </w:rPr>
              <w:t>经</w:t>
            </w:r>
            <w:r>
              <w:rPr>
                <w:rFonts w:hint="eastAsia"/>
                <w:b w:val="0"/>
                <w:bCs w:val="0"/>
                <w:color w:val="000000" w:themeColor="text1"/>
                <w:u w:val="none"/>
                <w:lang w:eastAsia="zh-CN"/>
                <w14:textFill>
                  <w14:solidFill>
                    <w14:schemeClr w14:val="tx1"/>
                  </w14:solidFill>
                </w14:textFill>
              </w:rPr>
              <w:t>“</w:t>
            </w:r>
            <w:r>
              <w:rPr>
                <w:rFonts w:hint="eastAsia"/>
                <w:b w:val="0"/>
                <w:bCs w:val="0"/>
                <w:color w:val="000000" w:themeColor="text1"/>
                <w:u w:val="none"/>
                <w:lang w:val="en-US" w:eastAsia="zh-CN"/>
                <w14:textFill>
                  <w14:solidFill>
                    <w14:schemeClr w14:val="tx1"/>
                  </w14:solidFill>
                </w14:textFill>
              </w:rPr>
              <w:t>河南省生态环境分区管控应用平台</w:t>
            </w:r>
            <w:r>
              <w:rPr>
                <w:rFonts w:hint="eastAsia"/>
                <w:b w:val="0"/>
                <w:bCs w:val="0"/>
                <w:color w:val="000000" w:themeColor="text1"/>
                <w:u w:val="none"/>
                <w:lang w:eastAsia="zh-CN"/>
                <w14:textFill>
                  <w14:solidFill>
                    <w14:schemeClr w14:val="tx1"/>
                  </w14:solidFill>
                </w14:textFill>
              </w:rPr>
              <w:t>”</w:t>
            </w:r>
            <w:r>
              <w:rPr>
                <w:rFonts w:hint="eastAsia"/>
                <w:b w:val="0"/>
                <w:bCs w:val="0"/>
                <w:color w:val="000000" w:themeColor="text1"/>
                <w:u w:val="none"/>
                <w14:textFill>
                  <w14:solidFill>
                    <w14:schemeClr w14:val="tx1"/>
                  </w14:solidFill>
                </w14:textFill>
              </w:rPr>
              <w:t>研判分析</w:t>
            </w:r>
            <w:r>
              <w:rPr>
                <w:rFonts w:hint="eastAsia"/>
              </w:rPr>
              <w:t>，本项目不在生态保护红线内。</w:t>
            </w:r>
          </w:p>
          <w:p w14:paraId="7312E185">
            <w:pPr>
              <w:pStyle w:val="144"/>
              <w:rPr>
                <w:rFonts w:hint="eastAsia"/>
              </w:rPr>
            </w:pPr>
            <w:r>
              <w:rPr>
                <w:rFonts w:hint="eastAsia"/>
              </w:rPr>
              <w:t>（2）与资源利用上线的相符性</w:t>
            </w:r>
          </w:p>
          <w:p w14:paraId="0A0F4933">
            <w:pPr>
              <w:pStyle w:val="144"/>
              <w:rPr>
                <w:rFonts w:hint="eastAsia"/>
              </w:rPr>
            </w:pPr>
            <w:r>
              <w:rPr>
                <w:rFonts w:hint="eastAsia"/>
              </w:rPr>
              <w:t>项目使用电</w:t>
            </w:r>
            <w:r>
              <w:rPr>
                <w:rFonts w:hint="eastAsia"/>
                <w:lang w:val="en-US" w:eastAsia="zh-CN"/>
              </w:rPr>
              <w:t>和天然气</w:t>
            </w:r>
            <w:r>
              <w:rPr>
                <w:rFonts w:hint="eastAsia"/>
              </w:rPr>
              <w:t>作为清洁能源，用水、电由</w:t>
            </w:r>
            <w:r>
              <w:rPr>
                <w:rFonts w:hint="eastAsia"/>
                <w:lang w:val="zh-CN"/>
              </w:rPr>
              <w:t>当地管网</w:t>
            </w:r>
            <w:r>
              <w:rPr>
                <w:rFonts w:hint="eastAsia"/>
              </w:rPr>
              <w:t>供给，不会突破区域能源、水资源和土地资源等资源利用上限，因此本项目满足资源利用上限要求。</w:t>
            </w:r>
          </w:p>
          <w:p w14:paraId="44024EA6">
            <w:pPr>
              <w:pStyle w:val="144"/>
              <w:rPr>
                <w:rFonts w:hint="eastAsia"/>
              </w:rPr>
            </w:pPr>
            <w:r>
              <w:rPr>
                <w:rFonts w:hint="eastAsia"/>
                <w:lang w:eastAsia="zh-CN"/>
              </w:rPr>
              <w:t>（</w:t>
            </w:r>
            <w:r>
              <w:rPr>
                <w:rFonts w:hint="eastAsia"/>
                <w:lang w:val="en-US" w:eastAsia="zh-CN"/>
              </w:rPr>
              <w:t>3</w:t>
            </w:r>
            <w:r>
              <w:rPr>
                <w:rFonts w:hint="eastAsia"/>
                <w:lang w:eastAsia="zh-CN"/>
              </w:rPr>
              <w:t>）</w:t>
            </w:r>
            <w:r>
              <w:rPr>
                <w:rFonts w:hint="eastAsia"/>
              </w:rPr>
              <w:t>与环境质量底线相符性</w:t>
            </w:r>
          </w:p>
          <w:p w14:paraId="5220D3A3">
            <w:pPr>
              <w:pStyle w:val="144"/>
            </w:pPr>
            <w:r>
              <w:rPr>
                <w:lang w:bidi="ar"/>
              </w:rPr>
              <w:t>“环境质量底线”是国家和地方设置的大气、水和土壤环境质量目标</w:t>
            </w:r>
            <w:r>
              <w:rPr>
                <w:rFonts w:hint="eastAsia"/>
                <w:lang w:bidi="ar"/>
              </w:rPr>
              <w:t>，</w:t>
            </w:r>
            <w:r>
              <w:rPr>
                <w:lang w:bidi="ar"/>
              </w:rPr>
              <w:t>也是改善环境质量的基准线。有关规划环评应落实区域环境质量目标管理要求</w:t>
            </w:r>
            <w:r>
              <w:rPr>
                <w:rFonts w:hint="eastAsia"/>
                <w:lang w:bidi="ar"/>
              </w:rPr>
              <w:t>，</w:t>
            </w:r>
            <w:r>
              <w:rPr>
                <w:lang w:bidi="ar"/>
              </w:rPr>
              <w:t>提出区域或者行业污染物排放总量管控建议以及优化区域或行业发展布局、结构和规模的对策措施。项目环评应对照区域环境质量目标</w:t>
            </w:r>
            <w:r>
              <w:rPr>
                <w:rFonts w:hint="eastAsia"/>
                <w:lang w:bidi="ar"/>
              </w:rPr>
              <w:t>，</w:t>
            </w:r>
            <w:r>
              <w:rPr>
                <w:lang w:bidi="ar"/>
              </w:rPr>
              <w:t>深入分析预测项目建设对环境质量的影响</w:t>
            </w:r>
            <w:r>
              <w:rPr>
                <w:rFonts w:hint="eastAsia"/>
                <w:lang w:bidi="ar"/>
              </w:rPr>
              <w:t>，</w:t>
            </w:r>
            <w:r>
              <w:rPr>
                <w:lang w:bidi="ar"/>
              </w:rPr>
              <w:t>强化污染防治措施和污染物排放控制要求</w:t>
            </w:r>
            <w:r>
              <w:t>。</w:t>
            </w:r>
          </w:p>
          <w:p w14:paraId="73909421">
            <w:pPr>
              <w:pStyle w:val="144"/>
            </w:pPr>
            <w:r>
              <w:rPr>
                <w:kern w:val="0"/>
                <w:lang w:bidi="ar"/>
              </w:rPr>
              <w:t>本项目大气污染物主要为</w:t>
            </w:r>
            <w:r>
              <w:rPr>
                <w:rFonts w:hint="eastAsia"/>
                <w:kern w:val="0"/>
                <w:lang w:val="en-US" w:eastAsia="zh-CN" w:bidi="ar"/>
              </w:rPr>
              <w:t>颗粒物、二氧化硫、氮氧化物及油烟</w:t>
            </w:r>
            <w:r>
              <w:rPr>
                <w:rFonts w:hint="eastAsia"/>
                <w:kern w:val="0"/>
                <w:lang w:bidi="ar"/>
              </w:rPr>
              <w:t>，</w:t>
            </w:r>
            <w:r>
              <w:rPr>
                <w:kern w:val="0"/>
                <w:lang w:bidi="ar"/>
              </w:rPr>
              <w:t>经处理后可达标排放；本项目</w:t>
            </w:r>
            <w:r>
              <w:rPr>
                <w:rFonts w:hint="eastAsia"/>
                <w:kern w:val="0"/>
                <w:lang w:bidi="ar"/>
              </w:rPr>
              <w:t>生产废水和生活污水经预处理后可满足相关要求</w:t>
            </w:r>
            <w:r>
              <w:rPr>
                <w:kern w:val="0"/>
                <w:lang w:bidi="ar"/>
              </w:rPr>
              <w:t>；项目产生的固废均可妥善处理</w:t>
            </w:r>
            <w:r>
              <w:rPr>
                <w:rFonts w:hint="eastAsia"/>
                <w:kern w:val="0"/>
                <w:lang w:bidi="ar"/>
              </w:rPr>
              <w:t>，</w:t>
            </w:r>
            <w:r>
              <w:rPr>
                <w:kern w:val="0"/>
                <w:lang w:bidi="ar"/>
              </w:rPr>
              <w:t>项目废气污染物</w:t>
            </w:r>
            <w:r>
              <w:rPr>
                <w:rFonts w:hint="eastAsia"/>
                <w:kern w:val="0"/>
                <w:lang w:bidi="ar"/>
              </w:rPr>
              <w:t>和废水污染物</w:t>
            </w:r>
            <w:r>
              <w:rPr>
                <w:kern w:val="0"/>
                <w:lang w:bidi="ar"/>
              </w:rPr>
              <w:t>按当地环保管理要求进行总量替代</w:t>
            </w:r>
            <w:r>
              <w:rPr>
                <w:rFonts w:hint="eastAsia"/>
                <w:kern w:val="0"/>
                <w:lang w:bidi="ar"/>
              </w:rPr>
              <w:t>，</w:t>
            </w:r>
            <w:r>
              <w:rPr>
                <w:kern w:val="0"/>
                <w:lang w:bidi="ar"/>
              </w:rPr>
              <w:t>不会突破环境质量底线。因此</w:t>
            </w:r>
            <w:r>
              <w:rPr>
                <w:rFonts w:hint="eastAsia"/>
                <w:kern w:val="0"/>
                <w:lang w:bidi="ar"/>
              </w:rPr>
              <w:t>，</w:t>
            </w:r>
            <w:r>
              <w:rPr>
                <w:kern w:val="0"/>
                <w:lang w:bidi="ar"/>
              </w:rPr>
              <w:t>本项目的建设满足质量底线要求。</w:t>
            </w:r>
          </w:p>
          <w:p w14:paraId="7EC77006">
            <w:pPr>
              <w:pStyle w:val="144"/>
              <w:rPr>
                <w:rFonts w:hint="eastAsia"/>
              </w:rPr>
            </w:pPr>
            <w:r>
              <w:rPr>
                <w:rFonts w:hint="eastAsia"/>
              </w:rPr>
              <w:t>（4）与环境准入负面清单的相符性</w:t>
            </w:r>
          </w:p>
          <w:p w14:paraId="2268B634">
            <w:pPr>
              <w:pStyle w:val="144"/>
              <w:rPr>
                <w:rFonts w:hint="eastAsia"/>
              </w:rPr>
            </w:pPr>
            <w:r>
              <w:rPr>
                <w:rFonts w:hint="eastAsia"/>
              </w:rPr>
              <w:t>本项目位于</w:t>
            </w:r>
            <w:r>
              <w:rPr>
                <w:rFonts w:hint="eastAsia"/>
                <w:lang w:eastAsia="zh-CN"/>
              </w:rPr>
              <w:t>安阳市</w:t>
            </w:r>
            <w:r>
              <w:rPr>
                <w:rFonts w:hint="eastAsia"/>
                <w:lang w:val="en-US" w:eastAsia="zh-CN"/>
              </w:rPr>
              <w:t>汤阴县古贤镇</w:t>
            </w:r>
            <w:r>
              <w:rPr>
                <w:rFonts w:hint="eastAsia"/>
              </w:rPr>
              <w:t>，环境管控单元编码为</w:t>
            </w:r>
            <w:r>
              <w:rPr>
                <w:rFonts w:hint="default" w:ascii="Times New Roman" w:hAnsi="Times New Roman" w:cs="Times New Roman" w:eastAsiaTheme="majorEastAsia"/>
                <w:bCs/>
                <w:color w:val="000000" w:themeColor="text1"/>
                <w:sz w:val="24"/>
                <w:szCs w:val="24"/>
                <w:highlight w:val="none"/>
                <w14:textFill>
                  <w14:solidFill>
                    <w14:schemeClr w14:val="tx1"/>
                  </w14:solidFill>
                </w14:textFill>
              </w:rPr>
              <w:t>ZH4105232000</w:t>
            </w:r>
            <w:r>
              <w:rPr>
                <w:rFonts w:hint="default" w:ascii="Times New Roman" w:hAnsi="Times New Roman" w:cs="Times New Roman" w:eastAsiaTheme="majorEastAsia"/>
                <w:bCs/>
                <w:color w:val="000000" w:themeColor="text1"/>
                <w:sz w:val="24"/>
                <w:szCs w:val="24"/>
                <w:highlight w:val="none"/>
                <w:lang w:val="en-US" w:eastAsia="zh-CN"/>
                <w14:textFill>
                  <w14:solidFill>
                    <w14:schemeClr w14:val="tx1"/>
                  </w14:solidFill>
                </w14:textFill>
              </w:rPr>
              <w:t>4</w:t>
            </w:r>
            <w:r>
              <w:rPr>
                <w:rFonts w:hint="eastAsia"/>
              </w:rPr>
              <w:t>，属于</w:t>
            </w:r>
            <w:bookmarkStart w:id="4" w:name="OLE_LINK26"/>
            <w:r>
              <w:rPr>
                <w:rFonts w:hint="default" w:ascii="Times New Roman" w:hAnsi="Times New Roman" w:cs="Times New Roman" w:eastAsiaTheme="majorEastAsia"/>
                <w:bCs/>
                <w:color w:val="000000" w:themeColor="text1"/>
                <w:sz w:val="24"/>
                <w:szCs w:val="24"/>
                <w:highlight w:val="none"/>
                <w:lang w:val="en-US" w:eastAsia="zh-CN"/>
                <w14:textFill>
                  <w14:solidFill>
                    <w14:schemeClr w14:val="tx1"/>
                  </w14:solidFill>
                </w14:textFill>
              </w:rPr>
              <w:t>汤阴县大气布局敏感区</w:t>
            </w:r>
            <w:bookmarkEnd w:id="4"/>
            <w:r>
              <w:rPr>
                <w:rFonts w:hint="eastAsia"/>
              </w:rPr>
              <w:t>，本项目与安阳市生态环境总体准入要求相符性分析见表</w:t>
            </w:r>
            <w:r>
              <w:rPr>
                <w:rFonts w:hint="eastAsia"/>
                <w:lang w:val="en-US" w:eastAsia="zh-CN"/>
              </w:rPr>
              <w:t>1</w:t>
            </w:r>
            <w:r>
              <w:rPr>
                <w:rFonts w:hint="eastAsia"/>
              </w:rPr>
              <w:t>。</w:t>
            </w:r>
          </w:p>
          <w:p w14:paraId="6506D6E6">
            <w:pPr>
              <w:pStyle w:val="56"/>
              <w:bidi w:val="0"/>
              <w:ind w:left="1050" w:leftChars="0" w:firstLineChars="0"/>
              <w:jc w:val="center"/>
            </w:pPr>
            <w:r>
              <w:t>本项目与安阳市生态环境总体准入要求性相符性分析</w:t>
            </w:r>
          </w:p>
          <w:tbl>
            <w:tblPr>
              <w:tblStyle w:val="47"/>
              <w:tblW w:w="5000" w:type="pct"/>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5615"/>
              <w:gridCol w:w="1493"/>
              <w:gridCol w:w="598"/>
            </w:tblGrid>
            <w:tr w14:paraId="29CD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8" w:type="pct"/>
                  <w:noWrap w:val="0"/>
                  <w:tcMar>
                    <w:left w:w="57" w:type="dxa"/>
                    <w:right w:w="57" w:type="dxa"/>
                  </w:tcMar>
                  <w:vAlign w:val="center"/>
                </w:tcPr>
                <w:p w14:paraId="3943E355">
                  <w:pPr>
                    <w:pStyle w:val="104"/>
                    <w:rPr>
                      <w:color w:val="000000"/>
                    </w:rPr>
                  </w:pPr>
                  <w:r>
                    <w:rPr>
                      <w:color w:val="000000"/>
                    </w:rPr>
                    <w:t>维度</w:t>
                  </w:r>
                </w:p>
              </w:tc>
              <w:tc>
                <w:tcPr>
                  <w:tcW w:w="3418" w:type="pct"/>
                  <w:noWrap w:val="0"/>
                  <w:tcMar>
                    <w:left w:w="57" w:type="dxa"/>
                    <w:right w:w="57" w:type="dxa"/>
                  </w:tcMar>
                  <w:vAlign w:val="center"/>
                </w:tcPr>
                <w:p w14:paraId="169A7A4E">
                  <w:pPr>
                    <w:pStyle w:val="104"/>
                    <w:rPr>
                      <w:color w:val="000000"/>
                    </w:rPr>
                  </w:pPr>
                  <w:r>
                    <w:rPr>
                      <w:color w:val="000000"/>
                    </w:rPr>
                    <w:t>管控要求</w:t>
                  </w:r>
                </w:p>
              </w:tc>
              <w:tc>
                <w:tcPr>
                  <w:tcW w:w="909" w:type="pct"/>
                  <w:noWrap w:val="0"/>
                  <w:tcMar>
                    <w:left w:w="57" w:type="dxa"/>
                    <w:right w:w="57" w:type="dxa"/>
                  </w:tcMar>
                  <w:vAlign w:val="center"/>
                </w:tcPr>
                <w:p w14:paraId="11E75E89">
                  <w:pPr>
                    <w:pStyle w:val="104"/>
                    <w:rPr>
                      <w:color w:val="000000"/>
                    </w:rPr>
                  </w:pPr>
                  <w:r>
                    <w:rPr>
                      <w:color w:val="000000"/>
                    </w:rPr>
                    <w:t>本项目</w:t>
                  </w:r>
                </w:p>
              </w:tc>
              <w:tc>
                <w:tcPr>
                  <w:tcW w:w="364" w:type="pct"/>
                  <w:noWrap w:val="0"/>
                  <w:tcMar>
                    <w:left w:w="57" w:type="dxa"/>
                    <w:right w:w="57" w:type="dxa"/>
                  </w:tcMar>
                  <w:vAlign w:val="center"/>
                </w:tcPr>
                <w:p w14:paraId="7E6C0C12">
                  <w:pPr>
                    <w:pStyle w:val="104"/>
                    <w:rPr>
                      <w:color w:val="000000"/>
                    </w:rPr>
                  </w:pPr>
                  <w:r>
                    <w:rPr>
                      <w:color w:val="000000"/>
                    </w:rPr>
                    <w:t>是否相符</w:t>
                  </w:r>
                </w:p>
              </w:tc>
            </w:tr>
            <w:tr w14:paraId="172C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8" w:type="pct"/>
                  <w:noWrap w:val="0"/>
                  <w:tcMar>
                    <w:left w:w="57" w:type="dxa"/>
                    <w:right w:w="57" w:type="dxa"/>
                  </w:tcMar>
                  <w:vAlign w:val="center"/>
                </w:tcPr>
                <w:p w14:paraId="6208CE4F">
                  <w:pPr>
                    <w:pStyle w:val="104"/>
                    <w:rPr>
                      <w:color w:val="000000"/>
                    </w:rPr>
                  </w:pPr>
                  <w:r>
                    <w:rPr>
                      <w:color w:val="000000"/>
                      <w:kern w:val="0"/>
                      <w:lang w:bidi="ar"/>
                    </w:rPr>
                    <w:t>空间布局约束</w:t>
                  </w:r>
                </w:p>
              </w:tc>
              <w:tc>
                <w:tcPr>
                  <w:tcW w:w="3418" w:type="pct"/>
                  <w:noWrap w:val="0"/>
                  <w:tcMar>
                    <w:left w:w="57" w:type="dxa"/>
                    <w:right w:w="57" w:type="dxa"/>
                  </w:tcMar>
                  <w:vAlign w:val="center"/>
                </w:tcPr>
                <w:p w14:paraId="4BABD9B3">
                  <w:pPr>
                    <w:pStyle w:val="104"/>
                    <w:jc w:val="left"/>
                    <w:rPr>
                      <w:rFonts w:hint="eastAsia"/>
                      <w:color w:val="000000"/>
                    </w:rPr>
                  </w:pPr>
                  <w:r>
                    <w:rPr>
                      <w:rFonts w:hint="eastAsia"/>
                      <w:color w:val="000000"/>
                    </w:rPr>
                    <w:t>1、严格控制高耗能、高排放项目准入，新建、改建、扩建“两高”项目须符合生态环境保护法律法规和相关法定规划，满足重点污染物排放总量控制、碳排放达峰目标、相关规划环评和相应行业建设项目环境准入条件、环评文件审批原则要求。</w:t>
                  </w:r>
                </w:p>
                <w:p w14:paraId="1D80D516">
                  <w:pPr>
                    <w:pStyle w:val="104"/>
                    <w:jc w:val="left"/>
                    <w:rPr>
                      <w:rFonts w:hint="eastAsia"/>
                      <w:color w:val="000000"/>
                    </w:rPr>
                  </w:pPr>
                  <w:r>
                    <w:rPr>
                      <w:rFonts w:hint="eastAsia"/>
                      <w:color w:val="000000"/>
                    </w:rPr>
                    <w:t>2、新建、扩建、搬迁的化学原料药和生物生化制品建设项目应位于产业园区，并符合园区产业定位、园区规划、规划环评及审查意见要求。</w:t>
                  </w:r>
                </w:p>
                <w:p w14:paraId="3A32B916">
                  <w:pPr>
                    <w:pStyle w:val="104"/>
                    <w:jc w:val="left"/>
                    <w:rPr>
                      <w:rFonts w:hint="eastAsia"/>
                      <w:color w:val="000000"/>
                    </w:rPr>
                  </w:pPr>
                  <w:r>
                    <w:rPr>
                      <w:rFonts w:hint="eastAsia"/>
                      <w:color w:val="000000"/>
                    </w:rPr>
                    <w:t>3、铸造企业不得采用无芯工频感应电炉、无磁轭（≥0.25吨）铝壳中频感应电炉、水玻璃熔模精密铸造氯化铵硬化模壳、铝合金六氯乙烷精炼等淘汰类工艺和装备。严格区分锻压行业和钢铁行业生产工艺特征特点，避免锻压配套的炼钢判定为钢铁冶炼生产，也严禁以铸造和锻压名义违规新增钢铁产能、违规生产钢坯钢锭及上市销售。</w:t>
                  </w:r>
                </w:p>
                <w:p w14:paraId="19F83451">
                  <w:pPr>
                    <w:pStyle w:val="104"/>
                    <w:jc w:val="left"/>
                    <w:rPr>
                      <w:rFonts w:hint="eastAsia"/>
                      <w:color w:val="000000"/>
                    </w:rPr>
                  </w:pPr>
                  <w:r>
                    <w:rPr>
                      <w:rFonts w:hint="eastAsia"/>
                      <w:color w:val="000000"/>
                    </w:rPr>
                    <w:t>4、严控磷铵、电石、黄磷等行业新增产能。</w:t>
                  </w:r>
                </w:p>
                <w:p w14:paraId="269B0764">
                  <w:pPr>
                    <w:pStyle w:val="104"/>
                    <w:jc w:val="left"/>
                    <w:rPr>
                      <w:rFonts w:hint="eastAsia"/>
                      <w:color w:val="000000"/>
                    </w:rPr>
                  </w:pPr>
                  <w:r>
                    <w:rPr>
                      <w:rFonts w:hint="eastAsia"/>
                      <w:color w:val="000000"/>
                    </w:rPr>
                    <w:t>5、禁止在黄河干支流岸线管控范围内新建、扩建化工园区和化工项目。新建危险化学品生产项目必须进入通过认定的一般或较低安全风险的化工园区（与其他行业生产装置配套建设的项目除外，配套建设项目由工业和信息化部门会同应急管理部门认定），引导其他化工项目在化工园区发展。</w:t>
                  </w:r>
                </w:p>
                <w:p w14:paraId="5BD31C4D">
                  <w:pPr>
                    <w:pStyle w:val="104"/>
                    <w:jc w:val="left"/>
                    <w:rPr>
                      <w:rFonts w:hint="eastAsia"/>
                      <w:color w:val="000000"/>
                    </w:rPr>
                  </w:pPr>
                  <w:r>
                    <w:rPr>
                      <w:rFonts w:hint="eastAsia"/>
                      <w:color w:val="000000"/>
                    </w:rPr>
                    <w:t>6、禁止承接不符合国家石化、现代煤化工等产业布局规划的项目。禁止承接包含《安阳市承接化工产业转移“禁限控”目录》中所列工艺装备或产品的项目。禁止承接煤化工产能。禁止承接一次性固定资产投资额低于3亿元（不含土地费用）的危险化学品生产建设项目（列入国家战略性新兴产业重点产品和服务指导目录的项目除外）。禁止在化工园区外承接化工项目。</w:t>
                  </w:r>
                </w:p>
                <w:p w14:paraId="5FC79056">
                  <w:pPr>
                    <w:pStyle w:val="104"/>
                    <w:jc w:val="left"/>
                    <w:rPr>
                      <w:rFonts w:hint="eastAsia"/>
                      <w:color w:val="000000"/>
                    </w:rPr>
                  </w:pPr>
                  <w:r>
                    <w:rPr>
                      <w:rFonts w:hint="eastAsia"/>
                      <w:color w:val="000000"/>
                    </w:rPr>
                    <w:t>7、从严从紧控制现代煤化工产能规模和新增煤炭消费量。确需新建的现代煤化工项目，应确保煤炭供应稳定，优先完成国家明确的发电供热用煤保供任务，不得通过减少保供煤用于现代煤化工项目建设，新建项目企业环保应达到绩效分级A级指标要求。新建项目应优先依托园区集中供热供汽设施，原则上不再新增自备燃煤机组。大气污染防治重点区域严禁新增煤化工产能（不含煤制油、煤制燃料）。</w:t>
                  </w:r>
                </w:p>
                <w:p w14:paraId="0CD519EB">
                  <w:pPr>
                    <w:pStyle w:val="104"/>
                    <w:jc w:val="left"/>
                    <w:rPr>
                      <w:rFonts w:hint="eastAsia"/>
                      <w:color w:val="000000"/>
                    </w:rPr>
                  </w:pPr>
                  <w:r>
                    <w:rPr>
                      <w:rFonts w:hint="eastAsia"/>
                      <w:color w:val="000000"/>
                    </w:rPr>
                    <w:t>8、推动涉重金属产业集中优化发展，禁止低端落后产能向我市转移。禁止新建用汞的电石法（聚）氯乙烯生产工艺。新建、扩建的重有色金属冶炼、电镀、制革企业应选择布设在依法合规设立并经规划环评的产业园区。</w:t>
                  </w:r>
                </w:p>
                <w:p w14:paraId="60120B47">
                  <w:pPr>
                    <w:pStyle w:val="104"/>
                    <w:jc w:val="left"/>
                    <w:rPr>
                      <w:color w:val="000000"/>
                    </w:rPr>
                  </w:pPr>
                  <w:r>
                    <w:rPr>
                      <w:rFonts w:hint="eastAsia"/>
                      <w:color w:val="000000"/>
                    </w:rPr>
                    <w:t>9、禁止在水土流失严重区及重点预防区、水源保护区、生态脆弱区、自然保护地、野生动植物重要栖息地等区域，开展造成或者可能造成严重水土流失、破坏水生态环境和野生动植物栖息环境的生产建设活动。确因重大发展战略和重大公共利益需要建设的，应当经科学论证，并依法办理审批手续。严禁在黄河干流和主要支流临岸一定范围内新建“两高一资”（高耗能、高污染和资源性）项目及相关产业园区，具体范围由省人民政府制定。禁止在黄河干流岸线和重要支流岸线的管控范围内新建、改建、扩建尾矿库；但是以提升安全水平、生态环境保护水平为目的的改建除外。</w:t>
                  </w:r>
                </w:p>
                <w:p w14:paraId="6448DC8F">
                  <w:pPr>
                    <w:pStyle w:val="104"/>
                    <w:jc w:val="left"/>
                    <w:rPr>
                      <w:rFonts w:hint="eastAsia"/>
                      <w:color w:val="000000"/>
                    </w:rPr>
                  </w:pPr>
                  <w:r>
                    <w:rPr>
                      <w:rFonts w:hint="eastAsia"/>
                      <w:color w:val="000000"/>
                    </w:rPr>
                    <w:t>10、原则上禁止曾用于生产、使用、贮存、回收、处置有毒有害物质的工矿用地复垦为种植食用农产品的耕地。</w:t>
                  </w:r>
                </w:p>
                <w:p w14:paraId="42916263">
                  <w:pPr>
                    <w:pStyle w:val="104"/>
                    <w:jc w:val="left"/>
                    <w:rPr>
                      <w:rFonts w:hint="eastAsia"/>
                      <w:color w:val="000000"/>
                    </w:rPr>
                  </w:pPr>
                  <w:r>
                    <w:rPr>
                      <w:rFonts w:hint="eastAsia"/>
                      <w:color w:val="000000"/>
                    </w:rPr>
                    <w:t>11、工业企业选址应对符合国土空间规划和相关规划要求，建设项目严格执行声功能区环境准入要求，禁止在0、1类声环境功能区、严格限制在城市建成区内2类声环境功能区（工业园区外）建设产生噪声污染的工业项目。严控噪声污染严重的工业企业向乡村居民区域转移。</w:t>
                  </w:r>
                </w:p>
                <w:p w14:paraId="25C87EF2">
                  <w:pPr>
                    <w:pStyle w:val="104"/>
                    <w:jc w:val="left"/>
                    <w:rPr>
                      <w:rFonts w:hint="eastAsia"/>
                      <w:color w:val="000000"/>
                    </w:rPr>
                  </w:pPr>
                  <w:r>
                    <w:rPr>
                      <w:rFonts w:hint="eastAsia"/>
                      <w:color w:val="000000"/>
                    </w:rPr>
                    <w:t>12、禁止在饮用水水源一级保护区内新建、改建、扩建与供水设施和保护水源无关的建设项目，且不得新建排污口。禁止在饮用水水源二级保护区内新建、改建、扩建排放污染物的建设项目，且不得新建排污口。禁止在饮用水水源准保护区内新建、扩建对水体污染严重的建设项目，改建建设项目不得增加排污量。</w:t>
                  </w:r>
                </w:p>
                <w:p w14:paraId="444C98CF">
                  <w:pPr>
                    <w:pStyle w:val="104"/>
                    <w:jc w:val="left"/>
                    <w:rPr>
                      <w:rFonts w:hint="eastAsia"/>
                      <w:color w:val="000000"/>
                    </w:rPr>
                  </w:pPr>
                  <w:r>
                    <w:rPr>
                      <w:rFonts w:hint="eastAsia"/>
                      <w:color w:val="000000"/>
                    </w:rPr>
                    <w:t>13、林州万宝山省级自然保护区禁止下列行为：*</w:t>
                  </w:r>
                  <w:r>
                    <w:rPr>
                      <w:color w:val="000000"/>
                    </w:rPr>
                    <w:t>*****</w:t>
                  </w:r>
                  <w:r>
                    <w:rPr>
                      <w:rFonts w:hint="eastAsia"/>
                      <w:color w:val="000000"/>
                    </w:rPr>
                    <w:t>。</w:t>
                  </w:r>
                </w:p>
                <w:p w14:paraId="3E66931D">
                  <w:pPr>
                    <w:pStyle w:val="104"/>
                    <w:jc w:val="left"/>
                    <w:rPr>
                      <w:rFonts w:hint="eastAsia"/>
                      <w:color w:val="000000"/>
                    </w:rPr>
                  </w:pPr>
                  <w:r>
                    <w:rPr>
                      <w:rFonts w:hint="eastAsia"/>
                      <w:color w:val="000000"/>
                    </w:rPr>
                    <w:t>14、林虑山风景名胜区内禁止以下行为：*</w:t>
                  </w:r>
                  <w:r>
                    <w:rPr>
                      <w:color w:val="000000"/>
                    </w:rPr>
                    <w:t>*****</w:t>
                  </w:r>
                  <w:r>
                    <w:rPr>
                      <w:rFonts w:hint="eastAsia"/>
                      <w:color w:val="000000"/>
                    </w:rPr>
                    <w:t>。</w:t>
                  </w:r>
                </w:p>
                <w:p w14:paraId="479EF7CB">
                  <w:pPr>
                    <w:pStyle w:val="104"/>
                    <w:jc w:val="left"/>
                    <w:rPr>
                      <w:rFonts w:hint="eastAsia"/>
                      <w:color w:val="000000"/>
                    </w:rPr>
                  </w:pPr>
                  <w:r>
                    <w:rPr>
                      <w:rFonts w:hint="eastAsia"/>
                      <w:color w:val="000000"/>
                    </w:rPr>
                    <w:t>15、淇河国家鲫鱼种质资源保护区禁止下列行为：*</w:t>
                  </w:r>
                  <w:r>
                    <w:rPr>
                      <w:color w:val="000000"/>
                    </w:rPr>
                    <w:t>*****</w:t>
                  </w:r>
                  <w:r>
                    <w:rPr>
                      <w:rFonts w:hint="eastAsia"/>
                      <w:color w:val="000000"/>
                    </w:rPr>
                    <w:t>。</w:t>
                  </w:r>
                </w:p>
                <w:p w14:paraId="35E5DE73">
                  <w:pPr>
                    <w:pStyle w:val="104"/>
                    <w:jc w:val="left"/>
                    <w:rPr>
                      <w:rFonts w:hint="eastAsia"/>
                      <w:color w:val="000000"/>
                    </w:rPr>
                  </w:pPr>
                  <w:r>
                    <w:rPr>
                      <w:rFonts w:hint="eastAsia"/>
                      <w:color w:val="000000"/>
                    </w:rPr>
                    <w:t>16、淇淅河湿地公园核心区内禁止下列行为：*</w:t>
                  </w:r>
                  <w:r>
                    <w:rPr>
                      <w:color w:val="000000"/>
                    </w:rPr>
                    <w:t>*****</w:t>
                  </w:r>
                  <w:r>
                    <w:rPr>
                      <w:rFonts w:hint="eastAsia"/>
                      <w:color w:val="000000"/>
                    </w:rPr>
                    <w:t>；淇淅河国家湿地公园一般保护区内禁止以下行为：*</w:t>
                  </w:r>
                  <w:r>
                    <w:rPr>
                      <w:color w:val="000000"/>
                    </w:rPr>
                    <w:t>*****</w:t>
                  </w:r>
                  <w:r>
                    <w:rPr>
                      <w:rFonts w:hint="eastAsia"/>
                      <w:color w:val="000000"/>
                    </w:rPr>
                    <w:t>。</w:t>
                  </w:r>
                </w:p>
                <w:p w14:paraId="350F22DC">
                  <w:pPr>
                    <w:pStyle w:val="104"/>
                    <w:jc w:val="left"/>
                    <w:rPr>
                      <w:rFonts w:hint="eastAsia"/>
                      <w:color w:val="000000"/>
                    </w:rPr>
                  </w:pPr>
                  <w:r>
                    <w:rPr>
                      <w:rFonts w:hint="eastAsia"/>
                      <w:color w:val="000000"/>
                    </w:rPr>
                    <w:t>17、汤河国家湿地公园规划区内禁止下列行为：*</w:t>
                  </w:r>
                  <w:r>
                    <w:rPr>
                      <w:color w:val="000000"/>
                    </w:rPr>
                    <w:t>*****</w:t>
                  </w:r>
                  <w:r>
                    <w:rPr>
                      <w:rFonts w:hint="eastAsia"/>
                      <w:color w:val="000000"/>
                    </w:rPr>
                    <w:t>。</w:t>
                  </w:r>
                </w:p>
                <w:p w14:paraId="353A8209">
                  <w:pPr>
                    <w:pStyle w:val="104"/>
                    <w:jc w:val="left"/>
                    <w:rPr>
                      <w:rFonts w:hint="eastAsia"/>
                      <w:color w:val="000000"/>
                    </w:rPr>
                  </w:pPr>
                  <w:r>
                    <w:rPr>
                      <w:rFonts w:hint="eastAsia"/>
                      <w:color w:val="000000"/>
                    </w:rPr>
                    <w:t>18、漳河峡谷国家湿地公园核心区、一级保护区内禁止下列行为：*</w:t>
                  </w:r>
                  <w:r>
                    <w:rPr>
                      <w:color w:val="000000"/>
                    </w:rPr>
                    <w:t>*****</w:t>
                  </w:r>
                  <w:r>
                    <w:rPr>
                      <w:rFonts w:hint="eastAsia"/>
                      <w:color w:val="000000"/>
                    </w:rPr>
                    <w:t>；湿地公园二级保护区内禁止以下行为：*</w:t>
                  </w:r>
                  <w:r>
                    <w:rPr>
                      <w:color w:val="000000"/>
                    </w:rPr>
                    <w:t>*****</w:t>
                  </w:r>
                  <w:r>
                    <w:rPr>
                      <w:rFonts w:hint="eastAsia"/>
                      <w:color w:val="000000"/>
                    </w:rPr>
                    <w:t>。</w:t>
                  </w:r>
                </w:p>
                <w:p w14:paraId="1D88DC37">
                  <w:pPr>
                    <w:pStyle w:val="104"/>
                    <w:jc w:val="left"/>
                    <w:rPr>
                      <w:rFonts w:hint="eastAsia"/>
                      <w:color w:val="000000"/>
                    </w:rPr>
                  </w:pPr>
                  <w:r>
                    <w:rPr>
                      <w:rFonts w:hint="eastAsia"/>
                      <w:color w:val="000000"/>
                    </w:rPr>
                    <w:t>19、禁燃区内，禁止销售和燃用国家规定的高污染燃料；禁止新建、扩建燃用高污染燃料的设施，已建成的，应当在市、县（市）人民政府规定的期限内改用天然气、液化石油气、电等清洁能源。</w:t>
                  </w:r>
                </w:p>
                <w:p w14:paraId="26BA04AF">
                  <w:pPr>
                    <w:pStyle w:val="104"/>
                    <w:jc w:val="left"/>
                    <w:rPr>
                      <w:rFonts w:hint="eastAsia"/>
                      <w:color w:val="000000"/>
                    </w:rPr>
                  </w:pPr>
                  <w:r>
                    <w:rPr>
                      <w:rFonts w:hint="eastAsia"/>
                      <w:color w:val="000000"/>
                    </w:rPr>
                    <w:t>20、在高污染燃料禁燃区内，禁止新建燃烧煤炭、重油、渣油以及直接燃用生物质的锅炉，其他地区禁止新建每小时三十五蒸吨以下的燃烧煤炭、重油、渣油以及直接燃用生物质的锅炉。现有燃煤锅炉改为燃气锅炉的，应当同步实现低氮改造，氮氧化物排放应当达到本市控制要求。</w:t>
                  </w:r>
                </w:p>
                <w:p w14:paraId="58C94C6B">
                  <w:pPr>
                    <w:pStyle w:val="104"/>
                    <w:jc w:val="left"/>
                    <w:rPr>
                      <w:rFonts w:hint="eastAsia"/>
                      <w:color w:val="000000"/>
                    </w:rPr>
                  </w:pPr>
                  <w:r>
                    <w:rPr>
                      <w:rFonts w:hint="eastAsia"/>
                      <w:color w:val="000000"/>
                    </w:rPr>
                    <w:t>21、禁止露天焚烧秸秆、落叶、树枝、枯草等产生烟尘污染的物质，以及非法焚烧电子废弃物、油毡、橡胶、塑料、皮革、沥青、垃圾及其他产生有毒有害烟尘、恶臭或者强烈异味气体的物质。禁止在城市建成区的道路及其两侧、广场、住宅小区等公共场所焚烧祭祀用品。任何单位和个人不得在人民政府禁止的区域内露天烧烤食品或者为露天烧烤食品提供场地。</w:t>
                  </w:r>
                </w:p>
                <w:p w14:paraId="54F1B56A">
                  <w:pPr>
                    <w:pStyle w:val="104"/>
                    <w:jc w:val="left"/>
                    <w:rPr>
                      <w:rFonts w:hint="eastAsia"/>
                      <w:color w:val="000000"/>
                    </w:rPr>
                  </w:pPr>
                  <w:r>
                    <w:rPr>
                      <w:rFonts w:hint="eastAsia"/>
                      <w:color w:val="000000"/>
                    </w:rPr>
                    <w:t>22、禁止在下列场所新建、改建、扩建排放油烟的餐饮服务项目：</w:t>
                  </w:r>
                </w:p>
                <w:p w14:paraId="2AC898BD">
                  <w:pPr>
                    <w:pStyle w:val="104"/>
                    <w:jc w:val="left"/>
                    <w:rPr>
                      <w:rFonts w:hint="eastAsia"/>
                      <w:color w:val="000000"/>
                    </w:rPr>
                  </w:pPr>
                  <w:r>
                    <w:rPr>
                      <w:rFonts w:hint="eastAsia"/>
                      <w:color w:val="000000"/>
                    </w:rPr>
                    <w:t>（一）居民住宅楼等非商用建筑；</w:t>
                  </w:r>
                </w:p>
                <w:p w14:paraId="2D7C6556">
                  <w:pPr>
                    <w:pStyle w:val="104"/>
                    <w:jc w:val="left"/>
                    <w:rPr>
                      <w:rFonts w:hint="eastAsia"/>
                      <w:color w:val="000000"/>
                    </w:rPr>
                  </w:pPr>
                  <w:r>
                    <w:rPr>
                      <w:rFonts w:hint="eastAsia"/>
                      <w:color w:val="000000"/>
                    </w:rPr>
                    <w:t>（二）未设立配套规划专用烟道的商住综合楼；</w:t>
                  </w:r>
                </w:p>
                <w:p w14:paraId="311BF74D">
                  <w:pPr>
                    <w:pStyle w:val="104"/>
                    <w:jc w:val="left"/>
                    <w:rPr>
                      <w:rFonts w:hint="eastAsia"/>
                      <w:color w:val="000000"/>
                    </w:rPr>
                  </w:pPr>
                  <w:r>
                    <w:rPr>
                      <w:rFonts w:hint="eastAsia"/>
                      <w:color w:val="000000"/>
                    </w:rPr>
                    <w:t>（三）商住综合楼内与居住层相邻的楼层。</w:t>
                  </w:r>
                </w:p>
                <w:p w14:paraId="73506C1C">
                  <w:pPr>
                    <w:pStyle w:val="104"/>
                    <w:jc w:val="left"/>
                    <w:rPr>
                      <w:color w:val="000000"/>
                    </w:rPr>
                  </w:pPr>
                  <w:r>
                    <w:rPr>
                      <w:rFonts w:hint="eastAsia"/>
                      <w:color w:val="000000"/>
                    </w:rPr>
                    <w:t>23、列入建设用地土壤污染风险管控和修复名录的地块，应依法采取风险管控措施，实施土壤修复或风险管控。未达到土壤污染风险评估报告确定的风险管控、修复目标的建设用地地块，禁止开工建设任何与风险管控、修复无关的项目。</w:t>
                  </w:r>
                </w:p>
              </w:tc>
              <w:tc>
                <w:tcPr>
                  <w:tcW w:w="909" w:type="pct"/>
                  <w:noWrap w:val="0"/>
                  <w:tcMar>
                    <w:left w:w="57" w:type="dxa"/>
                    <w:right w:w="57" w:type="dxa"/>
                  </w:tcMar>
                  <w:vAlign w:val="center"/>
                </w:tcPr>
                <w:p w14:paraId="63EFA283">
                  <w:pPr>
                    <w:pStyle w:val="257"/>
                    <w:jc w:val="left"/>
                    <w:rPr>
                      <w:color w:val="000000"/>
                    </w:rPr>
                  </w:pPr>
                  <w:r>
                    <w:rPr>
                      <w:rFonts w:hint="eastAsia"/>
                      <w:color w:val="000000"/>
                    </w:rPr>
                    <w:t>1、</w:t>
                  </w:r>
                  <w:r>
                    <w:rPr>
                      <w:color w:val="000000"/>
                    </w:rPr>
                    <w:t>本项目不属于“两高”项目。</w:t>
                  </w:r>
                </w:p>
                <w:p w14:paraId="7799E93D">
                  <w:pPr>
                    <w:pStyle w:val="257"/>
                    <w:jc w:val="left"/>
                    <w:rPr>
                      <w:color w:val="000000"/>
                    </w:rPr>
                  </w:pPr>
                  <w:r>
                    <w:rPr>
                      <w:color w:val="000000"/>
                    </w:rPr>
                    <w:t>2</w:t>
                  </w:r>
                  <w:r>
                    <w:rPr>
                      <w:rFonts w:hint="eastAsia"/>
                      <w:color w:val="000000"/>
                    </w:rPr>
                    <w:t>、</w:t>
                  </w:r>
                  <w:r>
                    <w:rPr>
                      <w:color w:val="000000"/>
                    </w:rPr>
                    <w:t>本项目不属于化学原料药和生物生化制品建设项目。</w:t>
                  </w:r>
                </w:p>
                <w:p w14:paraId="32B7FB00">
                  <w:pPr>
                    <w:pStyle w:val="257"/>
                    <w:jc w:val="left"/>
                    <w:rPr>
                      <w:color w:val="000000"/>
                    </w:rPr>
                  </w:pPr>
                  <w:r>
                    <w:rPr>
                      <w:color w:val="000000"/>
                    </w:rPr>
                    <w:t>3</w:t>
                  </w:r>
                  <w:r>
                    <w:rPr>
                      <w:rFonts w:hint="eastAsia"/>
                      <w:color w:val="000000"/>
                    </w:rPr>
                    <w:t>、</w:t>
                  </w:r>
                  <w:r>
                    <w:rPr>
                      <w:color w:val="000000"/>
                    </w:rPr>
                    <w:t>本项目不属于铸造行业、锻压行业、钢铁行业。</w:t>
                  </w:r>
                </w:p>
                <w:p w14:paraId="5558E758">
                  <w:pPr>
                    <w:pStyle w:val="257"/>
                    <w:jc w:val="left"/>
                    <w:rPr>
                      <w:color w:val="000000"/>
                    </w:rPr>
                  </w:pPr>
                  <w:r>
                    <w:rPr>
                      <w:color w:val="000000"/>
                    </w:rPr>
                    <w:t>4</w:t>
                  </w:r>
                  <w:r>
                    <w:rPr>
                      <w:rFonts w:hint="eastAsia"/>
                      <w:color w:val="000000"/>
                    </w:rPr>
                    <w:t>、</w:t>
                  </w:r>
                  <w:r>
                    <w:rPr>
                      <w:color w:val="000000"/>
                    </w:rPr>
                    <w:t>本项目不属于磷铵、电石、黄磷行业。</w:t>
                  </w:r>
                </w:p>
                <w:p w14:paraId="31B97D82">
                  <w:pPr>
                    <w:pStyle w:val="257"/>
                    <w:jc w:val="left"/>
                    <w:rPr>
                      <w:color w:val="000000"/>
                    </w:rPr>
                  </w:pPr>
                  <w:r>
                    <w:rPr>
                      <w:color w:val="000000"/>
                    </w:rPr>
                    <w:t>5</w:t>
                  </w:r>
                  <w:r>
                    <w:rPr>
                      <w:rFonts w:hint="eastAsia"/>
                      <w:color w:val="000000"/>
                    </w:rPr>
                    <w:t>、</w:t>
                  </w:r>
                  <w:r>
                    <w:rPr>
                      <w:color w:val="000000"/>
                    </w:rPr>
                    <w:t>本项目不涉及。</w:t>
                  </w:r>
                </w:p>
                <w:p w14:paraId="14301117">
                  <w:pPr>
                    <w:pStyle w:val="257"/>
                    <w:jc w:val="left"/>
                    <w:rPr>
                      <w:color w:val="000000"/>
                    </w:rPr>
                  </w:pPr>
                  <w:r>
                    <w:rPr>
                      <w:rFonts w:hint="eastAsia"/>
                      <w:color w:val="000000"/>
                    </w:rPr>
                    <w:t>6、</w:t>
                  </w:r>
                  <w:r>
                    <w:rPr>
                      <w:color w:val="000000"/>
                    </w:rPr>
                    <w:t>本项目不涉及。</w:t>
                  </w:r>
                </w:p>
                <w:p w14:paraId="1B61037D">
                  <w:pPr>
                    <w:pStyle w:val="257"/>
                    <w:jc w:val="left"/>
                    <w:rPr>
                      <w:color w:val="000000"/>
                    </w:rPr>
                  </w:pPr>
                  <w:r>
                    <w:rPr>
                      <w:color w:val="000000"/>
                    </w:rPr>
                    <w:t>7</w:t>
                  </w:r>
                  <w:r>
                    <w:rPr>
                      <w:rFonts w:hint="eastAsia"/>
                      <w:color w:val="000000"/>
                    </w:rPr>
                    <w:t>、</w:t>
                  </w:r>
                  <w:r>
                    <w:rPr>
                      <w:color w:val="000000"/>
                    </w:rPr>
                    <w:t>本项目不涉及。</w:t>
                  </w:r>
                </w:p>
                <w:p w14:paraId="11A035D4">
                  <w:pPr>
                    <w:pStyle w:val="257"/>
                    <w:jc w:val="left"/>
                    <w:rPr>
                      <w:color w:val="000000"/>
                    </w:rPr>
                  </w:pPr>
                  <w:r>
                    <w:rPr>
                      <w:rFonts w:hint="eastAsia"/>
                      <w:color w:val="000000"/>
                    </w:rPr>
                    <w:t>8、</w:t>
                  </w:r>
                  <w:r>
                    <w:rPr>
                      <w:color w:val="000000"/>
                    </w:rPr>
                    <w:t>本项目不涉及。</w:t>
                  </w:r>
                </w:p>
                <w:p w14:paraId="0E20D1E6">
                  <w:pPr>
                    <w:pStyle w:val="257"/>
                    <w:jc w:val="left"/>
                    <w:rPr>
                      <w:color w:val="000000"/>
                    </w:rPr>
                  </w:pPr>
                  <w:r>
                    <w:rPr>
                      <w:color w:val="000000"/>
                    </w:rPr>
                    <w:t>9</w:t>
                  </w:r>
                  <w:r>
                    <w:rPr>
                      <w:rFonts w:hint="eastAsia"/>
                      <w:color w:val="000000"/>
                    </w:rPr>
                    <w:t>、</w:t>
                  </w:r>
                  <w:r>
                    <w:rPr>
                      <w:color w:val="000000"/>
                    </w:rPr>
                    <w:t>本项目不涉及。</w:t>
                  </w:r>
                </w:p>
                <w:p w14:paraId="4BA8BDF4">
                  <w:pPr>
                    <w:pStyle w:val="257"/>
                    <w:jc w:val="left"/>
                    <w:rPr>
                      <w:color w:val="000000"/>
                    </w:rPr>
                  </w:pPr>
                  <w:r>
                    <w:rPr>
                      <w:rFonts w:hint="eastAsia"/>
                      <w:color w:val="000000"/>
                    </w:rPr>
                    <w:t>1</w:t>
                  </w:r>
                  <w:r>
                    <w:rPr>
                      <w:color w:val="000000"/>
                    </w:rPr>
                    <w:t>0</w:t>
                  </w:r>
                  <w:r>
                    <w:rPr>
                      <w:rFonts w:hint="eastAsia"/>
                      <w:color w:val="000000"/>
                    </w:rPr>
                    <w:t>、</w:t>
                  </w:r>
                  <w:r>
                    <w:rPr>
                      <w:color w:val="000000"/>
                    </w:rPr>
                    <w:t>本项目不涉及。</w:t>
                  </w:r>
                </w:p>
                <w:p w14:paraId="246C4BCD">
                  <w:pPr>
                    <w:pStyle w:val="257"/>
                    <w:jc w:val="left"/>
                    <w:rPr>
                      <w:color w:val="000000"/>
                    </w:rPr>
                  </w:pPr>
                  <w:r>
                    <w:rPr>
                      <w:color w:val="000000"/>
                    </w:rPr>
                    <w:t>11</w:t>
                  </w:r>
                  <w:r>
                    <w:rPr>
                      <w:rFonts w:hint="eastAsia"/>
                      <w:color w:val="000000"/>
                    </w:rPr>
                    <w:t>、</w:t>
                  </w:r>
                  <w:r>
                    <w:rPr>
                      <w:color w:val="000000"/>
                    </w:rPr>
                    <w:t>本项目</w:t>
                  </w:r>
                  <w:r>
                    <w:rPr>
                      <w:rFonts w:hint="eastAsia"/>
                      <w:color w:val="000000"/>
                    </w:rPr>
                    <w:t>区域</w:t>
                  </w:r>
                  <w:r>
                    <w:rPr>
                      <w:color w:val="000000"/>
                    </w:rPr>
                    <w:t>声环境执行《声环境质量标准》（GB3096-2008）中</w:t>
                  </w:r>
                  <w:r>
                    <w:rPr>
                      <w:rFonts w:hint="eastAsia"/>
                      <w:color w:val="000000"/>
                      <w:lang w:val="en-US" w:eastAsia="zh-CN"/>
                    </w:rPr>
                    <w:t>3</w:t>
                  </w:r>
                  <w:r>
                    <w:rPr>
                      <w:color w:val="000000"/>
                    </w:rPr>
                    <w:t>类标准，根据声环境影响预测，本项目建设后对周围的声环境影响较小。</w:t>
                  </w:r>
                </w:p>
                <w:p w14:paraId="2404756A">
                  <w:pPr>
                    <w:pStyle w:val="257"/>
                    <w:jc w:val="left"/>
                    <w:rPr>
                      <w:color w:val="000000"/>
                    </w:rPr>
                  </w:pPr>
                  <w:r>
                    <w:rPr>
                      <w:rFonts w:hint="eastAsia"/>
                      <w:bCs/>
                      <w:color w:val="000000"/>
                    </w:rPr>
                    <w:t>1</w:t>
                  </w:r>
                  <w:r>
                    <w:rPr>
                      <w:bCs/>
                      <w:color w:val="000000"/>
                    </w:rPr>
                    <w:t>2</w:t>
                  </w:r>
                  <w:r>
                    <w:rPr>
                      <w:rFonts w:hint="eastAsia"/>
                      <w:bCs/>
                      <w:color w:val="000000"/>
                    </w:rPr>
                    <w:t>、</w:t>
                  </w:r>
                  <w:r>
                    <w:rPr>
                      <w:bCs/>
                      <w:color w:val="000000"/>
                    </w:rPr>
                    <w:t>本项目</w:t>
                  </w:r>
                  <w:r>
                    <w:rPr>
                      <w:color w:val="000000"/>
                    </w:rPr>
                    <w:t>周边不涉及饮用水水源一级保护区、二级保护区及准保护区。</w:t>
                  </w:r>
                </w:p>
                <w:p w14:paraId="6532B02C">
                  <w:pPr>
                    <w:pStyle w:val="257"/>
                    <w:jc w:val="left"/>
                    <w:rPr>
                      <w:rFonts w:hint="eastAsia"/>
                      <w:color w:val="000000"/>
                    </w:rPr>
                  </w:pPr>
                  <w:r>
                    <w:rPr>
                      <w:rFonts w:hint="eastAsia"/>
                      <w:color w:val="000000"/>
                    </w:rPr>
                    <w:t>13、不涉及万宝山省级自然保护区。</w:t>
                  </w:r>
                </w:p>
                <w:p w14:paraId="7793A451">
                  <w:pPr>
                    <w:pStyle w:val="257"/>
                    <w:jc w:val="left"/>
                    <w:rPr>
                      <w:rFonts w:hint="eastAsia"/>
                      <w:color w:val="000000"/>
                    </w:rPr>
                  </w:pPr>
                  <w:r>
                    <w:rPr>
                      <w:rFonts w:hint="eastAsia"/>
                      <w:color w:val="000000"/>
                    </w:rPr>
                    <w:t>14、不涉及林虑山风景名胜区。</w:t>
                  </w:r>
                </w:p>
                <w:p w14:paraId="44CA9D80">
                  <w:pPr>
                    <w:pStyle w:val="257"/>
                    <w:jc w:val="left"/>
                    <w:rPr>
                      <w:rFonts w:hint="eastAsia"/>
                      <w:color w:val="000000"/>
                    </w:rPr>
                  </w:pPr>
                  <w:r>
                    <w:rPr>
                      <w:rFonts w:hint="eastAsia"/>
                      <w:color w:val="000000"/>
                    </w:rPr>
                    <w:t>15、不涉及淇河国家鲫鱼种质资源保护区。</w:t>
                  </w:r>
                </w:p>
                <w:p w14:paraId="4CDB31D6">
                  <w:pPr>
                    <w:pStyle w:val="257"/>
                    <w:jc w:val="left"/>
                    <w:rPr>
                      <w:rFonts w:hint="eastAsia"/>
                      <w:color w:val="000000"/>
                    </w:rPr>
                  </w:pPr>
                  <w:r>
                    <w:rPr>
                      <w:rFonts w:hint="eastAsia"/>
                      <w:color w:val="000000"/>
                    </w:rPr>
                    <w:t>16、不涉及淇淅河湿地公园。</w:t>
                  </w:r>
                </w:p>
                <w:p w14:paraId="737594A8">
                  <w:pPr>
                    <w:pStyle w:val="257"/>
                    <w:jc w:val="left"/>
                    <w:rPr>
                      <w:rFonts w:hint="eastAsia"/>
                      <w:color w:val="000000"/>
                    </w:rPr>
                  </w:pPr>
                  <w:r>
                    <w:rPr>
                      <w:rFonts w:hint="eastAsia"/>
                      <w:color w:val="000000"/>
                    </w:rPr>
                    <w:t>17、不涉及汤河国家湿地公园。</w:t>
                  </w:r>
                </w:p>
                <w:p w14:paraId="740282DC">
                  <w:pPr>
                    <w:pStyle w:val="257"/>
                    <w:jc w:val="left"/>
                    <w:rPr>
                      <w:rFonts w:hint="eastAsia"/>
                      <w:color w:val="000000"/>
                    </w:rPr>
                  </w:pPr>
                  <w:r>
                    <w:rPr>
                      <w:rFonts w:hint="eastAsia"/>
                      <w:color w:val="000000"/>
                    </w:rPr>
                    <w:t>18、漳河峡谷国家湿地公园。</w:t>
                  </w:r>
                </w:p>
                <w:p w14:paraId="7280DFB5">
                  <w:pPr>
                    <w:pStyle w:val="257"/>
                    <w:jc w:val="left"/>
                    <w:rPr>
                      <w:rFonts w:hint="eastAsia"/>
                      <w:color w:val="000000"/>
                    </w:rPr>
                  </w:pPr>
                  <w:r>
                    <w:rPr>
                      <w:rFonts w:hint="eastAsia"/>
                      <w:color w:val="000000"/>
                    </w:rPr>
                    <w:t>19、不涉及高污染燃料。</w:t>
                  </w:r>
                </w:p>
                <w:p w14:paraId="28D58526">
                  <w:pPr>
                    <w:pStyle w:val="257"/>
                    <w:jc w:val="left"/>
                    <w:rPr>
                      <w:rFonts w:hint="eastAsia"/>
                      <w:color w:val="000000"/>
                    </w:rPr>
                  </w:pPr>
                  <w:r>
                    <w:rPr>
                      <w:rFonts w:hint="eastAsia"/>
                      <w:color w:val="000000"/>
                    </w:rPr>
                    <w:t>20、不涉及高污染燃料，不涉及锅炉。</w:t>
                  </w:r>
                </w:p>
                <w:p w14:paraId="27C458FB">
                  <w:pPr>
                    <w:pStyle w:val="257"/>
                    <w:jc w:val="left"/>
                    <w:rPr>
                      <w:rFonts w:hint="eastAsia"/>
                      <w:color w:val="000000"/>
                    </w:rPr>
                  </w:pPr>
                  <w:r>
                    <w:rPr>
                      <w:rFonts w:hint="eastAsia"/>
                      <w:color w:val="000000"/>
                    </w:rPr>
                    <w:t>21、不涉及露天焚烧。</w:t>
                  </w:r>
                </w:p>
                <w:p w14:paraId="53DBC737">
                  <w:pPr>
                    <w:pStyle w:val="257"/>
                    <w:jc w:val="left"/>
                    <w:rPr>
                      <w:rFonts w:hint="eastAsia"/>
                      <w:color w:val="000000"/>
                    </w:rPr>
                  </w:pPr>
                  <w:r>
                    <w:rPr>
                      <w:rFonts w:hint="eastAsia"/>
                      <w:color w:val="000000"/>
                    </w:rPr>
                    <w:t>22、不属于餐饮服务项目。</w:t>
                  </w:r>
                </w:p>
                <w:p w14:paraId="7BFA499B">
                  <w:pPr>
                    <w:pStyle w:val="257"/>
                    <w:jc w:val="left"/>
                    <w:rPr>
                      <w:rFonts w:hint="eastAsia"/>
                      <w:color w:val="000000"/>
                    </w:rPr>
                  </w:pPr>
                  <w:r>
                    <w:rPr>
                      <w:rFonts w:hint="eastAsia"/>
                      <w:color w:val="000000"/>
                    </w:rPr>
                    <w:t>23、项目用地未列入建设用地土壤污染风险管控和修复名录的地块</w:t>
                  </w:r>
                </w:p>
              </w:tc>
              <w:tc>
                <w:tcPr>
                  <w:tcW w:w="364" w:type="pct"/>
                  <w:noWrap w:val="0"/>
                  <w:tcMar>
                    <w:left w:w="57" w:type="dxa"/>
                    <w:right w:w="57" w:type="dxa"/>
                  </w:tcMar>
                  <w:vAlign w:val="center"/>
                </w:tcPr>
                <w:p w14:paraId="553CFE48">
                  <w:pPr>
                    <w:pStyle w:val="104"/>
                    <w:rPr>
                      <w:color w:val="000000"/>
                    </w:rPr>
                  </w:pPr>
                  <w:r>
                    <w:rPr>
                      <w:color w:val="000000"/>
                    </w:rPr>
                    <w:t>相符</w:t>
                  </w:r>
                </w:p>
              </w:tc>
            </w:tr>
            <w:tr w14:paraId="385E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8" w:type="pct"/>
                  <w:noWrap w:val="0"/>
                  <w:tcMar>
                    <w:left w:w="57" w:type="dxa"/>
                    <w:right w:w="57" w:type="dxa"/>
                  </w:tcMar>
                  <w:vAlign w:val="center"/>
                </w:tcPr>
                <w:p w14:paraId="6D0A6366">
                  <w:pPr>
                    <w:pStyle w:val="104"/>
                    <w:rPr>
                      <w:color w:val="000000"/>
                      <w:kern w:val="0"/>
                      <w:lang w:bidi="ar"/>
                    </w:rPr>
                  </w:pPr>
                  <w:r>
                    <w:rPr>
                      <w:color w:val="000000"/>
                      <w:kern w:val="0"/>
                      <w:lang w:bidi="ar"/>
                    </w:rPr>
                    <w:t>污染物排放管控</w:t>
                  </w:r>
                </w:p>
              </w:tc>
              <w:tc>
                <w:tcPr>
                  <w:tcW w:w="3418" w:type="pct"/>
                  <w:noWrap w:val="0"/>
                  <w:tcMar>
                    <w:left w:w="57" w:type="dxa"/>
                    <w:right w:w="57" w:type="dxa"/>
                  </w:tcMar>
                  <w:vAlign w:val="center"/>
                </w:tcPr>
                <w:p w14:paraId="642C5C20">
                  <w:pPr>
                    <w:pStyle w:val="104"/>
                    <w:jc w:val="left"/>
                    <w:rPr>
                      <w:rFonts w:hint="eastAsia"/>
                      <w:color w:val="000000"/>
                    </w:rPr>
                  </w:pPr>
                  <w:r>
                    <w:rPr>
                      <w:rFonts w:hint="eastAsia"/>
                      <w:color w:val="000000"/>
                    </w:rPr>
                    <w:t>1、新、改、扩建项目主要污染物排放要求满足当地总量减排和替代要求。</w:t>
                  </w:r>
                </w:p>
                <w:p w14:paraId="2730AF4E">
                  <w:pPr>
                    <w:pStyle w:val="104"/>
                    <w:jc w:val="left"/>
                    <w:rPr>
                      <w:rFonts w:hint="eastAsia"/>
                      <w:color w:val="000000"/>
                    </w:rPr>
                  </w:pPr>
                  <w:r>
                    <w:rPr>
                      <w:rFonts w:hint="eastAsia"/>
                      <w:color w:val="000000"/>
                    </w:rPr>
                    <w:t>2、到2025年，PM2.5浓度总体下降27%以上，低于45微克/立方米；优良天数65%以上；重污染天数2.2%以下。完成国家、省定的“十四五”地表水环境质量和饮用水水质目标，南水北调中线一期工程总干渠安阳辖区取水水质稳定达到Ⅱ类。全市土壤环境质量总体保持稳定,土壤环境风险得到管控, 土壤污染防治体系基本完善。土壤安全利用进一步巩固提升，受污染耕地安全利用率实现 95%以上，重点建设用地安全利用有效保障。</w:t>
                  </w:r>
                </w:p>
                <w:p w14:paraId="05E2DEAC">
                  <w:pPr>
                    <w:pStyle w:val="104"/>
                    <w:jc w:val="left"/>
                    <w:rPr>
                      <w:rFonts w:hint="eastAsia"/>
                      <w:color w:val="000000"/>
                    </w:rPr>
                  </w:pPr>
                  <w:r>
                    <w:rPr>
                      <w:rFonts w:hint="eastAsia"/>
                      <w:color w:val="000000"/>
                    </w:rPr>
                    <w:t>3、鼓励现有钢铁、焦化、水泥、铁合金、铸造等重点行业及“两高”行业污染治理水平达到A级企业或引领性企业水平，其他行业污染治理水平达到B级企业水平；新建、扩建项目污染物排放限值、污染治理措施、无组织排放控制水平、运输方式等达到A级绩效水平，改建项目污染物排放限值、污染治理措施、无组织排放控制水平、运输方式等达到B级以上绩效水平。新建及迁建煤炭、矿石、焦炭等大宗货物年运量150万吨以上的物流园区、工矿企业，原则上接入铁路专用线或管道。火电、钢铁、石化、化工、煤炭、焦化、有色等行业大宗货物清洁运输比例达到80%以上。重点区域鼓励高炉—转炉长流程钢铁企业转型为电炉短流程企业。</w:t>
                  </w:r>
                </w:p>
                <w:p w14:paraId="3DD5E003">
                  <w:pPr>
                    <w:pStyle w:val="104"/>
                    <w:jc w:val="left"/>
                    <w:rPr>
                      <w:rFonts w:hint="eastAsia"/>
                      <w:color w:val="000000"/>
                    </w:rPr>
                  </w:pPr>
                  <w:r>
                    <w:rPr>
                      <w:rFonts w:hint="eastAsia"/>
                      <w:color w:val="000000"/>
                    </w:rPr>
                    <w:t>4、医药、化工、橡胶、包装印刷、家具、金属表面涂装、合成革、制鞋等涉VOCs行业应采取密闭式作业，根据不同行业 VOCs 排放浓度、成分，选择燃烧、吸附、生物法、冷凝等针对性强、治理效果明显的处理技术或多种技术的组合工艺，提高VOCs治理效率；VOCs物料储存、转移和输送、工艺过程 、设备与管线组件VOCs泄漏控制、敞开液面VOCs无组织排放控制，以及VOCs无组织排放废气收集处理系统和企业厂区内及周边污染监控应满足《挥发性有机物无组织排放控制标准（GB37822——2019）》相关要求。</w:t>
                  </w:r>
                </w:p>
                <w:p w14:paraId="6BD8D53B">
                  <w:pPr>
                    <w:pStyle w:val="104"/>
                    <w:jc w:val="left"/>
                    <w:rPr>
                      <w:rFonts w:hint="eastAsia"/>
                      <w:color w:val="000000"/>
                    </w:rPr>
                  </w:pPr>
                  <w:r>
                    <w:rPr>
                      <w:rFonts w:hint="eastAsia"/>
                      <w:color w:val="000000"/>
                    </w:rPr>
                    <w:t>5、向污水集中处理设施排放工业废水的，应当按照国家有关规定进行预处理，达到集中处理设施处理工艺要求后方可排放。</w:t>
                  </w:r>
                </w:p>
                <w:p w14:paraId="26AFA759">
                  <w:pPr>
                    <w:pStyle w:val="104"/>
                    <w:jc w:val="left"/>
                    <w:rPr>
                      <w:color w:val="000000"/>
                    </w:rPr>
                  </w:pPr>
                  <w:r>
                    <w:rPr>
                      <w:rFonts w:hint="eastAsia"/>
                      <w:color w:val="000000"/>
                    </w:rPr>
                    <w:t>6、鼓励和支持无汞催化剂和工艺、限制或禁止的持久性有机污染物替代品和技术。</w:t>
                  </w:r>
                </w:p>
              </w:tc>
              <w:tc>
                <w:tcPr>
                  <w:tcW w:w="909" w:type="pct"/>
                  <w:noWrap w:val="0"/>
                  <w:tcMar>
                    <w:left w:w="57" w:type="dxa"/>
                    <w:right w:w="57" w:type="dxa"/>
                  </w:tcMar>
                  <w:vAlign w:val="center"/>
                </w:tcPr>
                <w:p w14:paraId="52CD1D59">
                  <w:pPr>
                    <w:jc w:val="left"/>
                  </w:pPr>
                  <w:r>
                    <w:rPr>
                      <w:rFonts w:hint="eastAsia"/>
                      <w:snapToGrid w:val="0"/>
                      <w:color w:val="000000"/>
                      <w:kern w:val="0"/>
                      <w:lang w:bidi="ar"/>
                    </w:rPr>
                    <w:t>1、</w:t>
                  </w:r>
                  <w:r>
                    <w:rPr>
                      <w:rFonts w:hint="eastAsia"/>
                    </w:rPr>
                    <w:t>本项目</w:t>
                  </w:r>
                  <w:r>
                    <w:rPr>
                      <w:szCs w:val="21"/>
                    </w:rPr>
                    <w:t>主要污染物排放满足当地总量减排要求</w:t>
                  </w:r>
                  <w:r>
                    <w:t>。</w:t>
                  </w:r>
                </w:p>
                <w:p w14:paraId="6756150B">
                  <w:pPr>
                    <w:jc w:val="left"/>
                  </w:pPr>
                  <w:r>
                    <w:rPr>
                      <w:color w:val="000000"/>
                    </w:rPr>
                    <w:t>2</w:t>
                  </w:r>
                  <w:r>
                    <w:rPr>
                      <w:rFonts w:hint="eastAsia"/>
                      <w:color w:val="000000"/>
                    </w:rPr>
                    <w:t>、</w:t>
                  </w:r>
                  <w:r>
                    <w:rPr>
                      <w:rFonts w:hint="eastAsia"/>
                    </w:rPr>
                    <w:t>本项目</w:t>
                  </w:r>
                  <w:r>
                    <w:t>建成后废气</w:t>
                  </w:r>
                  <w:r>
                    <w:rPr>
                      <w:rFonts w:hint="eastAsia"/>
                      <w:lang w:val="en-US" w:eastAsia="zh-CN"/>
                    </w:rPr>
                    <w:t>经袋式除尘器处理后可</w:t>
                  </w:r>
                  <w:r>
                    <w:t>达标排放</w:t>
                  </w:r>
                  <w:r>
                    <w:rPr>
                      <w:rFonts w:hint="eastAsia"/>
                    </w:rPr>
                    <w:t>，</w:t>
                  </w:r>
                  <w:r>
                    <w:t>且本项目</w:t>
                  </w:r>
                  <w:r>
                    <w:rPr>
                      <w:rFonts w:hint="eastAsia"/>
                    </w:rPr>
                    <w:t>污染物</w:t>
                  </w:r>
                  <w:r>
                    <w:t>实行区域污染物倍量替代</w:t>
                  </w:r>
                  <w:r>
                    <w:rPr>
                      <w:rFonts w:hint="eastAsia"/>
                    </w:rPr>
                    <w:t>，</w:t>
                  </w:r>
                  <w:r>
                    <w:t>对优良天数不造成影响。</w:t>
                  </w:r>
                  <w:r>
                    <w:rPr>
                      <w:rFonts w:hint="eastAsia"/>
                    </w:rPr>
                    <w:t>本项目废水</w:t>
                  </w:r>
                  <w:r>
                    <w:t>为间接排放</w:t>
                  </w:r>
                  <w:r>
                    <w:rPr>
                      <w:rFonts w:hint="eastAsia"/>
                    </w:rPr>
                    <w:t>，</w:t>
                  </w:r>
                  <w:r>
                    <w:t>COD、</w:t>
                  </w:r>
                  <w:r>
                    <w:rPr>
                      <w:rFonts w:hint="eastAsia"/>
                      <w:lang w:val="en-US" w:eastAsia="zh-CN"/>
                    </w:rPr>
                    <w:t>总磷</w:t>
                  </w:r>
                  <w:r>
                    <w:t>实行区域</w:t>
                  </w:r>
                  <w:r>
                    <w:rPr>
                      <w:rFonts w:hint="eastAsia"/>
                    </w:rPr>
                    <w:t>等量</w:t>
                  </w:r>
                  <w:r>
                    <w:t>替代</w:t>
                  </w:r>
                  <w:r>
                    <w:rPr>
                      <w:rFonts w:hint="eastAsia"/>
                    </w:rPr>
                    <w:t>，</w:t>
                  </w:r>
                  <w:r>
                    <w:t>对完成地表水环境质量目标不造成影响。</w:t>
                  </w:r>
                  <w:r>
                    <w:rPr>
                      <w:rFonts w:hint="eastAsia"/>
                    </w:rPr>
                    <w:t>本项目</w:t>
                  </w:r>
                  <w:r>
                    <w:t>建设采取分区防渗措施</w:t>
                  </w:r>
                  <w:r>
                    <w:rPr>
                      <w:rFonts w:hint="eastAsia"/>
                    </w:rPr>
                    <w:t>，</w:t>
                  </w:r>
                  <w:r>
                    <w:t>减少对厂区土壤环境污染</w:t>
                  </w:r>
                  <w:r>
                    <w:rPr>
                      <w:rFonts w:hint="eastAsia"/>
                    </w:rPr>
                    <w:t>，</w:t>
                  </w:r>
                  <w:r>
                    <w:t>不会对全市土壤环境质量造成影响。</w:t>
                  </w:r>
                </w:p>
                <w:p w14:paraId="0033995B">
                  <w:pPr>
                    <w:pStyle w:val="257"/>
                    <w:jc w:val="left"/>
                    <w:rPr>
                      <w:color w:val="000000"/>
                    </w:rPr>
                  </w:pPr>
                  <w:r>
                    <w:rPr>
                      <w:color w:val="000000"/>
                    </w:rPr>
                    <w:t>3</w:t>
                  </w:r>
                  <w:r>
                    <w:rPr>
                      <w:rFonts w:hint="eastAsia"/>
                      <w:color w:val="000000"/>
                    </w:rPr>
                    <w:t>、</w:t>
                  </w:r>
                  <w:r>
                    <w:rPr>
                      <w:color w:val="000000"/>
                    </w:rPr>
                    <w:t>本项目</w:t>
                  </w:r>
                  <w:r>
                    <w:rPr>
                      <w:rFonts w:hint="eastAsia"/>
                      <w:snapToGrid w:val="0"/>
                      <w:color w:val="000000"/>
                      <w:kern w:val="0"/>
                      <w:lang w:val="en-US" w:eastAsia="zh-CN" w:bidi="ar"/>
                    </w:rPr>
                    <w:t>不涉及</w:t>
                  </w:r>
                  <w:r>
                    <w:rPr>
                      <w:color w:val="000000"/>
                    </w:rPr>
                    <w:t>。</w:t>
                  </w:r>
                </w:p>
                <w:p w14:paraId="5C235AAD">
                  <w:pPr>
                    <w:pStyle w:val="257"/>
                    <w:jc w:val="left"/>
                    <w:rPr>
                      <w:color w:val="000000"/>
                    </w:rPr>
                  </w:pPr>
                  <w:r>
                    <w:rPr>
                      <w:color w:val="000000"/>
                    </w:rPr>
                    <w:t>4</w:t>
                  </w:r>
                  <w:r>
                    <w:rPr>
                      <w:rFonts w:hint="eastAsia"/>
                      <w:color w:val="000000"/>
                    </w:rPr>
                    <w:t>、</w:t>
                  </w:r>
                  <w:r>
                    <w:rPr>
                      <w:color w:val="000000"/>
                    </w:rPr>
                    <w:t>本项目不涉及VOCs。</w:t>
                  </w:r>
                </w:p>
                <w:p w14:paraId="6C255C8D">
                  <w:pPr>
                    <w:pStyle w:val="257"/>
                    <w:jc w:val="left"/>
                    <w:rPr>
                      <w:color w:val="000000"/>
                    </w:rPr>
                  </w:pPr>
                  <w:r>
                    <w:rPr>
                      <w:color w:val="000000"/>
                    </w:rPr>
                    <w:t>5</w:t>
                  </w:r>
                  <w:r>
                    <w:rPr>
                      <w:rFonts w:hint="eastAsia"/>
                      <w:color w:val="000000"/>
                    </w:rPr>
                    <w:t>、</w:t>
                  </w:r>
                  <w:r>
                    <w:rPr>
                      <w:color w:val="000000"/>
                    </w:rPr>
                    <w:t>本项目废水</w:t>
                  </w:r>
                  <w:r>
                    <w:rPr>
                      <w:rFonts w:hint="eastAsia"/>
                      <w:color w:val="000000"/>
                      <w:lang w:val="en-US" w:eastAsia="zh-CN"/>
                    </w:rPr>
                    <w:t>经厂区污水处理站处理后进入汤阴固现污水处理有限公司</w:t>
                  </w:r>
                  <w:r>
                    <w:rPr>
                      <w:color w:val="000000"/>
                    </w:rPr>
                    <w:t>。</w:t>
                  </w:r>
                </w:p>
                <w:p w14:paraId="141D7BFA">
                  <w:pPr>
                    <w:pStyle w:val="257"/>
                    <w:jc w:val="left"/>
                    <w:rPr>
                      <w:color w:val="000000"/>
                    </w:rPr>
                  </w:pPr>
                  <w:r>
                    <w:rPr>
                      <w:color w:val="000000"/>
                    </w:rPr>
                    <w:t>6</w:t>
                  </w:r>
                  <w:r>
                    <w:rPr>
                      <w:rFonts w:hint="eastAsia"/>
                      <w:color w:val="000000"/>
                    </w:rPr>
                    <w:t>、</w:t>
                  </w:r>
                  <w:r>
                    <w:rPr>
                      <w:color w:val="000000"/>
                    </w:rPr>
                    <w:t>本项目不涉及。</w:t>
                  </w:r>
                </w:p>
              </w:tc>
              <w:tc>
                <w:tcPr>
                  <w:tcW w:w="364" w:type="pct"/>
                  <w:noWrap w:val="0"/>
                  <w:tcMar>
                    <w:left w:w="57" w:type="dxa"/>
                    <w:right w:w="57" w:type="dxa"/>
                  </w:tcMar>
                  <w:vAlign w:val="center"/>
                </w:tcPr>
                <w:p w14:paraId="19AEA82D">
                  <w:pPr>
                    <w:pStyle w:val="104"/>
                    <w:rPr>
                      <w:color w:val="000000"/>
                    </w:rPr>
                  </w:pPr>
                  <w:r>
                    <w:rPr>
                      <w:color w:val="000000"/>
                    </w:rPr>
                    <w:t>相符</w:t>
                  </w:r>
                </w:p>
              </w:tc>
            </w:tr>
            <w:tr w14:paraId="33FB9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8" w:type="pct"/>
                  <w:noWrap w:val="0"/>
                  <w:tcMar>
                    <w:left w:w="57" w:type="dxa"/>
                    <w:right w:w="57" w:type="dxa"/>
                  </w:tcMar>
                  <w:vAlign w:val="center"/>
                </w:tcPr>
                <w:p w14:paraId="0C8EEB73">
                  <w:pPr>
                    <w:pStyle w:val="104"/>
                    <w:rPr>
                      <w:color w:val="000000"/>
                      <w:kern w:val="0"/>
                      <w:lang w:bidi="ar"/>
                    </w:rPr>
                  </w:pPr>
                  <w:r>
                    <w:rPr>
                      <w:color w:val="000000"/>
                      <w:kern w:val="0"/>
                      <w:lang w:bidi="ar"/>
                    </w:rPr>
                    <w:t>环境风险防控</w:t>
                  </w:r>
                </w:p>
              </w:tc>
              <w:tc>
                <w:tcPr>
                  <w:tcW w:w="3418" w:type="pct"/>
                  <w:noWrap w:val="0"/>
                  <w:tcMar>
                    <w:left w:w="57" w:type="dxa"/>
                    <w:right w:w="57" w:type="dxa"/>
                  </w:tcMar>
                  <w:vAlign w:val="center"/>
                </w:tcPr>
                <w:p w14:paraId="17BA7E16">
                  <w:pPr>
                    <w:pStyle w:val="104"/>
                    <w:rPr>
                      <w:color w:val="000000"/>
                    </w:rPr>
                  </w:pPr>
                  <w:r>
                    <w:rPr>
                      <w:rFonts w:hint="eastAsia"/>
                      <w:color w:val="000000"/>
                    </w:rPr>
                    <w:t>1、各级生态环境部门和其他负有生态环境监督管理职责的部门要加强对存在风险场所的日常环境监测，并对可能导致突发环境事件的风险信息加强收集、分析和研判。工业和信息化、公安、自然资源和规划、住房和城乡建设、交通运输、水利、农业农村、商务、卫生健康、应急、气象、地震等有关部门要按照职责分工，及时将可能导致突发环境事件的信息通报同级或事发地生态环境部门。企事业单位和其他生产经营者应当落实环境安全主体责任，定期排查环境安全隐患，开展环境风险评估和环境应急演练，健全风险防控措施。当出现可能导致突发环境事件的情况时，应当立即报告当地生态环境部门。</w:t>
                  </w:r>
                </w:p>
              </w:tc>
              <w:tc>
                <w:tcPr>
                  <w:tcW w:w="909" w:type="pct"/>
                  <w:noWrap w:val="0"/>
                  <w:tcMar>
                    <w:left w:w="57" w:type="dxa"/>
                    <w:right w:w="57" w:type="dxa"/>
                  </w:tcMar>
                  <w:vAlign w:val="center"/>
                </w:tcPr>
                <w:p w14:paraId="22075E25">
                  <w:pPr>
                    <w:pStyle w:val="104"/>
                    <w:rPr>
                      <w:color w:val="000000"/>
                    </w:rPr>
                  </w:pPr>
                  <w:r>
                    <w:rPr>
                      <w:color w:val="000000"/>
                    </w:rPr>
                    <w:t>企业将严格落实环境安全主体责任，定期排查环境安全隐患，开展环境风险评估和环境应急演练，健全风险防控措施。当出现可能导致突发环境事件的情况时，企业立即报告当地生态环境部门。</w:t>
                  </w:r>
                </w:p>
              </w:tc>
              <w:tc>
                <w:tcPr>
                  <w:tcW w:w="364" w:type="pct"/>
                  <w:noWrap w:val="0"/>
                  <w:tcMar>
                    <w:left w:w="57" w:type="dxa"/>
                    <w:right w:w="57" w:type="dxa"/>
                  </w:tcMar>
                  <w:vAlign w:val="center"/>
                </w:tcPr>
                <w:p w14:paraId="47E4B463">
                  <w:pPr>
                    <w:pStyle w:val="104"/>
                    <w:rPr>
                      <w:color w:val="000000"/>
                    </w:rPr>
                  </w:pPr>
                  <w:r>
                    <w:rPr>
                      <w:color w:val="000000"/>
                    </w:rPr>
                    <w:t>相符</w:t>
                  </w:r>
                </w:p>
              </w:tc>
            </w:tr>
            <w:tr w14:paraId="73A1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8" w:type="pct"/>
                  <w:noWrap w:val="0"/>
                  <w:tcMar>
                    <w:left w:w="57" w:type="dxa"/>
                    <w:right w:w="57" w:type="dxa"/>
                  </w:tcMar>
                  <w:vAlign w:val="center"/>
                </w:tcPr>
                <w:p w14:paraId="2CA5E665">
                  <w:pPr>
                    <w:pStyle w:val="104"/>
                    <w:rPr>
                      <w:color w:val="000000"/>
                      <w:kern w:val="0"/>
                      <w:lang w:bidi="ar"/>
                    </w:rPr>
                  </w:pPr>
                  <w:r>
                    <w:rPr>
                      <w:color w:val="000000"/>
                      <w:kern w:val="0"/>
                      <w:lang w:bidi="ar"/>
                    </w:rPr>
                    <w:t>资源开发效率要求</w:t>
                  </w:r>
                </w:p>
              </w:tc>
              <w:tc>
                <w:tcPr>
                  <w:tcW w:w="3418" w:type="pct"/>
                  <w:noWrap w:val="0"/>
                  <w:tcMar>
                    <w:left w:w="57" w:type="dxa"/>
                    <w:right w:w="57" w:type="dxa"/>
                  </w:tcMar>
                  <w:vAlign w:val="center"/>
                </w:tcPr>
                <w:p w14:paraId="6E6081C6">
                  <w:pPr>
                    <w:pStyle w:val="104"/>
                    <w:jc w:val="left"/>
                    <w:rPr>
                      <w:rFonts w:hint="eastAsia"/>
                      <w:color w:val="000000"/>
                    </w:rPr>
                  </w:pPr>
                  <w:r>
                    <w:rPr>
                      <w:rFonts w:hint="eastAsia"/>
                      <w:color w:val="000000"/>
                    </w:rPr>
                    <w:t>1、十四五期间，全市年用水总量控制完成国家、省、市下达目标要求。火电、钢铁、造纸、化工、食品、发酵等高耗水行业、推进企业串联用水、分质用水、一水多用和梯级循环利用，提升工业污水资源化利用效率。</w:t>
                  </w:r>
                </w:p>
                <w:p w14:paraId="7C48ACEA">
                  <w:pPr>
                    <w:pStyle w:val="104"/>
                    <w:jc w:val="left"/>
                    <w:rPr>
                      <w:rFonts w:hint="eastAsia"/>
                      <w:color w:val="000000"/>
                    </w:rPr>
                  </w:pPr>
                  <w:r>
                    <w:rPr>
                      <w:rFonts w:hint="eastAsia"/>
                      <w:color w:val="000000"/>
                    </w:rPr>
                    <w:t>2、实行严格的耕地保护制度和节约用地制度，提高土地资源利用效率，实现从扩张型发展向内涵式发展的转变。</w:t>
                  </w:r>
                </w:p>
                <w:p w14:paraId="2FBE1BE9">
                  <w:pPr>
                    <w:pStyle w:val="104"/>
                    <w:jc w:val="left"/>
                    <w:rPr>
                      <w:rFonts w:hint="eastAsia"/>
                      <w:color w:val="000000"/>
                    </w:rPr>
                  </w:pPr>
                  <w:r>
                    <w:rPr>
                      <w:rFonts w:hint="eastAsia"/>
                      <w:color w:val="000000"/>
                    </w:rPr>
                    <w:t>3、积极推进“可再生能源+储能”示范项目建设；立足安阳产业基础优势，加快培育人工智能产业、氢能和储能产业和大数据融合创新产业；鼓励生物秸杆资源发电、风力发电、地热能开发用等项目建设，合理开发风能、地热能、煤层气等资源。</w:t>
                  </w:r>
                </w:p>
                <w:p w14:paraId="01B3A4C5">
                  <w:pPr>
                    <w:pStyle w:val="104"/>
                    <w:jc w:val="left"/>
                    <w:rPr>
                      <w:rFonts w:hint="eastAsia"/>
                      <w:color w:val="000000"/>
                    </w:rPr>
                  </w:pPr>
                  <w:r>
                    <w:rPr>
                      <w:rFonts w:hint="eastAsia"/>
                      <w:color w:val="000000"/>
                    </w:rPr>
                    <w:t>4、持续实施新建（含改扩建）项目煤炭消费等量或减量替代。</w:t>
                  </w:r>
                </w:p>
                <w:p w14:paraId="2E9BA47F">
                  <w:pPr>
                    <w:pStyle w:val="104"/>
                    <w:jc w:val="left"/>
                    <w:rPr>
                      <w:color w:val="000000"/>
                    </w:rPr>
                  </w:pPr>
                  <w:r>
                    <w:rPr>
                      <w:rFonts w:hint="eastAsia"/>
                      <w:color w:val="000000"/>
                    </w:rPr>
                    <w:t>5、“十四五”全市万元地区生产总值能耗强度降低18%。</w:t>
                  </w:r>
                </w:p>
              </w:tc>
              <w:tc>
                <w:tcPr>
                  <w:tcW w:w="909" w:type="pct"/>
                  <w:noWrap w:val="0"/>
                  <w:tcMar>
                    <w:left w:w="57" w:type="dxa"/>
                    <w:right w:w="57" w:type="dxa"/>
                  </w:tcMar>
                  <w:vAlign w:val="center"/>
                </w:tcPr>
                <w:p w14:paraId="5A0F5C49">
                  <w:pPr>
                    <w:pStyle w:val="104"/>
                    <w:jc w:val="left"/>
                    <w:rPr>
                      <w:snapToGrid w:val="0"/>
                      <w:color w:val="000000"/>
                      <w:kern w:val="0"/>
                      <w:lang w:bidi="ar"/>
                    </w:rPr>
                  </w:pPr>
                  <w:r>
                    <w:rPr>
                      <w:snapToGrid w:val="0"/>
                      <w:color w:val="000000"/>
                      <w:kern w:val="0"/>
                      <w:lang w:bidi="ar"/>
                    </w:rPr>
                    <w:t>1、本项目不属于</w:t>
                  </w:r>
                  <w:r>
                    <w:rPr>
                      <w:color w:val="000000"/>
                      <w:szCs w:val="22"/>
                    </w:rPr>
                    <w:t>高耗水行业的建设内容；</w:t>
                  </w:r>
                  <w:r>
                    <w:rPr>
                      <w:rFonts w:hint="eastAsia"/>
                      <w:color w:val="000000"/>
                      <w:szCs w:val="22"/>
                      <w:lang w:val="en-US" w:eastAsia="zh-CN"/>
                    </w:rPr>
                    <w:t>建议企业一水多用，提高</w:t>
                  </w:r>
                  <w:r>
                    <w:rPr>
                      <w:color w:val="000000"/>
                      <w:szCs w:val="22"/>
                    </w:rPr>
                    <w:t>水资源利用效率。</w:t>
                  </w:r>
                </w:p>
                <w:p w14:paraId="2E13CABA">
                  <w:pPr>
                    <w:pStyle w:val="104"/>
                    <w:jc w:val="left"/>
                    <w:rPr>
                      <w:snapToGrid w:val="0"/>
                      <w:color w:val="000000"/>
                      <w:kern w:val="0"/>
                      <w:lang w:bidi="ar"/>
                    </w:rPr>
                  </w:pPr>
                  <w:r>
                    <w:rPr>
                      <w:snapToGrid w:val="0"/>
                      <w:color w:val="000000"/>
                      <w:kern w:val="0"/>
                      <w:lang w:bidi="ar"/>
                    </w:rPr>
                    <w:t>2、本项目占地为工业用地。</w:t>
                  </w:r>
                </w:p>
                <w:p w14:paraId="019562FE">
                  <w:pPr>
                    <w:pStyle w:val="104"/>
                    <w:jc w:val="left"/>
                    <w:rPr>
                      <w:rFonts w:hint="eastAsia"/>
                      <w:snapToGrid w:val="0"/>
                      <w:color w:val="000000"/>
                      <w:kern w:val="0"/>
                      <w:lang w:bidi="ar"/>
                    </w:rPr>
                  </w:pPr>
                  <w:r>
                    <w:rPr>
                      <w:snapToGrid w:val="0"/>
                      <w:color w:val="000000"/>
                      <w:kern w:val="0"/>
                      <w:lang w:bidi="ar"/>
                    </w:rPr>
                    <w:t>3、</w:t>
                  </w:r>
                  <w:r>
                    <w:rPr>
                      <w:rFonts w:hint="eastAsia"/>
                      <w:snapToGrid w:val="0"/>
                      <w:color w:val="000000"/>
                      <w:kern w:val="0"/>
                      <w:lang w:bidi="ar"/>
                    </w:rPr>
                    <w:t>不涉及。</w:t>
                  </w:r>
                </w:p>
                <w:p w14:paraId="554CD50E">
                  <w:pPr>
                    <w:pStyle w:val="104"/>
                    <w:jc w:val="left"/>
                    <w:rPr>
                      <w:snapToGrid w:val="0"/>
                      <w:color w:val="000000"/>
                      <w:kern w:val="0"/>
                      <w:lang w:bidi="ar"/>
                    </w:rPr>
                  </w:pPr>
                  <w:r>
                    <w:rPr>
                      <w:rFonts w:hint="eastAsia"/>
                      <w:snapToGrid w:val="0"/>
                      <w:color w:val="000000"/>
                      <w:kern w:val="0"/>
                      <w:lang w:bidi="ar"/>
                    </w:rPr>
                    <w:t>4、</w:t>
                  </w:r>
                  <w:r>
                    <w:rPr>
                      <w:snapToGrid w:val="0"/>
                      <w:color w:val="000000"/>
                      <w:kern w:val="0"/>
                      <w:lang w:bidi="ar"/>
                    </w:rPr>
                    <w:t>本项目不涉及煤炭消耗。</w:t>
                  </w:r>
                </w:p>
                <w:p w14:paraId="348AF2DE">
                  <w:pPr>
                    <w:pStyle w:val="104"/>
                    <w:jc w:val="left"/>
                    <w:rPr>
                      <w:snapToGrid w:val="0"/>
                      <w:color w:val="000000"/>
                      <w:kern w:val="0"/>
                      <w:lang w:bidi="ar"/>
                    </w:rPr>
                  </w:pPr>
                  <w:r>
                    <w:rPr>
                      <w:snapToGrid w:val="0"/>
                      <w:color w:val="000000"/>
                      <w:kern w:val="0"/>
                      <w:lang w:bidi="ar"/>
                    </w:rPr>
                    <w:t>5、</w:t>
                  </w:r>
                  <w:r>
                    <w:rPr>
                      <w:color w:val="000000"/>
                      <w:lang w:bidi="ar"/>
                    </w:rPr>
                    <w:t>本项目能耗减少，有助于节能目标完成。</w:t>
                  </w:r>
                </w:p>
              </w:tc>
              <w:tc>
                <w:tcPr>
                  <w:tcW w:w="364" w:type="pct"/>
                  <w:noWrap w:val="0"/>
                  <w:tcMar>
                    <w:left w:w="57" w:type="dxa"/>
                    <w:right w:w="57" w:type="dxa"/>
                  </w:tcMar>
                  <w:vAlign w:val="center"/>
                </w:tcPr>
                <w:p w14:paraId="25F4EEC5">
                  <w:pPr>
                    <w:pStyle w:val="104"/>
                    <w:rPr>
                      <w:color w:val="000000"/>
                    </w:rPr>
                  </w:pPr>
                  <w:r>
                    <w:rPr>
                      <w:color w:val="000000"/>
                    </w:rPr>
                    <w:t>相符</w:t>
                  </w:r>
                </w:p>
              </w:tc>
            </w:tr>
          </w:tbl>
          <w:p w14:paraId="3F9048B1">
            <w:pPr>
              <w:pStyle w:val="98"/>
              <w:spacing w:before="0" w:beforeLines="0" w:after="0" w:afterLines="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根据</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河南省生态环境分区管控应用平台</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研判分析报告，根据管控单元压占分析，项目建设区域涉</w:t>
            </w:r>
            <w:r>
              <w:rPr>
                <w:rFonts w:hint="eastAsia" w:ascii="宋体" w:hAnsi="宋体" w:eastAsia="宋体" w:cs="宋体"/>
                <w:b w:val="0"/>
                <w:bCs w:val="0"/>
                <w:sz w:val="24"/>
                <w:szCs w:val="24"/>
                <w:lang w:eastAsia="zh-CN"/>
              </w:rPr>
              <w:t>及</w:t>
            </w:r>
            <w:r>
              <w:rPr>
                <w:rFonts w:hint="eastAsia" w:ascii="宋体" w:hAnsi="宋体" w:eastAsia="宋体" w:cs="宋体"/>
                <w:b w:val="0"/>
                <w:bCs w:val="0"/>
                <w:sz w:val="24"/>
                <w:szCs w:val="24"/>
                <w:lang w:val="en-US" w:eastAsia="zh-CN"/>
              </w:rPr>
              <w:t>1个河南省环境</w:t>
            </w:r>
            <w:r>
              <w:rPr>
                <w:rFonts w:hint="eastAsia" w:ascii="宋体" w:hAnsi="宋体" w:eastAsia="宋体" w:cs="宋体"/>
                <w:b w:val="0"/>
                <w:bCs w:val="0"/>
                <w:sz w:val="24"/>
                <w:szCs w:val="24"/>
                <w:lang w:eastAsia="zh-CN"/>
              </w:rPr>
              <w:t>管控单元</w:t>
            </w:r>
            <w:r>
              <w:rPr>
                <w:rFonts w:hint="eastAsia" w:ascii="宋体" w:hAnsi="宋体" w:eastAsia="宋体" w:cs="宋体"/>
                <w:b w:val="0"/>
                <w:bCs w:val="0"/>
                <w:sz w:val="24"/>
                <w:szCs w:val="24"/>
                <w:lang w:val="en-US" w:eastAsia="zh-CN"/>
              </w:rPr>
              <w:t>，其中优先保护单元0个，重点管控单元1个，一般管控单元0个</w:t>
            </w:r>
            <w:r>
              <w:rPr>
                <w:rFonts w:hint="eastAsia" w:ascii="宋体" w:hAnsi="宋体" w:eastAsia="宋体" w:cs="宋体"/>
                <w:b w:val="0"/>
                <w:bCs w:val="0"/>
                <w:sz w:val="24"/>
                <w:szCs w:val="24"/>
              </w:rPr>
              <w:t>。</w:t>
            </w:r>
          </w:p>
          <w:p w14:paraId="03FBADF1">
            <w:pPr>
              <w:pStyle w:val="102"/>
              <w:spacing w:before="120" w:after="120"/>
              <w:ind w:firstLine="240"/>
              <w:rPr>
                <w:rFonts w:hint="default" w:eastAsia="等线"/>
                <w:color w:val="000000"/>
                <w:lang w:val="en-US" w:eastAsia="zh-CN"/>
              </w:rPr>
            </w:pPr>
            <w:r>
              <w:rPr>
                <w:rFonts w:hint="eastAsia"/>
                <w:color w:val="000000"/>
              </w:rPr>
              <w:t>2.2</w:t>
            </w:r>
            <w:r>
              <w:rPr>
                <w:rFonts w:hint="eastAsia"/>
                <w:color w:val="000000"/>
                <w:lang w:val="en-US" w:eastAsia="zh-CN"/>
              </w:rPr>
              <w:t>各单元相符性分析</w:t>
            </w:r>
          </w:p>
          <w:p w14:paraId="2FBF0A04">
            <w:pPr>
              <w:widowControl w:val="0"/>
              <w:adjustRightInd w:val="0"/>
              <w:snapToGrid w:val="0"/>
              <w:spacing w:line="360" w:lineRule="auto"/>
              <w:ind w:firstLine="420" w:firstLineChars="200"/>
              <w:jc w:val="left"/>
              <w:outlineLvl w:val="2"/>
              <w:rPr>
                <w:rFonts w:ascii="Times New Roman" w:hAnsi="Times New Roman" w:eastAsia="等线" w:cs="Times New Roman"/>
                <w:b/>
                <w:bCs/>
                <w:kern w:val="2"/>
                <w:sz w:val="24"/>
                <w:szCs w:val="24"/>
                <w:lang w:val="en-US" w:eastAsia="zh-CN" w:bidi="ar-SA"/>
              </w:rPr>
            </w:pPr>
            <w:r>
              <w:rPr>
                <w:rFonts w:hint="eastAsia"/>
                <w:lang w:eastAsia="zh-CN"/>
              </w:rPr>
              <w:t>（</w:t>
            </w:r>
            <w:r>
              <w:rPr>
                <w:rFonts w:hint="eastAsia"/>
                <w:lang w:val="en-US" w:eastAsia="zh-CN"/>
              </w:rPr>
              <w:t>1</w:t>
            </w:r>
            <w:r>
              <w:rPr>
                <w:rFonts w:hint="eastAsia"/>
                <w:lang w:eastAsia="zh-CN"/>
              </w:rPr>
              <w:t>）</w:t>
            </w:r>
            <w:r>
              <w:rPr>
                <w:rFonts w:hint="eastAsia" w:ascii="Times New Roman" w:hAnsi="Times New Roman" w:eastAsia="等线" w:cs="Times New Roman"/>
                <w:b/>
                <w:bCs/>
                <w:kern w:val="2"/>
                <w:sz w:val="24"/>
                <w:szCs w:val="24"/>
                <w:lang w:val="en-US" w:eastAsia="zh-CN" w:bidi="ar-SA"/>
              </w:rPr>
              <w:t>与河南省环境管控相关要求相符性分析</w:t>
            </w:r>
          </w:p>
          <w:p w14:paraId="33D72D85">
            <w:pPr>
              <w:pStyle w:val="144"/>
            </w:pPr>
            <w:r>
              <w:t>经查阅</w:t>
            </w:r>
            <w:r>
              <w:rPr>
                <w:rFonts w:hint="eastAsia" w:ascii="宋体" w:hAnsi="宋体" w:eastAsia="宋体" w:cs="宋体"/>
                <w:b w:val="0"/>
                <w:bCs w:val="0"/>
                <w:sz w:val="24"/>
                <w:szCs w:val="24"/>
                <w:lang w:val="en-US" w:eastAsia="zh-CN"/>
              </w:rPr>
              <w:t>河南省生态环境分区管控应用平台</w:t>
            </w:r>
            <w:r>
              <w:rPr>
                <w:rFonts w:hint="eastAsia"/>
              </w:rPr>
              <w:t>，</w:t>
            </w:r>
            <w:r>
              <w:t>并套图对照</w:t>
            </w:r>
            <w:r>
              <w:rPr>
                <w:rFonts w:hint="eastAsia"/>
              </w:rPr>
              <w:t>（见</w:t>
            </w:r>
            <w:r>
              <w:t>附图</w:t>
            </w:r>
            <w:r>
              <w:rPr>
                <w:rFonts w:hint="eastAsia"/>
              </w:rPr>
              <w:t>5），</w:t>
            </w:r>
            <w:r>
              <w:rPr>
                <w:rFonts w:hint="default" w:ascii="Times New Roman" w:hAnsi="Times New Roman" w:cs="Times New Roman" w:eastAsiaTheme="majorEastAsia"/>
                <w:bCs/>
                <w:color w:val="000000" w:themeColor="text1"/>
                <w:sz w:val="24"/>
                <w:szCs w:val="24"/>
                <w:highlight w:val="none"/>
                <w:lang w:val="en-US" w:eastAsia="zh-CN"/>
                <w14:textFill>
                  <w14:solidFill>
                    <w14:schemeClr w14:val="tx1"/>
                  </w14:solidFill>
                </w14:textFill>
              </w:rPr>
              <w:t>项目区域</w:t>
            </w:r>
            <w:r>
              <w:rPr>
                <w:rFonts w:hint="default" w:ascii="Times New Roman" w:hAnsi="Times New Roman" w:cs="Times New Roman" w:eastAsiaTheme="majorEastAsia"/>
                <w:bCs/>
                <w:color w:val="000000" w:themeColor="text1"/>
                <w:sz w:val="24"/>
                <w:szCs w:val="24"/>
                <w:highlight w:val="none"/>
                <w:lang w:eastAsia="zh-CN"/>
                <w14:textFill>
                  <w14:solidFill>
                    <w14:schemeClr w14:val="tx1"/>
                  </w14:solidFill>
                </w14:textFill>
              </w:rPr>
              <w:t>管控单元分类</w:t>
            </w:r>
            <w:r>
              <w:rPr>
                <w:rFonts w:hint="default" w:ascii="Times New Roman" w:hAnsi="Times New Roman" w:cs="Times New Roman" w:eastAsiaTheme="majorEastAsia"/>
                <w:bCs/>
                <w:color w:val="000000" w:themeColor="text1"/>
                <w:sz w:val="24"/>
                <w:szCs w:val="24"/>
                <w:highlight w:val="none"/>
                <w:lang w:val="en-US" w:eastAsia="zh-CN"/>
                <w14:textFill>
                  <w14:solidFill>
                    <w14:schemeClr w14:val="tx1"/>
                  </w14:solidFill>
                </w14:textFill>
              </w:rPr>
              <w:t>为重点管控单元，</w:t>
            </w:r>
            <w:r>
              <w:rPr>
                <w:rFonts w:hint="default" w:ascii="Times New Roman" w:hAnsi="Times New Roman" w:cs="Times New Roman" w:eastAsiaTheme="majorEastAsia"/>
                <w:bCs/>
                <w:color w:val="000000" w:themeColor="text1"/>
                <w:sz w:val="24"/>
                <w:szCs w:val="24"/>
                <w:highlight w:val="none"/>
                <w14:textFill>
                  <w14:solidFill>
                    <w14:schemeClr w14:val="tx1"/>
                  </w14:solidFill>
                </w14:textFill>
              </w:rPr>
              <w:t>环境管控单元</w:t>
            </w:r>
            <w:r>
              <w:rPr>
                <w:rFonts w:hint="default" w:ascii="Times New Roman" w:hAnsi="Times New Roman" w:cs="Times New Roman" w:eastAsiaTheme="majorEastAsia"/>
                <w:bCs/>
                <w:color w:val="000000" w:themeColor="text1"/>
                <w:sz w:val="24"/>
                <w:szCs w:val="24"/>
                <w:highlight w:val="none"/>
                <w:lang w:val="en-US" w:eastAsia="zh-CN"/>
                <w14:textFill>
                  <w14:solidFill>
                    <w14:schemeClr w14:val="tx1"/>
                  </w14:solidFill>
                </w14:textFill>
              </w:rPr>
              <w:t>名称：汤阴县大气布局敏感区，</w:t>
            </w:r>
            <w:r>
              <w:rPr>
                <w:rFonts w:hint="default" w:ascii="Times New Roman" w:hAnsi="Times New Roman" w:cs="Times New Roman" w:eastAsiaTheme="majorEastAsia"/>
                <w:bCs/>
                <w:color w:val="000000" w:themeColor="text1"/>
                <w:sz w:val="24"/>
                <w:szCs w:val="24"/>
                <w:highlight w:val="none"/>
                <w14:textFill>
                  <w14:solidFill>
                    <w14:schemeClr w14:val="tx1"/>
                  </w14:solidFill>
                </w14:textFill>
              </w:rPr>
              <w:t>编码：ZH4105232000</w:t>
            </w:r>
            <w:r>
              <w:rPr>
                <w:rFonts w:hint="default" w:ascii="Times New Roman" w:hAnsi="Times New Roman" w:cs="Times New Roman" w:eastAsiaTheme="majorEastAsia"/>
                <w:bCs/>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eastAsiaTheme="majorEastAsia"/>
                <w:bCs/>
                <w:color w:val="000000" w:themeColor="text1"/>
                <w:sz w:val="24"/>
                <w:szCs w:val="24"/>
                <w:highlight w:val="none"/>
                <w14:textFill>
                  <w14:solidFill>
                    <w14:schemeClr w14:val="tx1"/>
                  </w14:solidFill>
                </w14:textFill>
              </w:rPr>
              <w:t>，本项目与</w:t>
            </w:r>
            <w:r>
              <w:rPr>
                <w:rFonts w:hint="default" w:ascii="Times New Roman" w:hAnsi="Times New Roman" w:cs="Times New Roman" w:eastAsiaTheme="majorEastAsia"/>
                <w:bCs/>
                <w:color w:val="000000" w:themeColor="text1"/>
                <w:sz w:val="24"/>
                <w:szCs w:val="24"/>
                <w:highlight w:val="none"/>
                <w:lang w:val="en-US" w:eastAsia="zh-CN"/>
                <w14:textFill>
                  <w14:solidFill>
                    <w14:schemeClr w14:val="tx1"/>
                  </w14:solidFill>
                </w14:textFill>
              </w:rPr>
              <w:t>该管控单元准入清单</w:t>
            </w:r>
            <w:r>
              <w:rPr>
                <w:rFonts w:hint="default" w:ascii="Times New Roman" w:hAnsi="Times New Roman" w:cs="Times New Roman" w:eastAsiaTheme="majorEastAsia"/>
                <w:bCs/>
                <w:color w:val="000000" w:themeColor="text1"/>
                <w:sz w:val="24"/>
                <w:szCs w:val="24"/>
                <w:highlight w:val="none"/>
                <w14:textFill>
                  <w14:solidFill>
                    <w14:schemeClr w14:val="tx1"/>
                  </w14:solidFill>
                </w14:textFill>
              </w:rPr>
              <w:t>相符性分析如下表。</w:t>
            </w:r>
          </w:p>
          <w:p w14:paraId="29528D81">
            <w:pPr>
              <w:pStyle w:val="56"/>
              <w:bidi w:val="0"/>
              <w:ind w:left="1050" w:leftChars="0" w:firstLineChars="0"/>
              <w:jc w:val="center"/>
              <w:rPr>
                <w:rFonts w:hint="default"/>
              </w:rPr>
            </w:pPr>
            <w:r>
              <w:rPr>
                <w:rFonts w:hint="default"/>
              </w:rPr>
              <w:t>安阳市汤阴县环境管控单元生态环境准入清单</w:t>
            </w:r>
          </w:p>
          <w:tbl>
            <w:tblPr>
              <w:tblStyle w:val="48"/>
              <w:tblW w:w="809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691"/>
              <w:gridCol w:w="3393"/>
              <w:gridCol w:w="2182"/>
              <w:gridCol w:w="683"/>
            </w:tblGrid>
            <w:tr w14:paraId="4A5CDA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41" w:type="dxa"/>
                  <w:vAlign w:val="center"/>
                </w:tcPr>
                <w:p w14:paraId="5B4AC789">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iCs/>
                      <w:color w:val="000000" w:themeColor="text1"/>
                      <w:sz w:val="21"/>
                      <w:szCs w:val="21"/>
                      <w:highlight w:val="none"/>
                      <w14:textFill>
                        <w14:solidFill>
                          <w14:schemeClr w14:val="tx1"/>
                        </w14:solidFill>
                      </w14:textFill>
                    </w:rPr>
                  </w:pPr>
                  <w:r>
                    <w:rPr>
                      <w:rFonts w:hint="default" w:ascii="Times New Roman" w:hAnsi="Times New Roman" w:eastAsia="Times New Roman" w:cs="Times New Roman"/>
                      <w:b/>
                      <w:iCs/>
                      <w:color w:val="000000" w:themeColor="text1"/>
                      <w:sz w:val="21"/>
                      <w:szCs w:val="21"/>
                      <w:highlight w:val="none"/>
                      <w14:textFill>
                        <w14:solidFill>
                          <w14:schemeClr w14:val="tx1"/>
                        </w14:solidFill>
                      </w14:textFill>
                    </w:rPr>
                    <w:t>环境管控单元名称</w:t>
                  </w:r>
                </w:p>
              </w:tc>
              <w:tc>
                <w:tcPr>
                  <w:tcW w:w="4084" w:type="dxa"/>
                  <w:gridSpan w:val="2"/>
                  <w:vAlign w:val="center"/>
                </w:tcPr>
                <w:p w14:paraId="11C47BA3">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iCs/>
                      <w:color w:val="000000" w:themeColor="text1"/>
                      <w:sz w:val="21"/>
                      <w:szCs w:val="21"/>
                      <w:highlight w:val="none"/>
                      <w14:textFill>
                        <w14:solidFill>
                          <w14:schemeClr w14:val="tx1"/>
                        </w14:solidFill>
                      </w14:textFill>
                    </w:rPr>
                  </w:pPr>
                  <w:r>
                    <w:rPr>
                      <w:rFonts w:hint="default" w:ascii="Times New Roman" w:hAnsi="Times New Roman" w:eastAsia="Times New Roman" w:cs="Times New Roman"/>
                      <w:b/>
                      <w:iCs/>
                      <w:color w:val="000000" w:themeColor="text1"/>
                      <w:sz w:val="21"/>
                      <w:szCs w:val="21"/>
                      <w:highlight w:val="none"/>
                      <w14:textFill>
                        <w14:solidFill>
                          <w14:schemeClr w14:val="tx1"/>
                        </w14:solidFill>
                      </w14:textFill>
                    </w:rPr>
                    <w:t>管控要求</w:t>
                  </w:r>
                </w:p>
              </w:tc>
              <w:tc>
                <w:tcPr>
                  <w:tcW w:w="2182" w:type="dxa"/>
                  <w:vAlign w:val="center"/>
                </w:tcPr>
                <w:p w14:paraId="10DA0E63">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bCs/>
                      <w:color w:val="000000" w:themeColor="text1"/>
                      <w:sz w:val="21"/>
                      <w:szCs w:val="21"/>
                      <w:highlight w:val="none"/>
                      <w14:textFill>
                        <w14:solidFill>
                          <w14:schemeClr w14:val="tx1"/>
                        </w14:solidFill>
                      </w14:textFill>
                    </w:rPr>
                  </w:pPr>
                  <w:r>
                    <w:rPr>
                      <w:rFonts w:hint="default" w:ascii="Times New Roman" w:hAnsi="Times New Roman" w:eastAsia="Times New Roman" w:cs="Times New Roman"/>
                      <w:b/>
                      <w:bCs/>
                      <w:color w:val="000000" w:themeColor="text1"/>
                      <w:sz w:val="21"/>
                      <w:szCs w:val="21"/>
                      <w:highlight w:val="none"/>
                      <w14:textFill>
                        <w14:solidFill>
                          <w14:schemeClr w14:val="tx1"/>
                        </w14:solidFill>
                      </w14:textFill>
                    </w:rPr>
                    <w:t>项目建设情况</w:t>
                  </w:r>
                </w:p>
              </w:tc>
              <w:tc>
                <w:tcPr>
                  <w:tcW w:w="683" w:type="dxa"/>
                  <w:vAlign w:val="center"/>
                </w:tcPr>
                <w:p w14:paraId="1B1643EA">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b/>
                      <w:bCs/>
                      <w:color w:val="000000" w:themeColor="text1"/>
                      <w:sz w:val="21"/>
                      <w:szCs w:val="21"/>
                      <w:highlight w:val="none"/>
                      <w14:textFill>
                        <w14:solidFill>
                          <w14:schemeClr w14:val="tx1"/>
                        </w14:solidFill>
                      </w14:textFill>
                    </w:rPr>
                  </w:pPr>
                  <w:r>
                    <w:rPr>
                      <w:rFonts w:hint="default" w:ascii="Times New Roman" w:hAnsi="Times New Roman" w:eastAsia="Times New Roman" w:cs="Times New Roman"/>
                      <w:b/>
                      <w:bCs/>
                      <w:color w:val="000000" w:themeColor="text1"/>
                      <w:sz w:val="21"/>
                      <w:szCs w:val="21"/>
                      <w:highlight w:val="none"/>
                      <w14:textFill>
                        <w14:solidFill>
                          <w14:schemeClr w14:val="tx1"/>
                        </w14:solidFill>
                      </w14:textFill>
                    </w:rPr>
                    <w:t>符合性</w:t>
                  </w:r>
                </w:p>
              </w:tc>
            </w:tr>
            <w:tr w14:paraId="71B222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141" w:type="dxa"/>
                  <w:vMerge w:val="restart"/>
                  <w:vAlign w:val="center"/>
                </w:tcPr>
                <w:p w14:paraId="5E5CFDD8">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iCs/>
                      <w:color w:val="000000" w:themeColor="text1"/>
                      <w:sz w:val="21"/>
                      <w:szCs w:val="21"/>
                      <w:highlight w:val="none"/>
                      <w:lang w:eastAsia="zh-CN"/>
                      <w14:textFill>
                        <w14:solidFill>
                          <w14:schemeClr w14:val="tx1"/>
                        </w14:solidFill>
                      </w14:textFill>
                    </w:rPr>
                  </w:pPr>
                  <w:r>
                    <w:rPr>
                      <w:rFonts w:hint="default" w:ascii="Times New Roman" w:hAnsi="Times New Roman" w:eastAsia="Times New Roman" w:cs="Times New Roman"/>
                      <w:bCs/>
                      <w:color w:val="000000" w:themeColor="text1"/>
                      <w:sz w:val="21"/>
                      <w:szCs w:val="21"/>
                      <w:highlight w:val="none"/>
                      <w:lang w:val="en-US" w:eastAsia="zh-CN"/>
                      <w14:textFill>
                        <w14:solidFill>
                          <w14:schemeClr w14:val="tx1"/>
                        </w14:solidFill>
                      </w14:textFill>
                    </w:rPr>
                    <w:t>汤阴县大气布局敏感区，</w:t>
                  </w:r>
                  <w:r>
                    <w:rPr>
                      <w:rFonts w:hint="eastAsia" w:ascii="Times New Roman" w:hAnsi="Times New Roman" w:eastAsia="Times New Roman" w:cs="Times New Roman"/>
                      <w:bCs/>
                      <w:color w:val="000000" w:themeColor="text1"/>
                      <w:sz w:val="21"/>
                      <w:szCs w:val="21"/>
                      <w:highlight w:val="none"/>
                      <w:lang w:val="en-US" w:eastAsia="zh-CN"/>
                      <w14:textFill>
                        <w14:solidFill>
                          <w14:schemeClr w14:val="tx1"/>
                        </w14:solidFill>
                      </w14:textFill>
                    </w:rPr>
                    <w:t>（环境管控单元</w:t>
                  </w:r>
                  <w:r>
                    <w:rPr>
                      <w:rFonts w:hint="default" w:ascii="Times New Roman" w:hAnsi="Times New Roman" w:eastAsia="Times New Roman" w:cs="Times New Roman"/>
                      <w:bCs/>
                      <w:color w:val="000000" w:themeColor="text1"/>
                      <w:sz w:val="21"/>
                      <w:szCs w:val="21"/>
                      <w:highlight w:val="none"/>
                      <w14:textFill>
                        <w14:solidFill>
                          <w14:schemeClr w14:val="tx1"/>
                        </w14:solidFill>
                      </w14:textFill>
                    </w:rPr>
                    <w:t>编码：ZH4105232000</w:t>
                  </w:r>
                  <w:r>
                    <w:rPr>
                      <w:rFonts w:hint="eastAsia" w:ascii="Times New Roman" w:hAnsi="Times New Roman" w:eastAsia="Times New Roman" w:cs="Times New Roman"/>
                      <w:bCs/>
                      <w:color w:val="000000" w:themeColor="text1"/>
                      <w:sz w:val="21"/>
                      <w:szCs w:val="21"/>
                      <w:highlight w:val="none"/>
                      <w:lang w:val="en-US" w:eastAsia="zh-CN"/>
                      <w14:textFill>
                        <w14:solidFill>
                          <w14:schemeClr w14:val="tx1"/>
                        </w14:solidFill>
                      </w14:textFill>
                    </w:rPr>
                    <w:t>4）</w:t>
                  </w:r>
                </w:p>
              </w:tc>
              <w:tc>
                <w:tcPr>
                  <w:tcW w:w="691" w:type="dxa"/>
                  <w:vMerge w:val="restart"/>
                  <w:vAlign w:val="center"/>
                </w:tcPr>
                <w:p w14:paraId="5F6DC0A4">
                  <w:pPr>
                    <w:pStyle w:val="177"/>
                    <w:keepNext w:val="0"/>
                    <w:keepLines w:val="0"/>
                    <w:suppressLineNumbers w:val="0"/>
                    <w:spacing w:before="0" w:beforeAutospacing="0" w:after="0" w:afterAutospacing="0" w:line="240" w:lineRule="auto"/>
                    <w:ind w:left="0" w:right="0"/>
                    <w:jc w:val="center"/>
                    <w:rPr>
                      <w:rFonts w:hint="default" w:ascii="Times New Roman" w:hAnsi="Times New Roman" w:eastAsia="Times New Roman" w:cs="Times New Roman"/>
                      <w:color w:val="000000" w:themeColor="text1"/>
                      <w:sz w:val="21"/>
                      <w:szCs w:val="21"/>
                      <w:highlight w:val="none"/>
                      <w14:textFill>
                        <w14:solidFill>
                          <w14:schemeClr w14:val="tx1"/>
                        </w14:solidFill>
                      </w14:textFill>
                    </w:rPr>
                  </w:pPr>
                  <w:r>
                    <w:rPr>
                      <w:rFonts w:hint="default" w:ascii="Times New Roman" w:hAnsi="Times New Roman" w:eastAsia="Times New Roman" w:cs="Times New Roman"/>
                      <w:color w:val="000000" w:themeColor="text1"/>
                      <w:sz w:val="21"/>
                      <w:szCs w:val="21"/>
                      <w:highlight w:val="none"/>
                      <w14:textFill>
                        <w14:solidFill>
                          <w14:schemeClr w14:val="tx1"/>
                        </w14:solidFill>
                      </w14:textFill>
                    </w:rPr>
                    <w:t>空间布局约束</w:t>
                  </w:r>
                </w:p>
              </w:tc>
              <w:tc>
                <w:tcPr>
                  <w:tcW w:w="3393" w:type="dxa"/>
                  <w:vAlign w:val="center"/>
                </w:tcPr>
                <w:p w14:paraId="661128FD">
                  <w:pPr>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iCs/>
                      <w:color w:val="000000" w:themeColor="text1"/>
                      <w:sz w:val="21"/>
                      <w:szCs w:val="21"/>
                      <w:highlight w:val="none"/>
                      <w:lang w:val="en-US" w:eastAsia="zh-CN"/>
                      <w14:textFill>
                        <w14:solidFill>
                          <w14:schemeClr w14:val="tx1"/>
                        </w14:solidFill>
                      </w14:textFill>
                    </w:rPr>
                    <w:t>/</w:t>
                  </w:r>
                </w:p>
              </w:tc>
              <w:tc>
                <w:tcPr>
                  <w:tcW w:w="2182" w:type="dxa"/>
                  <w:vAlign w:val="center"/>
                </w:tcPr>
                <w:p w14:paraId="65A0A800">
                  <w:pPr>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iCs/>
                      <w:color w:val="000000" w:themeColor="text1"/>
                      <w:sz w:val="21"/>
                      <w:szCs w:val="21"/>
                      <w:highlight w:val="none"/>
                      <w:lang w:eastAsia="zh-CN"/>
                      <w14:textFill>
                        <w14:solidFill>
                          <w14:schemeClr w14:val="tx1"/>
                        </w14:solidFill>
                      </w14:textFill>
                    </w:rPr>
                  </w:pPr>
                  <w:r>
                    <w:rPr>
                      <w:rFonts w:hint="eastAsia" w:ascii="Times New Roman" w:hAnsi="Times New Roman" w:eastAsia="Times New Roman" w:cs="Times New Roman"/>
                      <w:iCs/>
                      <w:color w:val="000000" w:themeColor="text1"/>
                      <w:sz w:val="21"/>
                      <w:szCs w:val="21"/>
                      <w:highlight w:val="none"/>
                      <w:lang w:val="en-US" w:eastAsia="zh-CN"/>
                      <w14:textFill>
                        <w14:solidFill>
                          <w14:schemeClr w14:val="tx1"/>
                        </w14:solidFill>
                      </w14:textFill>
                    </w:rPr>
                    <w:t>/</w:t>
                  </w:r>
                </w:p>
              </w:tc>
              <w:tc>
                <w:tcPr>
                  <w:tcW w:w="683" w:type="dxa"/>
                  <w:vMerge w:val="restart"/>
                  <w:vAlign w:val="center"/>
                </w:tcPr>
                <w:p w14:paraId="3662586B">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iCs/>
                      <w:color w:val="000000" w:themeColor="text1"/>
                      <w:sz w:val="21"/>
                      <w:szCs w:val="21"/>
                      <w:highlight w:val="none"/>
                      <w:lang w:val="en-US" w:eastAsia="zh-CN"/>
                      <w14:textFill>
                        <w14:solidFill>
                          <w14:schemeClr w14:val="tx1"/>
                        </w14:solidFill>
                      </w14:textFill>
                    </w:rPr>
                  </w:pPr>
                  <w:r>
                    <w:rPr>
                      <w:rFonts w:hint="eastAsia" w:ascii="Times New Roman" w:hAnsi="Times New Roman" w:eastAsia="Times New Roman" w:cs="Times New Roman"/>
                      <w:iCs/>
                      <w:color w:val="000000" w:themeColor="text1"/>
                      <w:sz w:val="21"/>
                      <w:szCs w:val="21"/>
                      <w:highlight w:val="none"/>
                      <w:lang w:val="en-US" w:eastAsia="zh-CN"/>
                      <w14:textFill>
                        <w14:solidFill>
                          <w14:schemeClr w14:val="tx1"/>
                        </w14:solidFill>
                      </w14:textFill>
                    </w:rPr>
                    <w:t>/</w:t>
                  </w:r>
                </w:p>
              </w:tc>
            </w:tr>
            <w:tr w14:paraId="4B43B2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1141" w:type="dxa"/>
                  <w:vMerge w:val="continue"/>
                  <w:vAlign w:val="top"/>
                </w:tcPr>
                <w:p w14:paraId="5A11ADFA">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iCs/>
                      <w:color w:val="000000" w:themeColor="text1"/>
                      <w:sz w:val="21"/>
                      <w:szCs w:val="21"/>
                      <w:highlight w:val="none"/>
                      <w14:textFill>
                        <w14:solidFill>
                          <w14:schemeClr w14:val="tx1"/>
                        </w14:solidFill>
                      </w14:textFill>
                    </w:rPr>
                  </w:pPr>
                </w:p>
              </w:tc>
              <w:tc>
                <w:tcPr>
                  <w:tcW w:w="691" w:type="dxa"/>
                  <w:vMerge w:val="restart"/>
                  <w:vAlign w:val="center"/>
                </w:tcPr>
                <w:p w14:paraId="01946FCF">
                  <w:pPr>
                    <w:pStyle w:val="177"/>
                    <w:keepNext w:val="0"/>
                    <w:keepLines w:val="0"/>
                    <w:suppressLineNumbers w:val="0"/>
                    <w:spacing w:before="0" w:beforeAutospacing="0" w:after="0" w:afterAutospacing="0" w:line="240" w:lineRule="auto"/>
                    <w:ind w:left="0" w:right="0"/>
                    <w:jc w:val="center"/>
                    <w:rPr>
                      <w:rFonts w:hint="default" w:ascii="Times New Roman" w:hAnsi="Times New Roman" w:eastAsia="Times New Roman" w:cs="Times New Roman"/>
                      <w:color w:val="000000" w:themeColor="text1"/>
                      <w:sz w:val="21"/>
                      <w:szCs w:val="21"/>
                      <w:highlight w:val="none"/>
                      <w14:textFill>
                        <w14:solidFill>
                          <w14:schemeClr w14:val="tx1"/>
                        </w14:solidFill>
                      </w14:textFill>
                    </w:rPr>
                  </w:pPr>
                  <w:r>
                    <w:rPr>
                      <w:rFonts w:hint="default" w:ascii="Times New Roman" w:hAnsi="Times New Roman" w:eastAsia="Times New Roman" w:cs="Times New Roman"/>
                      <w:color w:val="000000" w:themeColor="text1"/>
                      <w:sz w:val="21"/>
                      <w:szCs w:val="21"/>
                      <w:highlight w:val="none"/>
                      <w14:textFill>
                        <w14:solidFill>
                          <w14:schemeClr w14:val="tx1"/>
                        </w14:solidFill>
                      </w14:textFill>
                    </w:rPr>
                    <w:t>污染物排放管控</w:t>
                  </w:r>
                </w:p>
              </w:tc>
              <w:tc>
                <w:tcPr>
                  <w:tcW w:w="3393" w:type="dxa"/>
                  <w:vAlign w:val="center"/>
                </w:tcPr>
                <w:p w14:paraId="53D66BFC">
                  <w:pPr>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iCs/>
                      <w:color w:val="000000" w:themeColor="text1"/>
                      <w:sz w:val="21"/>
                      <w:szCs w:val="21"/>
                      <w:highlight w:val="none"/>
                      <w:lang w:eastAsia="zh-CN"/>
                      <w14:textFill>
                        <w14:solidFill>
                          <w14:schemeClr w14:val="tx1"/>
                        </w14:solidFill>
                      </w14:textFill>
                    </w:rPr>
                  </w:pPr>
                  <w:r>
                    <w:rPr>
                      <w:rFonts w:hint="default" w:ascii="Times New Roman" w:hAnsi="Times New Roman" w:eastAsia="Times New Roman" w:cs="Times New Roman"/>
                      <w:color w:val="000000" w:themeColor="text1"/>
                      <w:sz w:val="21"/>
                      <w:szCs w:val="21"/>
                      <w:highlight w:val="none"/>
                      <w14:textFill>
                        <w14:solidFill>
                          <w14:schemeClr w14:val="tx1"/>
                        </w14:solidFill>
                      </w14:textFill>
                    </w:rPr>
                    <w:t>严格控制高耗能、高排放项目准入，新建、改建、扩建”两高”项目须符合生态环境保护法律法规和相关法定规划，满足重点污染物排放总量控制、碳</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排放</w:t>
                  </w:r>
                  <w:r>
                    <w:rPr>
                      <w:rFonts w:hint="default" w:ascii="Times New Roman" w:hAnsi="Times New Roman" w:eastAsia="Times New Roman" w:cs="Times New Roman"/>
                      <w:color w:val="000000" w:themeColor="text1"/>
                      <w:sz w:val="21"/>
                      <w:szCs w:val="21"/>
                      <w:highlight w:val="none"/>
                      <w14:textFill>
                        <w14:solidFill>
                          <w14:schemeClr w14:val="tx1"/>
                        </w14:solidFill>
                      </w14:textFill>
                    </w:rPr>
                    <w:t>达峰目标、生态环境准入清单、相关规划环评和相应行业建设项目环境准入条件、环评文件审批原则要求。</w:t>
                  </w:r>
                </w:p>
              </w:tc>
              <w:tc>
                <w:tcPr>
                  <w:tcW w:w="2182" w:type="dxa"/>
                  <w:vAlign w:val="center"/>
                </w:tcPr>
                <w:p w14:paraId="71BAC527">
                  <w:pPr>
                    <w:keepNext w:val="0"/>
                    <w:keepLines w:val="0"/>
                    <w:suppressLineNumbers w:val="0"/>
                    <w:tabs>
                      <w:tab w:val="left" w:pos="1466"/>
                    </w:tabs>
                    <w:adjustRightInd w:val="0"/>
                    <w:snapToGrid w:val="0"/>
                    <w:spacing w:before="0" w:beforeAutospacing="0" w:after="0" w:afterAutospacing="0" w:line="240" w:lineRule="auto"/>
                    <w:ind w:left="0" w:right="0"/>
                    <w:rPr>
                      <w:rFonts w:hint="eastAsia" w:ascii="Times New Roman" w:hAnsi="Times New Roman" w:eastAsia="Times New Roman" w:cs="Times New Roman"/>
                      <w:iCs/>
                      <w:color w:val="000000" w:themeColor="text1"/>
                      <w:sz w:val="21"/>
                      <w:szCs w:val="21"/>
                      <w:highlight w:val="none"/>
                      <w:lang w:eastAsia="zh-CN"/>
                      <w14:textFill>
                        <w14:solidFill>
                          <w14:schemeClr w14:val="tx1"/>
                        </w14:solidFill>
                      </w14:textFill>
                    </w:rPr>
                  </w:pPr>
                  <w:r>
                    <w:rPr>
                      <w:rFonts w:hint="eastAsia" w:ascii="Times New Roman" w:hAnsi="Times New Roman" w:eastAsia="Times New Roman" w:cs="Times New Roman"/>
                      <w:iCs/>
                      <w:color w:val="000000" w:themeColor="text1"/>
                      <w:sz w:val="21"/>
                      <w:szCs w:val="21"/>
                      <w:highlight w:val="none"/>
                      <w:lang w:eastAsia="zh-CN"/>
                      <w14:textFill>
                        <w14:solidFill>
                          <w14:schemeClr w14:val="tx1"/>
                        </w14:solidFill>
                      </w14:textFill>
                    </w:rPr>
                    <w:t>本项目不属于“两高”项目。</w:t>
                  </w:r>
                </w:p>
              </w:tc>
              <w:tc>
                <w:tcPr>
                  <w:tcW w:w="683" w:type="dxa"/>
                  <w:vMerge w:val="restart"/>
                  <w:vAlign w:val="center"/>
                </w:tcPr>
                <w:p w14:paraId="2598C149">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iCs/>
                      <w:color w:val="000000" w:themeColor="text1"/>
                      <w:sz w:val="21"/>
                      <w:szCs w:val="21"/>
                      <w:highlight w:val="none"/>
                      <w:lang w:val="en-US" w:eastAsia="zh-CN"/>
                      <w14:textFill>
                        <w14:solidFill>
                          <w14:schemeClr w14:val="tx1"/>
                        </w14:solidFill>
                      </w14:textFill>
                    </w:rPr>
                  </w:pPr>
                  <w:r>
                    <w:rPr>
                      <w:rFonts w:hint="eastAsia" w:ascii="Times New Roman" w:hAnsi="Times New Roman" w:eastAsia="Times New Roman" w:cs="Times New Roman"/>
                      <w:iCs/>
                      <w:color w:val="000000" w:themeColor="text1"/>
                      <w:sz w:val="21"/>
                      <w:szCs w:val="21"/>
                      <w:highlight w:val="none"/>
                      <w:lang w:val="en-US" w:eastAsia="zh-CN"/>
                      <w14:textFill>
                        <w14:solidFill>
                          <w14:schemeClr w14:val="tx1"/>
                        </w14:solidFill>
                      </w14:textFill>
                    </w:rPr>
                    <w:t>/</w:t>
                  </w:r>
                </w:p>
              </w:tc>
            </w:tr>
            <w:tr w14:paraId="0C14C5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141" w:type="dxa"/>
                  <w:vMerge w:val="continue"/>
                  <w:vAlign w:val="top"/>
                </w:tcPr>
                <w:p w14:paraId="31DBD2C4">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iCs/>
                      <w:color w:val="000000" w:themeColor="text1"/>
                      <w:sz w:val="21"/>
                      <w:szCs w:val="21"/>
                      <w:highlight w:val="none"/>
                      <w14:textFill>
                        <w14:solidFill>
                          <w14:schemeClr w14:val="tx1"/>
                        </w14:solidFill>
                      </w14:textFill>
                    </w:rPr>
                  </w:pPr>
                </w:p>
              </w:tc>
              <w:tc>
                <w:tcPr>
                  <w:tcW w:w="691" w:type="dxa"/>
                  <w:vMerge w:val="restart"/>
                  <w:vAlign w:val="center"/>
                </w:tcPr>
                <w:p w14:paraId="716021FB">
                  <w:pPr>
                    <w:pStyle w:val="177"/>
                    <w:keepNext w:val="0"/>
                    <w:keepLines w:val="0"/>
                    <w:suppressLineNumbers w:val="0"/>
                    <w:spacing w:before="0" w:beforeAutospacing="0" w:after="0" w:afterAutospacing="0" w:line="240" w:lineRule="auto"/>
                    <w:ind w:left="0" w:right="0"/>
                    <w:jc w:val="center"/>
                    <w:rPr>
                      <w:rFonts w:hint="default" w:ascii="Times New Roman" w:hAnsi="Times New Roman" w:eastAsia="Times New Roman" w:cs="Times New Roman"/>
                      <w:color w:val="000000" w:themeColor="text1"/>
                      <w:sz w:val="21"/>
                      <w:szCs w:val="21"/>
                      <w:highlight w:val="none"/>
                      <w14:textFill>
                        <w14:solidFill>
                          <w14:schemeClr w14:val="tx1"/>
                        </w14:solidFill>
                      </w14:textFill>
                    </w:rPr>
                  </w:pPr>
                  <w:r>
                    <w:rPr>
                      <w:rFonts w:hint="default" w:ascii="Times New Roman" w:hAnsi="Times New Roman" w:eastAsia="Times New Roman" w:cs="Times New Roman"/>
                      <w:color w:val="000000" w:themeColor="text1"/>
                      <w:sz w:val="21"/>
                      <w:szCs w:val="21"/>
                      <w:highlight w:val="none"/>
                      <w14:textFill>
                        <w14:solidFill>
                          <w14:schemeClr w14:val="tx1"/>
                        </w14:solidFill>
                      </w14:textFill>
                    </w:rPr>
                    <w:t>环境风险防控</w:t>
                  </w:r>
                </w:p>
              </w:tc>
              <w:tc>
                <w:tcPr>
                  <w:tcW w:w="3393" w:type="dxa"/>
                  <w:vAlign w:val="center"/>
                </w:tcPr>
                <w:p w14:paraId="1F75D361">
                  <w:pPr>
                    <w:pStyle w:val="231"/>
                    <w:keepNext w:val="0"/>
                    <w:keepLines w:val="0"/>
                    <w:suppressLineNumbers w:val="0"/>
                    <w:adjustRightInd w:val="0"/>
                    <w:snapToGrid w:val="0"/>
                    <w:spacing w:before="0" w:beforeAutospacing="0" w:after="0" w:afterAutospacing="0" w:line="240" w:lineRule="auto"/>
                    <w:ind w:left="0" w:right="0"/>
                    <w:jc w:val="both"/>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2182" w:type="dxa"/>
                  <w:vAlign w:val="center"/>
                </w:tcPr>
                <w:p w14:paraId="5604BC7A">
                  <w:pPr>
                    <w:keepNext w:val="0"/>
                    <w:keepLines w:val="0"/>
                    <w:suppressLineNumbers w:val="0"/>
                    <w:tabs>
                      <w:tab w:val="left" w:pos="1260"/>
                    </w:tabs>
                    <w:adjustRightInd w:val="0"/>
                    <w:snapToGrid w:val="0"/>
                    <w:spacing w:before="0" w:beforeAutospacing="0" w:after="0" w:afterAutospacing="0" w:line="240" w:lineRule="auto"/>
                    <w:ind w:left="0" w:right="0"/>
                    <w:jc w:val="both"/>
                    <w:rPr>
                      <w:rFonts w:hint="default" w:ascii="Times New Roman" w:hAnsi="Times New Roman" w:eastAsia="Times New Roman" w:cs="Times New Roman"/>
                      <w:iCs/>
                      <w:color w:val="000000" w:themeColor="text1"/>
                      <w:sz w:val="21"/>
                      <w:szCs w:val="21"/>
                      <w:highlight w:val="none"/>
                      <w14:textFill>
                        <w14:solidFill>
                          <w14:schemeClr w14:val="tx1"/>
                        </w14:solidFill>
                      </w14:textFill>
                    </w:rPr>
                  </w:pPr>
                  <w:r>
                    <w:rPr>
                      <w:rFonts w:hint="eastAsia" w:ascii="Times New Roman" w:hAnsi="Times New Roman" w:eastAsia="Times New Roman" w:cs="Times New Roman"/>
                      <w:bCs/>
                      <w:iCs/>
                      <w:color w:val="000000" w:themeColor="text1"/>
                      <w:sz w:val="21"/>
                      <w:szCs w:val="21"/>
                      <w:highlight w:val="none"/>
                      <w:lang w:val="en-US" w:eastAsia="zh-CN"/>
                      <w14:textFill>
                        <w14:solidFill>
                          <w14:schemeClr w14:val="tx1"/>
                        </w14:solidFill>
                      </w14:textFill>
                    </w:rPr>
                    <w:t>/</w:t>
                  </w:r>
                  <w:r>
                    <w:rPr>
                      <w:rFonts w:hint="default" w:ascii="Times New Roman" w:hAnsi="Times New Roman" w:eastAsia="Times New Roman" w:cs="Times New Roman"/>
                      <w:iCs/>
                      <w:color w:val="000000" w:themeColor="text1"/>
                      <w:sz w:val="21"/>
                      <w:szCs w:val="21"/>
                      <w:highlight w:val="none"/>
                      <w14:textFill>
                        <w14:solidFill>
                          <w14:schemeClr w14:val="tx1"/>
                        </w14:solidFill>
                      </w14:textFill>
                    </w:rPr>
                    <w:t>。</w:t>
                  </w:r>
                </w:p>
              </w:tc>
              <w:tc>
                <w:tcPr>
                  <w:tcW w:w="683" w:type="dxa"/>
                  <w:vMerge w:val="restart"/>
                  <w:vAlign w:val="center"/>
                </w:tcPr>
                <w:p w14:paraId="5D7DBB43">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iCs/>
                      <w:color w:val="000000" w:themeColor="text1"/>
                      <w:sz w:val="21"/>
                      <w:szCs w:val="21"/>
                      <w:highlight w:val="none"/>
                      <w:lang w:eastAsia="zh-CN"/>
                      <w14:textFill>
                        <w14:solidFill>
                          <w14:schemeClr w14:val="tx1"/>
                        </w14:solidFill>
                      </w14:textFill>
                    </w:rPr>
                  </w:pPr>
                  <w:r>
                    <w:rPr>
                      <w:rFonts w:hint="eastAsia" w:ascii="Times New Roman" w:hAnsi="Times New Roman" w:eastAsia="Times New Roman" w:cs="Times New Roman"/>
                      <w:iCs/>
                      <w:color w:val="000000" w:themeColor="text1"/>
                      <w:sz w:val="21"/>
                      <w:szCs w:val="21"/>
                      <w:highlight w:val="none"/>
                      <w:lang w:val="en-US" w:eastAsia="zh-CN"/>
                      <w14:textFill>
                        <w14:solidFill>
                          <w14:schemeClr w14:val="tx1"/>
                        </w14:solidFill>
                      </w14:textFill>
                    </w:rPr>
                    <w:t>/</w:t>
                  </w:r>
                </w:p>
              </w:tc>
            </w:tr>
            <w:tr w14:paraId="3D7F4D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1141" w:type="dxa"/>
                  <w:vMerge w:val="continue"/>
                  <w:vAlign w:val="top"/>
                </w:tcPr>
                <w:p w14:paraId="0CEB4E30">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eastAsia="Times New Roman" w:cs="Times New Roman"/>
                      <w:iCs/>
                      <w:color w:val="000000" w:themeColor="text1"/>
                      <w:sz w:val="21"/>
                      <w:szCs w:val="21"/>
                      <w:highlight w:val="none"/>
                      <w14:textFill>
                        <w14:solidFill>
                          <w14:schemeClr w14:val="tx1"/>
                        </w14:solidFill>
                      </w14:textFill>
                    </w:rPr>
                  </w:pPr>
                </w:p>
              </w:tc>
              <w:tc>
                <w:tcPr>
                  <w:tcW w:w="691" w:type="dxa"/>
                  <w:vAlign w:val="center"/>
                </w:tcPr>
                <w:p w14:paraId="4206E0A3">
                  <w:pPr>
                    <w:pStyle w:val="177"/>
                    <w:keepNext w:val="0"/>
                    <w:keepLines w:val="0"/>
                    <w:suppressLineNumbers w:val="0"/>
                    <w:spacing w:before="0" w:beforeAutospacing="0" w:after="0" w:afterAutospacing="0" w:line="240" w:lineRule="auto"/>
                    <w:ind w:left="0" w:right="0"/>
                    <w:jc w:val="center"/>
                    <w:rPr>
                      <w:rFonts w:hint="default" w:ascii="Times New Roman" w:hAnsi="Times New Roman" w:eastAsia="Times New Roman" w:cs="Times New Roman"/>
                      <w:color w:val="000000" w:themeColor="text1"/>
                      <w:sz w:val="21"/>
                      <w:szCs w:val="21"/>
                      <w:highlight w:val="none"/>
                      <w14:textFill>
                        <w14:solidFill>
                          <w14:schemeClr w14:val="tx1"/>
                        </w14:solidFill>
                      </w14:textFill>
                    </w:rPr>
                  </w:pPr>
                  <w:r>
                    <w:rPr>
                      <w:rFonts w:hint="default" w:ascii="Times New Roman" w:hAnsi="Times New Roman" w:eastAsia="Times New Roman" w:cs="Times New Roman"/>
                      <w:color w:val="000000" w:themeColor="text1"/>
                      <w:sz w:val="21"/>
                      <w:szCs w:val="21"/>
                      <w:highlight w:val="none"/>
                      <w14:textFill>
                        <w14:solidFill>
                          <w14:schemeClr w14:val="tx1"/>
                        </w14:solidFill>
                      </w14:textFill>
                    </w:rPr>
                    <w:t>资源开发效率要求</w:t>
                  </w:r>
                </w:p>
              </w:tc>
              <w:tc>
                <w:tcPr>
                  <w:tcW w:w="3393" w:type="dxa"/>
                  <w:vAlign w:val="top"/>
                </w:tcPr>
                <w:p w14:paraId="34E32750">
                  <w:pPr>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2182" w:type="dxa"/>
                  <w:vAlign w:val="center"/>
                </w:tcPr>
                <w:p w14:paraId="20CBE687">
                  <w:pPr>
                    <w:keepNext w:val="0"/>
                    <w:keepLines w:val="0"/>
                    <w:suppressLineNumbers w:val="0"/>
                    <w:adjustRightInd w:val="0"/>
                    <w:snapToGrid w:val="0"/>
                    <w:spacing w:before="0" w:beforeAutospacing="0" w:after="0" w:afterAutospacing="0" w:line="240" w:lineRule="auto"/>
                    <w:ind w:left="0" w:right="0"/>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Times New Roman" w:cs="Times New Roman"/>
                      <w:color w:val="000000" w:themeColor="text1"/>
                      <w:kern w:val="0"/>
                      <w:sz w:val="21"/>
                      <w:szCs w:val="21"/>
                      <w:highlight w:val="none"/>
                      <w:lang w:val="en-US" w:eastAsia="zh-CN"/>
                      <w14:textFill>
                        <w14:solidFill>
                          <w14:schemeClr w14:val="tx1"/>
                        </w14:solidFill>
                      </w14:textFill>
                    </w:rPr>
                    <w:t>/</w:t>
                  </w:r>
                </w:p>
              </w:tc>
              <w:tc>
                <w:tcPr>
                  <w:tcW w:w="683" w:type="dxa"/>
                  <w:vAlign w:val="center"/>
                </w:tcPr>
                <w:p w14:paraId="217DD698">
                  <w:pPr>
                    <w:keepNext w:val="0"/>
                    <w:keepLines w:val="0"/>
                    <w:suppressLineNumbers w:val="0"/>
                    <w:adjustRightInd w:val="0"/>
                    <w:snapToGrid w:val="0"/>
                    <w:spacing w:before="0" w:beforeAutospacing="0" w:after="0" w:afterAutospacing="0" w:line="240" w:lineRule="auto"/>
                    <w:ind w:left="0" w:right="0"/>
                    <w:jc w:val="center"/>
                    <w:rPr>
                      <w:rFonts w:hint="eastAsia" w:ascii="Times New Roman" w:hAnsi="Times New Roman" w:eastAsia="宋体" w:cs="Times New Roman"/>
                      <w:iCs/>
                      <w:color w:val="000000" w:themeColor="text1"/>
                      <w:sz w:val="21"/>
                      <w:szCs w:val="21"/>
                      <w:highlight w:val="none"/>
                      <w:lang w:eastAsia="zh-CN"/>
                      <w14:textFill>
                        <w14:solidFill>
                          <w14:schemeClr w14:val="tx1"/>
                        </w14:solidFill>
                      </w14:textFill>
                    </w:rPr>
                  </w:pPr>
                  <w:r>
                    <w:rPr>
                      <w:rFonts w:hint="eastAsia" w:ascii="Times New Roman" w:hAnsi="Times New Roman" w:eastAsia="Times New Roman" w:cs="Times New Roman"/>
                      <w:iCs/>
                      <w:color w:val="000000" w:themeColor="text1"/>
                      <w:sz w:val="21"/>
                      <w:szCs w:val="21"/>
                      <w:highlight w:val="none"/>
                      <w:lang w:val="en-US" w:eastAsia="zh-CN"/>
                      <w14:textFill>
                        <w14:solidFill>
                          <w14:schemeClr w14:val="tx1"/>
                        </w14:solidFill>
                      </w14:textFill>
                    </w:rPr>
                    <w:t>/</w:t>
                  </w:r>
                </w:p>
              </w:tc>
            </w:tr>
          </w:tbl>
          <w:p w14:paraId="7A0E2821">
            <w:pPr>
              <w:pStyle w:val="100"/>
            </w:pPr>
            <w:r>
              <w:rPr>
                <w:rFonts w:hint="eastAsia" w:ascii="Times New Roman" w:hAnsi="Times New Roman" w:eastAsia="宋体" w:cs="Times New Roman"/>
                <w:b/>
                <w:sz w:val="24"/>
                <w:szCs w:val="24"/>
              </w:rPr>
              <w:t>由上表可知，本项目满足安阳市</w:t>
            </w:r>
            <w:r>
              <w:rPr>
                <w:rFonts w:hint="eastAsia" w:ascii="Times New Roman" w:hAnsi="Times New Roman" w:eastAsia="宋体" w:cs="Times New Roman"/>
                <w:b/>
                <w:sz w:val="24"/>
                <w:szCs w:val="24"/>
                <w:lang w:val="en-US" w:eastAsia="zh-CN"/>
              </w:rPr>
              <w:t>汤阴县</w:t>
            </w:r>
            <w:r>
              <w:rPr>
                <w:rFonts w:hint="eastAsia" w:ascii="Times New Roman" w:hAnsi="Times New Roman" w:eastAsia="宋体" w:cs="Times New Roman"/>
                <w:b/>
                <w:sz w:val="24"/>
                <w:szCs w:val="24"/>
              </w:rPr>
              <w:t>环境管控单元生态环境准入清单（环境管控单元编码：</w:t>
            </w:r>
            <w:r>
              <w:rPr>
                <w:rFonts w:hint="eastAsia" w:ascii="Times New Roman" w:hAnsi="Times New Roman" w:eastAsia="宋体" w:cs="Times New Roman"/>
                <w:b/>
                <w:sz w:val="24"/>
                <w:szCs w:val="24"/>
                <w:lang w:eastAsia="zh-CN"/>
              </w:rPr>
              <w:t>ZH4105</w:t>
            </w:r>
            <w:r>
              <w:rPr>
                <w:rFonts w:hint="eastAsia" w:ascii="Times New Roman" w:hAnsi="Times New Roman" w:eastAsia="宋体" w:cs="Times New Roman"/>
                <w:b/>
                <w:sz w:val="24"/>
                <w:szCs w:val="24"/>
                <w:lang w:val="en-US" w:eastAsia="zh-CN"/>
              </w:rPr>
              <w:t>23</w:t>
            </w:r>
            <w:r>
              <w:rPr>
                <w:rFonts w:hint="eastAsia" w:ascii="Times New Roman" w:hAnsi="Times New Roman" w:eastAsia="宋体" w:cs="Times New Roman"/>
                <w:b/>
                <w:sz w:val="24"/>
                <w:szCs w:val="24"/>
                <w:lang w:eastAsia="zh-CN"/>
              </w:rPr>
              <w:t>2000</w:t>
            </w:r>
            <w:r>
              <w:rPr>
                <w:rFonts w:hint="eastAsia" w:ascii="Times New Roman" w:hAnsi="Times New Roman" w:eastAsia="宋体" w:cs="Times New Roman"/>
                <w:b/>
                <w:sz w:val="24"/>
                <w:szCs w:val="24"/>
                <w:lang w:val="en-US" w:eastAsia="zh-CN"/>
              </w:rPr>
              <w:t>4</w:t>
            </w:r>
            <w:r>
              <w:rPr>
                <w:rFonts w:hint="eastAsia" w:ascii="Times New Roman" w:hAnsi="Times New Roman" w:eastAsia="宋体" w:cs="Times New Roman"/>
                <w:b/>
                <w:sz w:val="24"/>
                <w:szCs w:val="24"/>
              </w:rPr>
              <w:t>）相关要求。</w:t>
            </w:r>
          </w:p>
          <w:p w14:paraId="6B2F6C2A">
            <w:pPr>
              <w:widowControl w:val="0"/>
              <w:adjustRightInd w:val="0"/>
              <w:snapToGrid w:val="0"/>
              <w:spacing w:line="360" w:lineRule="auto"/>
              <w:ind w:firstLine="480" w:firstLineChars="200"/>
              <w:jc w:val="left"/>
              <w:outlineLvl w:val="2"/>
              <w:rPr>
                <w:rFonts w:ascii="Times New Roman" w:hAnsi="Times New Roman" w:eastAsia="等线" w:cs="Times New Roman"/>
                <w:b/>
                <w:bCs/>
                <w:kern w:val="2"/>
                <w:sz w:val="24"/>
                <w:szCs w:val="24"/>
                <w:lang w:val="en-US" w:eastAsia="zh-CN" w:bidi="ar-SA"/>
              </w:rPr>
            </w:pPr>
            <w:r>
              <w:rPr>
                <w:rFonts w:hint="eastAsia" w:ascii="Times New Roman" w:hAnsi="Times New Roman" w:eastAsia="等线" w:cs="Times New Roman"/>
                <w:b/>
                <w:bCs/>
                <w:kern w:val="2"/>
                <w:sz w:val="24"/>
                <w:szCs w:val="24"/>
                <w:lang w:val="en-US" w:eastAsia="zh-CN" w:bidi="ar-SA"/>
              </w:rPr>
              <w:t>（2）河南省大气环境管控相关要求相符性分析</w:t>
            </w:r>
          </w:p>
          <w:p w14:paraId="0796CC5A">
            <w:pPr>
              <w:widowControl w:val="0"/>
              <w:adjustRightInd w:val="0"/>
              <w:spacing w:line="360" w:lineRule="auto"/>
              <w:ind w:left="23" w:leftChars="11" w:firstLine="480" w:firstLine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lang w:val="en-US" w:eastAsia="zh-CN"/>
              </w:rPr>
              <w:t>经比对，项目涉及2个河南省大气环境管控分区，其中大气环境优先保护区0个，高排放重点管控区0个，布局敏感重点管控区1个，弱扩散重点管控区1个，受体敏感重点管控区0个，大气环境一般管控区0个。</w:t>
            </w:r>
            <w:r>
              <w:rPr>
                <w:rFonts w:hint="eastAsia" w:ascii="Times New Roman" w:hAnsi="Times New Roman" w:eastAsia="宋体" w:cs="Times New Roman"/>
                <w:kern w:val="2"/>
                <w:sz w:val="24"/>
                <w:szCs w:val="24"/>
                <w:lang w:val="en-US" w:eastAsia="zh-CN" w:bidi="ar-SA"/>
              </w:rPr>
              <w:t>项目所在</w:t>
            </w:r>
            <w:r>
              <w:rPr>
                <w:rFonts w:ascii="Times New Roman" w:hAnsi="Times New Roman" w:eastAsia="宋体" w:cs="Times New Roman"/>
                <w:kern w:val="2"/>
                <w:sz w:val="24"/>
                <w:szCs w:val="24"/>
                <w:lang w:val="en-US" w:eastAsia="zh-CN" w:bidi="ar-SA"/>
              </w:rPr>
              <w:t>河南省</w:t>
            </w:r>
            <w:r>
              <w:rPr>
                <w:rFonts w:hint="eastAsia" w:ascii="Times New Roman" w:hAnsi="Times New Roman" w:eastAsia="宋体" w:cs="Times New Roman"/>
                <w:kern w:val="2"/>
                <w:sz w:val="24"/>
                <w:szCs w:val="24"/>
                <w:lang w:val="en-US" w:eastAsia="zh-CN" w:bidi="ar-SA"/>
              </w:rPr>
              <w:t>大气</w:t>
            </w:r>
            <w:r>
              <w:rPr>
                <w:rFonts w:ascii="Times New Roman" w:hAnsi="Times New Roman" w:eastAsia="宋体" w:cs="Times New Roman"/>
                <w:kern w:val="2"/>
                <w:sz w:val="24"/>
                <w:szCs w:val="24"/>
                <w:lang w:val="en-US" w:eastAsia="zh-CN" w:bidi="ar-SA"/>
              </w:rPr>
              <w:t>环境管控分区单元编码为</w:t>
            </w:r>
            <w:r>
              <w:rPr>
                <w:rFonts w:hint="eastAsia" w:ascii="Times New Roman" w:hAnsi="Times New Roman" w:eastAsia="宋体" w:cs="Times New Roman"/>
                <w:kern w:val="2"/>
                <w:sz w:val="24"/>
                <w:szCs w:val="24"/>
                <w:lang w:val="en-US" w:eastAsia="zh-CN" w:bidi="ar-SA"/>
              </w:rPr>
              <w:t>YS4105232320001</w:t>
            </w:r>
            <w:r>
              <w:rPr>
                <w:rFonts w:ascii="Times New Roman" w:hAnsi="Times New Roman" w:eastAsia="宋体" w:cs="Times New Roman"/>
                <w:kern w:val="2"/>
                <w:sz w:val="24"/>
                <w:szCs w:val="24"/>
                <w:lang w:val="en-US" w:eastAsia="zh-CN" w:bidi="ar-SA"/>
              </w:rPr>
              <w:t>，分类为重点管控单元）</w:t>
            </w:r>
            <w:r>
              <w:rPr>
                <w:rFonts w:hint="eastAsia" w:ascii="Times New Roman" w:hAnsi="Times New Roman" w:eastAsia="宋体" w:cs="Times New Roman"/>
                <w:kern w:val="2"/>
                <w:sz w:val="24"/>
                <w:szCs w:val="24"/>
                <w:lang w:val="en-US" w:eastAsia="zh-CN" w:bidi="ar-SA"/>
              </w:rPr>
              <w:t>；相符性分析详见下表。</w:t>
            </w:r>
          </w:p>
          <w:p w14:paraId="3ED85284">
            <w:pPr>
              <w:pStyle w:val="56"/>
              <w:keepNext w:val="0"/>
              <w:keepLines w:val="0"/>
              <w:pageBreakBefore w:val="0"/>
              <w:widowControl w:val="0"/>
              <w:kinsoku/>
              <w:wordWrap/>
              <w:overflowPunct/>
              <w:topLinePunct w:val="0"/>
              <w:autoSpaceDE w:val="0"/>
              <w:autoSpaceDN w:val="0"/>
              <w:bidi w:val="0"/>
              <w:adjustRightInd w:val="0"/>
              <w:snapToGrid/>
              <w:spacing w:before="156"/>
              <w:ind w:left="1050" w:leftChars="0" w:hanging="420" w:firstLineChars="0"/>
              <w:jc w:val="center"/>
              <w:textAlignment w:val="auto"/>
              <w:rPr>
                <w:rFonts w:hint="eastAsia" w:ascii="等线" w:hAnsi="等线" w:eastAsia="等线" w:cs="等线"/>
                <w:kern w:val="2"/>
                <w:sz w:val="24"/>
                <w:szCs w:val="24"/>
                <w:lang w:val="en-US" w:eastAsia="zh-CN" w:bidi="ar-SA"/>
              </w:rPr>
            </w:pPr>
            <w:r>
              <w:rPr>
                <w:rFonts w:hint="eastAsia" w:ascii="等线" w:hAnsi="等线" w:eastAsia="等线" w:cs="等线"/>
                <w:kern w:val="2"/>
                <w:sz w:val="24"/>
                <w:szCs w:val="24"/>
                <w:lang w:val="en-US" w:eastAsia="zh-CN" w:bidi="ar-SA"/>
              </w:rPr>
              <w:t>与河南省大气环境管控相关要求相符性分析</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988"/>
              <w:gridCol w:w="4344"/>
              <w:gridCol w:w="1166"/>
              <w:gridCol w:w="570"/>
            </w:tblGrid>
            <w:tr w14:paraId="0CB8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4" w:type="pct"/>
                  <w:noWrap w:val="0"/>
                  <w:tcMar>
                    <w:left w:w="57" w:type="dxa"/>
                    <w:right w:w="57" w:type="dxa"/>
                  </w:tcMar>
                  <w:vAlign w:val="center"/>
                </w:tcPr>
                <w:p w14:paraId="42E5C913">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环境管控单元</w:t>
                  </w:r>
                </w:p>
              </w:tc>
              <w:tc>
                <w:tcPr>
                  <w:tcW w:w="601" w:type="pct"/>
                  <w:noWrap w:val="0"/>
                  <w:tcMar>
                    <w:left w:w="57" w:type="dxa"/>
                    <w:right w:w="57" w:type="dxa"/>
                  </w:tcMar>
                  <w:vAlign w:val="center"/>
                </w:tcPr>
                <w:p w14:paraId="331320A5">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管控维度</w:t>
                  </w:r>
                </w:p>
              </w:tc>
              <w:tc>
                <w:tcPr>
                  <w:tcW w:w="2645" w:type="pct"/>
                  <w:noWrap w:val="0"/>
                  <w:tcMar>
                    <w:left w:w="57" w:type="dxa"/>
                    <w:right w:w="57" w:type="dxa"/>
                  </w:tcMar>
                  <w:vAlign w:val="center"/>
                </w:tcPr>
                <w:p w14:paraId="79EA0C09">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准入要求</w:t>
                  </w:r>
                </w:p>
              </w:tc>
              <w:tc>
                <w:tcPr>
                  <w:tcW w:w="710" w:type="pct"/>
                  <w:noWrap w:val="0"/>
                  <w:tcMar>
                    <w:left w:w="57" w:type="dxa"/>
                    <w:right w:w="57" w:type="dxa"/>
                  </w:tcMar>
                  <w:vAlign w:val="center"/>
                </w:tcPr>
                <w:p w14:paraId="14340874">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项目情况</w:t>
                  </w:r>
                </w:p>
              </w:tc>
              <w:tc>
                <w:tcPr>
                  <w:tcW w:w="347" w:type="pct"/>
                  <w:noWrap w:val="0"/>
                  <w:tcMar>
                    <w:left w:w="57" w:type="dxa"/>
                    <w:right w:w="57" w:type="dxa"/>
                  </w:tcMar>
                  <w:vAlign w:val="center"/>
                </w:tcPr>
                <w:p w14:paraId="797DB0CA">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符合性</w:t>
                  </w:r>
                </w:p>
              </w:tc>
            </w:tr>
            <w:tr w14:paraId="4532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4" w:type="pct"/>
                  <w:vMerge w:val="restart"/>
                  <w:noWrap w:val="0"/>
                  <w:tcMar>
                    <w:left w:w="57" w:type="dxa"/>
                    <w:right w:w="57" w:type="dxa"/>
                  </w:tcMar>
                  <w:vAlign w:val="center"/>
                </w:tcPr>
                <w:p w14:paraId="10ABB642">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环境管控单元编码</w:t>
                  </w:r>
                  <w:r>
                    <w:rPr>
                      <w:rFonts w:hint="eastAsia" w:ascii="Times New Roman" w:hAnsi="宋体" w:eastAsia="宋体" w:cs="Times New Roman"/>
                      <w:kern w:val="2"/>
                      <w:sz w:val="21"/>
                      <w:szCs w:val="21"/>
                      <w:lang w:val="en-US" w:eastAsia="zh-CN" w:bidi="ar-SA"/>
                    </w:rPr>
                    <w:t>：</w:t>
                  </w:r>
                  <w:r>
                    <w:rPr>
                      <w:rFonts w:hint="eastAsia" w:ascii="Times New Roman" w:hAnsi="Times New Roman" w:eastAsia="宋体" w:cs="Times New Roman"/>
                      <w:kern w:val="2"/>
                      <w:sz w:val="24"/>
                      <w:szCs w:val="24"/>
                      <w:lang w:val="en-US" w:eastAsia="zh-CN" w:bidi="ar-SA"/>
                    </w:rPr>
                    <w:t>YS4105232320001</w:t>
                  </w:r>
                </w:p>
              </w:tc>
              <w:tc>
                <w:tcPr>
                  <w:tcW w:w="601" w:type="pct"/>
                  <w:noWrap w:val="0"/>
                  <w:tcMar>
                    <w:left w:w="57" w:type="dxa"/>
                    <w:right w:w="57" w:type="dxa"/>
                  </w:tcMar>
                  <w:vAlign w:val="center"/>
                </w:tcPr>
                <w:p w14:paraId="4621D792">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空间布</w:t>
                  </w:r>
                </w:p>
                <w:p w14:paraId="3C859245">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局约束</w:t>
                  </w:r>
                </w:p>
              </w:tc>
              <w:tc>
                <w:tcPr>
                  <w:tcW w:w="2645" w:type="pct"/>
                  <w:noWrap w:val="0"/>
                  <w:tcMar>
                    <w:left w:w="57" w:type="dxa"/>
                    <w:right w:w="57" w:type="dxa"/>
                  </w:tcMar>
                  <w:vAlign w:val="center"/>
                </w:tcPr>
                <w:p w14:paraId="1BFFC0BF">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严格控制露天矿业权审批和露天矿山新上建设项目核准或备案、环境影响评价报告审批，原则上禁止新建露天矿山建设项目，到2025年全面禁止。原则上禁止新建燃料类煤气发生炉和35蒸吨/时及以下燃煤锅炉。新建涉工业炉窑的建设项目，应进入园区，配套建设高效环保治理设施。</w:t>
                  </w:r>
                </w:p>
                <w:p w14:paraId="5CFD45BF">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 xml:space="preserve">2、 原则上禁止耐火材料、陶瓷等行业新 </w:t>
                  </w:r>
                </w:p>
                <w:p w14:paraId="013EB45F">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建、扩建以煤炭为燃料的项目和企业，对钢铁、水泥、电解铝、玻璃等行业不再实施省内产能置换。到2025年全面禁止。 原则上禁止新增钢铁、电解铝、水泥、平板玻璃、传统煤化工（甲醇、 合成氨）、焦化、铸造、铝用炭素、砖窑、耐火材料等行业产能。</w:t>
                  </w:r>
                </w:p>
                <w:p w14:paraId="54237A5B">
                  <w:pPr>
                    <w:widowControl w:val="0"/>
                    <w:numPr>
                      <w:ilvl w:val="0"/>
                      <w:numId w:val="0"/>
                    </w:numPr>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3、禁止建设生产和使用高VOCs含量的溶剂涂料、 油墨、胶粘剂等项目。</w:t>
                  </w:r>
                </w:p>
                <w:p w14:paraId="5122A2B5">
                  <w:pPr>
                    <w:widowControl w:val="0"/>
                    <w:numPr>
                      <w:ilvl w:val="0"/>
                      <w:numId w:val="0"/>
                    </w:numPr>
                    <w:autoSpaceDE w:val="0"/>
                    <w:autoSpaceDN w:val="0"/>
                    <w:adjustRightInd w:val="0"/>
                    <w:snapToGrid w:val="0"/>
                    <w:ind w:left="0" w:leftChars="0" w:firstLine="0" w:firstLineChars="0"/>
                    <w:jc w:val="both"/>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4、通过改造提升、集约布局、关停并转等方式加强区内散乱污企业整治力度， 淘汰一批布局不合理、装备水平低、 环保设施差的小型污染企业。</w:t>
                  </w:r>
                </w:p>
                <w:p w14:paraId="3655E495">
                  <w:pPr>
                    <w:widowControl w:val="0"/>
                    <w:numPr>
                      <w:ilvl w:val="0"/>
                      <w:numId w:val="0"/>
                    </w:numPr>
                    <w:autoSpaceDE w:val="0"/>
                    <w:autoSpaceDN w:val="0"/>
                    <w:adjustRightInd w:val="0"/>
                    <w:snapToGrid w:val="0"/>
                    <w:ind w:leftChars="0"/>
                    <w:jc w:val="both"/>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 xml:space="preserve">5、大气监测点主导上风向5km范围内原则上禁止建设燃煤电厂、钢铁、水泥、化工等污染严 </w:t>
                  </w:r>
                </w:p>
                <w:p w14:paraId="56B425DD">
                  <w:pPr>
                    <w:widowControl w:val="0"/>
                    <w:autoSpaceDE w:val="0"/>
                    <w:autoSpaceDN w:val="0"/>
                    <w:adjustRightInd w:val="0"/>
                    <w:snapToGrid w:val="0"/>
                    <w:jc w:val="both"/>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 xml:space="preserve">重项目。 </w:t>
                  </w:r>
                </w:p>
                <w:p w14:paraId="512F84A7">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6、相较于非重点管控区，进一步提升区内重污染企业大气污染整治力度，并加严要求。制定区内企业整治提升、整改和淘汰计划。</w:t>
                  </w:r>
                </w:p>
              </w:tc>
              <w:tc>
                <w:tcPr>
                  <w:tcW w:w="710" w:type="pct"/>
                  <w:noWrap w:val="0"/>
                  <w:tcMar>
                    <w:left w:w="57" w:type="dxa"/>
                    <w:right w:w="57" w:type="dxa"/>
                  </w:tcMar>
                  <w:vAlign w:val="center"/>
                </w:tcPr>
                <w:p w14:paraId="51846141">
                  <w:pPr>
                    <w:keepNext/>
                    <w:keepLines w:val="0"/>
                    <w:pageBreakBefore w:val="0"/>
                    <w:widowControl w:val="0"/>
                    <w:kinsoku/>
                    <w:wordWrap/>
                    <w:overflowPunct w:val="0"/>
                    <w:topLinePunct w:val="0"/>
                    <w:autoSpaceDE/>
                    <w:autoSpaceDN/>
                    <w:bidi w:val="0"/>
                    <w:adjustRightInd w:val="0"/>
                    <w:snapToGrid w:val="0"/>
                    <w:spacing w:before="0" w:after="0" w:line="240" w:lineRule="auto"/>
                    <w:ind w:left="0" w:firstLine="0"/>
                    <w:textAlignment w:val="auto"/>
                    <w:outlineLvl w:val="9"/>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1、本项目不涉及；</w:t>
                  </w:r>
                </w:p>
                <w:p w14:paraId="62ACC719">
                  <w:pPr>
                    <w:keepNext/>
                    <w:keepLines w:val="0"/>
                    <w:pageBreakBefore w:val="0"/>
                    <w:widowControl w:val="0"/>
                    <w:kinsoku/>
                    <w:wordWrap/>
                    <w:overflowPunct w:val="0"/>
                    <w:topLinePunct w:val="0"/>
                    <w:autoSpaceDE/>
                    <w:autoSpaceDN/>
                    <w:bidi w:val="0"/>
                    <w:adjustRightInd w:val="0"/>
                    <w:snapToGrid w:val="0"/>
                    <w:spacing w:before="0" w:after="0" w:line="240" w:lineRule="auto"/>
                    <w:ind w:left="0" w:firstLine="0"/>
                    <w:textAlignment w:val="auto"/>
                    <w:outlineLvl w:val="9"/>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2、本项目不涉及；</w:t>
                  </w:r>
                </w:p>
                <w:p w14:paraId="4F858AA1">
                  <w:pPr>
                    <w:keepNext/>
                    <w:keepLines w:val="0"/>
                    <w:pageBreakBefore w:val="0"/>
                    <w:widowControl w:val="0"/>
                    <w:kinsoku/>
                    <w:wordWrap/>
                    <w:overflowPunct w:val="0"/>
                    <w:topLinePunct w:val="0"/>
                    <w:autoSpaceDE/>
                    <w:autoSpaceDN/>
                    <w:bidi w:val="0"/>
                    <w:adjustRightInd w:val="0"/>
                    <w:snapToGrid w:val="0"/>
                    <w:spacing w:before="0" w:after="0" w:line="240" w:lineRule="auto"/>
                    <w:ind w:left="0" w:firstLine="0"/>
                    <w:textAlignment w:val="auto"/>
                    <w:outlineLvl w:val="9"/>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3、本项目不涉及；</w:t>
                  </w:r>
                </w:p>
                <w:p w14:paraId="563BE6E9">
                  <w:pPr>
                    <w:keepNext/>
                    <w:keepLines w:val="0"/>
                    <w:pageBreakBefore w:val="0"/>
                    <w:widowControl w:val="0"/>
                    <w:kinsoku/>
                    <w:wordWrap/>
                    <w:overflowPunct w:val="0"/>
                    <w:topLinePunct w:val="0"/>
                    <w:autoSpaceDE/>
                    <w:autoSpaceDN/>
                    <w:bidi w:val="0"/>
                    <w:adjustRightInd w:val="0"/>
                    <w:snapToGrid w:val="0"/>
                    <w:spacing w:before="0" w:after="0" w:line="240" w:lineRule="auto"/>
                    <w:ind w:left="0" w:firstLine="0"/>
                    <w:textAlignment w:val="auto"/>
                    <w:outlineLvl w:val="9"/>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4、本项目不涉及；</w:t>
                  </w:r>
                </w:p>
                <w:p w14:paraId="523BD089">
                  <w:pPr>
                    <w:keepNext/>
                    <w:keepLines w:val="0"/>
                    <w:pageBreakBefore w:val="0"/>
                    <w:widowControl w:val="0"/>
                    <w:kinsoku/>
                    <w:wordWrap/>
                    <w:overflowPunct w:val="0"/>
                    <w:topLinePunct w:val="0"/>
                    <w:autoSpaceDE/>
                    <w:autoSpaceDN/>
                    <w:bidi w:val="0"/>
                    <w:adjustRightInd w:val="0"/>
                    <w:snapToGrid w:val="0"/>
                    <w:spacing w:before="0" w:after="0" w:line="240" w:lineRule="auto"/>
                    <w:ind w:left="0" w:firstLine="0"/>
                    <w:textAlignment w:val="auto"/>
                    <w:outlineLvl w:val="9"/>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5、本项目不涉及；</w:t>
                  </w:r>
                </w:p>
                <w:p w14:paraId="0B8745D7">
                  <w:pPr>
                    <w:keepNext/>
                    <w:keepLines w:val="0"/>
                    <w:pageBreakBefore w:val="0"/>
                    <w:widowControl w:val="0"/>
                    <w:kinsoku/>
                    <w:wordWrap/>
                    <w:overflowPunct w:val="0"/>
                    <w:topLinePunct w:val="0"/>
                    <w:autoSpaceDE/>
                    <w:autoSpaceDN/>
                    <w:bidi w:val="0"/>
                    <w:adjustRightInd w:val="0"/>
                    <w:snapToGrid w:val="0"/>
                    <w:spacing w:before="0" w:after="0" w:line="240" w:lineRule="auto"/>
                    <w:ind w:left="0" w:firstLine="0"/>
                    <w:textAlignment w:val="auto"/>
                    <w:outlineLvl w:val="9"/>
                    <w:rPr>
                      <w:rFonts w:hint="default"/>
                      <w:lang w:val="en-US" w:eastAsia="zh-CN"/>
                    </w:rPr>
                  </w:pPr>
                  <w:r>
                    <w:rPr>
                      <w:rFonts w:hint="eastAsia" w:ascii="Times New Roman" w:hAnsi="Times New Roman" w:eastAsia="宋体" w:cs="Times New Roman"/>
                      <w:lang w:val="en-US" w:eastAsia="zh-CN"/>
                    </w:rPr>
                    <w:t>6、本项目不涉及</w:t>
                  </w:r>
                </w:p>
              </w:tc>
              <w:tc>
                <w:tcPr>
                  <w:tcW w:w="347" w:type="pct"/>
                  <w:noWrap w:val="0"/>
                  <w:tcMar>
                    <w:left w:w="57" w:type="dxa"/>
                    <w:right w:w="57" w:type="dxa"/>
                  </w:tcMar>
                  <w:vAlign w:val="center"/>
                </w:tcPr>
                <w:p w14:paraId="2E7D2FD9">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符合</w:t>
                  </w:r>
                </w:p>
              </w:tc>
            </w:tr>
            <w:tr w14:paraId="6976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4" w:type="pct"/>
                  <w:vMerge w:val="continue"/>
                  <w:noWrap w:val="0"/>
                  <w:tcMar>
                    <w:left w:w="57" w:type="dxa"/>
                    <w:right w:w="57" w:type="dxa"/>
                  </w:tcMar>
                  <w:vAlign w:val="center"/>
                </w:tcPr>
                <w:p w14:paraId="5384AB27">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p>
              </w:tc>
              <w:tc>
                <w:tcPr>
                  <w:tcW w:w="601" w:type="pct"/>
                  <w:noWrap w:val="0"/>
                  <w:tcMar>
                    <w:left w:w="57" w:type="dxa"/>
                    <w:right w:w="57" w:type="dxa"/>
                  </w:tcMar>
                  <w:vAlign w:val="center"/>
                </w:tcPr>
                <w:p w14:paraId="075AE49D">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污染物排放管控</w:t>
                  </w:r>
                </w:p>
              </w:tc>
              <w:tc>
                <w:tcPr>
                  <w:tcW w:w="2645" w:type="pct"/>
                  <w:noWrap w:val="0"/>
                  <w:tcMar>
                    <w:left w:w="57" w:type="dxa"/>
                    <w:right w:w="57" w:type="dxa"/>
                  </w:tcMar>
                  <w:vAlign w:val="center"/>
                </w:tcPr>
                <w:p w14:paraId="77C71642">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 xml:space="preserve">1、加大科技攻关，推广新兴技术，以石化、化 </w:t>
                  </w:r>
                </w:p>
                <w:p w14:paraId="34E860AA">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 xml:space="preserve">工、涂装、医药、包装印刷、油品储运销等行业领域为重点，深入推进挥发性有机物综合治 </w:t>
                  </w:r>
                </w:p>
                <w:p w14:paraId="3A7F82F6">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 xml:space="preserve">理。全面推广使用低挥发性有机物含量的涂 </w:t>
                  </w:r>
                </w:p>
                <w:p w14:paraId="4F8630BF">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料、油墨、胶粘剂、清洗剂等新兴原辅材料。开展涉挥发性有机物产业集群升级改造、 企业深度治理、物质储罐排查整治，规范开展泄漏检测与修复，加快规划建设集中涂装、活性炭集中处理、有机溶剂回收等中心。</w:t>
                  </w:r>
                </w:p>
                <w:p w14:paraId="29507520">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 xml:space="preserve">2、以减少重污染天气为着力点，制定实施方案，持续开展秋冬季大气污染防治攻坚行动。在采 </w:t>
                  </w:r>
                </w:p>
                <w:p w14:paraId="3CD2F721">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 xml:space="preserve">暖季，实施钢铁、焦化、铸造、建材、有色、化工行业错峰生产(水泥行业实行“开二停 一”)。京津冀“2+26”城市完成应急减排清单编制工作，并动态更新，落实“一厂一策”等各项应急减排措施；严格落实施工工地“六个百分之百”要求；建成区5000平米及以上建筑工地全部安装在线监测和视频监控，并与当地行业主管部门联网。 汾渭平原城市群完成应急减排清单编制工作，并动态更新，落实“一厂一策”等各项应急减排措施；严格落实施工工地“七个百分之百”控尘措施，落实“一岗双 </w:t>
                  </w:r>
                </w:p>
                <w:p w14:paraId="48A48B2D">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 xml:space="preserve">责”，推广第三方污染治理模式，严查扬尘污 </w:t>
                  </w:r>
                </w:p>
                <w:p w14:paraId="2222F42D">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 xml:space="preserve">染行为。 </w:t>
                  </w:r>
                </w:p>
                <w:p w14:paraId="614D30BD">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 xml:space="preserve">3、强化施工扬尘污染防治，做到工地周边围 挡、物料堆放覆盖、土方开挖湿法作业、路 </w:t>
                  </w:r>
                </w:p>
                <w:p w14:paraId="1B0C0CE6">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 xml:space="preserve">面硬化、出入车辆清洗、渣土车辆密闭运输 </w:t>
                  </w:r>
                </w:p>
                <w:p w14:paraId="4F88C9FA">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“六个百分之百”，禁止施工工地现场搅拌混凝土、现场配置砂浆。</w:t>
                  </w:r>
                </w:p>
                <w:p w14:paraId="3C8A14C8">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4、关停退出热效率低下、敞开未封闭，装备简易落后、自动化水平低，布局分散、规模小、无组织排放突出，以及无治理设施或治理设施工艺落后的工业炉窑。</w:t>
                  </w:r>
                </w:p>
                <w:p w14:paraId="52EA6ED8">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5、区内严格实施重型柴油车燃料消耗量限值标准，不满足燃料消耗量标准限值要求的新车型禁止驶入区内道路。划定的禁止使用高排放道路移动机械区域内，鼓励优先使用新能源或清洁能源非道路移动机械。</w:t>
                  </w:r>
                </w:p>
              </w:tc>
              <w:tc>
                <w:tcPr>
                  <w:tcW w:w="710" w:type="pct"/>
                  <w:noWrap w:val="0"/>
                  <w:tcMar>
                    <w:left w:w="57" w:type="dxa"/>
                    <w:right w:w="57" w:type="dxa"/>
                  </w:tcMar>
                  <w:vAlign w:val="center"/>
                </w:tcPr>
                <w:p w14:paraId="5347B75A">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1、本项目不涉及；</w:t>
                  </w:r>
                </w:p>
                <w:p w14:paraId="4CAC278D">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2、本项目不涉及；</w:t>
                  </w:r>
                </w:p>
                <w:p w14:paraId="5EF9B13A">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3、本项目不涉及；</w:t>
                  </w:r>
                </w:p>
                <w:p w14:paraId="37DD174F">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4、本项目蒸汽发生器使用天然气，燃气废气经低氮燃烧装置处理后通过</w:t>
                  </w:r>
                  <w:r>
                    <w:rPr>
                      <w:rFonts w:hint="eastAsia" w:hAnsi="宋体" w:cs="Times New Roman"/>
                      <w:kern w:val="2"/>
                      <w:sz w:val="21"/>
                      <w:szCs w:val="21"/>
                      <w:lang w:val="en-US" w:eastAsia="zh-CN" w:bidi="ar-SA"/>
                    </w:rPr>
                    <w:t>8</w:t>
                  </w:r>
                  <w:r>
                    <w:rPr>
                      <w:rFonts w:hint="eastAsia" w:ascii="Times New Roman" w:hAnsi="宋体" w:eastAsia="宋体" w:cs="Times New Roman"/>
                      <w:kern w:val="2"/>
                      <w:sz w:val="21"/>
                      <w:szCs w:val="21"/>
                      <w:lang w:val="en-US" w:eastAsia="zh-CN" w:bidi="ar-SA"/>
                    </w:rPr>
                    <w:t>m高排气筒排放；</w:t>
                  </w:r>
                </w:p>
                <w:p w14:paraId="17B62366">
                  <w:pPr>
                    <w:widowControl w:val="0"/>
                    <w:autoSpaceDE w:val="0"/>
                    <w:autoSpaceDN w:val="0"/>
                    <w:adjustRightInd w:val="0"/>
                    <w:snapToGrid w:val="0"/>
                    <w:jc w:val="center"/>
                    <w:rPr>
                      <w:rFonts w:hint="default"/>
                      <w:lang w:val="en-US" w:eastAsia="zh-CN"/>
                    </w:rPr>
                  </w:pPr>
                  <w:r>
                    <w:rPr>
                      <w:rFonts w:hint="eastAsia" w:ascii="Times New Roman" w:hAnsi="宋体" w:eastAsia="宋体" w:cs="Times New Roman"/>
                      <w:kern w:val="2"/>
                      <w:sz w:val="21"/>
                      <w:szCs w:val="21"/>
                      <w:lang w:val="en-US" w:eastAsia="zh-CN" w:bidi="ar-SA"/>
                    </w:rPr>
                    <w:t>5、本项目使用国五标准以上的运输车辆。</w:t>
                  </w:r>
                </w:p>
              </w:tc>
              <w:tc>
                <w:tcPr>
                  <w:tcW w:w="347" w:type="pct"/>
                  <w:noWrap w:val="0"/>
                  <w:tcMar>
                    <w:left w:w="57" w:type="dxa"/>
                    <w:right w:w="57" w:type="dxa"/>
                  </w:tcMar>
                  <w:vAlign w:val="center"/>
                </w:tcPr>
                <w:p w14:paraId="23C7935D">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符合</w:t>
                  </w:r>
                </w:p>
              </w:tc>
            </w:tr>
            <w:tr w14:paraId="2A52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4" w:type="pct"/>
                  <w:vMerge w:val="continue"/>
                  <w:noWrap w:val="0"/>
                  <w:tcMar>
                    <w:left w:w="57" w:type="dxa"/>
                    <w:right w:w="57" w:type="dxa"/>
                  </w:tcMar>
                  <w:vAlign w:val="center"/>
                </w:tcPr>
                <w:p w14:paraId="3A465971">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p>
              </w:tc>
              <w:tc>
                <w:tcPr>
                  <w:tcW w:w="601" w:type="pct"/>
                  <w:noWrap w:val="0"/>
                  <w:tcMar>
                    <w:left w:w="57" w:type="dxa"/>
                    <w:right w:w="57" w:type="dxa"/>
                  </w:tcMar>
                  <w:vAlign w:val="center"/>
                </w:tcPr>
                <w:p w14:paraId="485CF887">
                  <w:pPr>
                    <w:widowControl w:val="0"/>
                    <w:autoSpaceDE w:val="0"/>
                    <w:autoSpaceDN w:val="0"/>
                    <w:adjustRightInd w:val="0"/>
                    <w:snapToGrid w:val="0"/>
                    <w:jc w:val="center"/>
                    <w:rPr>
                      <w:rFonts w:ascii="Times New Roman" w:hAnsi="宋体" w:eastAsia="宋体" w:cs="Times New Roman"/>
                      <w:b w:val="0"/>
                      <w:bCs w:val="0"/>
                      <w:kern w:val="2"/>
                      <w:sz w:val="21"/>
                      <w:szCs w:val="21"/>
                      <w:u w:val="none"/>
                      <w:lang w:val="en-US" w:eastAsia="zh-CN" w:bidi="ar-SA"/>
                    </w:rPr>
                  </w:pPr>
                  <w:r>
                    <w:rPr>
                      <w:rFonts w:ascii="Times New Roman" w:hAnsi="宋体" w:eastAsia="宋体" w:cs="Times New Roman"/>
                      <w:b w:val="0"/>
                      <w:bCs w:val="0"/>
                      <w:kern w:val="2"/>
                      <w:sz w:val="21"/>
                      <w:szCs w:val="21"/>
                      <w:u w:val="none"/>
                      <w:lang w:val="en-US" w:eastAsia="zh-CN" w:bidi="ar-SA"/>
                    </w:rPr>
                    <w:t>环境风险防控</w:t>
                  </w:r>
                </w:p>
              </w:tc>
              <w:tc>
                <w:tcPr>
                  <w:tcW w:w="2645" w:type="pct"/>
                  <w:noWrap w:val="0"/>
                  <w:tcMar>
                    <w:left w:w="57" w:type="dxa"/>
                    <w:right w:w="57" w:type="dxa"/>
                  </w:tcMar>
                  <w:vAlign w:val="center"/>
                </w:tcPr>
                <w:p w14:paraId="3AD31F1C">
                  <w:pPr>
                    <w:widowControl w:val="0"/>
                    <w:autoSpaceDE w:val="0"/>
                    <w:autoSpaceDN w:val="0"/>
                    <w:adjustRightInd w:val="0"/>
                    <w:snapToGrid w:val="0"/>
                    <w:jc w:val="center"/>
                    <w:rPr>
                      <w:rFonts w:ascii="Times New Roman" w:hAnsi="宋体" w:eastAsia="宋体" w:cs="Times New Roman"/>
                      <w:b w:val="0"/>
                      <w:bCs w:val="0"/>
                      <w:kern w:val="2"/>
                      <w:sz w:val="21"/>
                      <w:szCs w:val="21"/>
                      <w:u w:val="none"/>
                      <w:lang w:val="en-US" w:eastAsia="zh-CN" w:bidi="ar-SA"/>
                    </w:rPr>
                  </w:pPr>
                  <w:r>
                    <w:rPr>
                      <w:rFonts w:hint="eastAsia" w:ascii="Times New Roman" w:hAnsi="宋体" w:eastAsia="宋体" w:cs="Times New Roman"/>
                      <w:b w:val="0"/>
                      <w:bCs w:val="0"/>
                      <w:kern w:val="2"/>
                      <w:sz w:val="21"/>
                      <w:szCs w:val="21"/>
                      <w:u w:val="none"/>
                      <w:lang w:val="en-US" w:eastAsia="zh-CN" w:bidi="ar-SA"/>
                    </w:rPr>
                    <w:t>/</w:t>
                  </w:r>
                </w:p>
              </w:tc>
              <w:tc>
                <w:tcPr>
                  <w:tcW w:w="710" w:type="pct"/>
                  <w:noWrap w:val="0"/>
                  <w:tcMar>
                    <w:left w:w="57" w:type="dxa"/>
                    <w:right w:w="57" w:type="dxa"/>
                  </w:tcMar>
                  <w:vAlign w:val="center"/>
                </w:tcPr>
                <w:p w14:paraId="4663C87F">
                  <w:pPr>
                    <w:widowControl w:val="0"/>
                    <w:autoSpaceDE w:val="0"/>
                    <w:autoSpaceDN w:val="0"/>
                    <w:adjustRightInd w:val="0"/>
                    <w:snapToGrid w:val="0"/>
                    <w:jc w:val="center"/>
                    <w:rPr>
                      <w:rFonts w:hint="eastAsia" w:ascii="Times New Roman" w:hAnsi="宋体" w:eastAsia="宋体" w:cs="Times New Roman"/>
                      <w:b w:val="0"/>
                      <w:bCs w:val="0"/>
                      <w:kern w:val="2"/>
                      <w:sz w:val="21"/>
                      <w:szCs w:val="21"/>
                      <w:u w:val="none"/>
                      <w:lang w:val="en-US" w:eastAsia="zh-CN" w:bidi="ar-SA"/>
                    </w:rPr>
                  </w:pPr>
                  <w:r>
                    <w:rPr>
                      <w:rFonts w:hint="eastAsia" w:ascii="Times New Roman" w:hAnsi="宋体" w:eastAsia="宋体" w:cs="Times New Roman"/>
                      <w:b w:val="0"/>
                      <w:bCs w:val="0"/>
                      <w:kern w:val="2"/>
                      <w:sz w:val="21"/>
                      <w:szCs w:val="21"/>
                      <w:u w:val="none"/>
                      <w:lang w:val="en-US" w:eastAsia="zh-CN" w:bidi="ar-SA"/>
                    </w:rPr>
                    <w:t>/</w:t>
                  </w:r>
                </w:p>
              </w:tc>
              <w:tc>
                <w:tcPr>
                  <w:tcW w:w="347" w:type="pct"/>
                  <w:noWrap w:val="0"/>
                  <w:tcMar>
                    <w:left w:w="57" w:type="dxa"/>
                    <w:right w:w="57" w:type="dxa"/>
                  </w:tcMar>
                  <w:vAlign w:val="center"/>
                </w:tcPr>
                <w:p w14:paraId="1E3B72F3">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w:t>
                  </w:r>
                </w:p>
              </w:tc>
            </w:tr>
            <w:tr w14:paraId="63AB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4" w:type="pct"/>
                  <w:vMerge w:val="continue"/>
                  <w:noWrap w:val="0"/>
                  <w:tcMar>
                    <w:left w:w="57" w:type="dxa"/>
                    <w:right w:w="57" w:type="dxa"/>
                  </w:tcMar>
                  <w:vAlign w:val="center"/>
                </w:tcPr>
                <w:p w14:paraId="6A168696">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p>
              </w:tc>
              <w:tc>
                <w:tcPr>
                  <w:tcW w:w="601" w:type="pct"/>
                  <w:noWrap w:val="0"/>
                  <w:tcMar>
                    <w:left w:w="57" w:type="dxa"/>
                    <w:right w:w="57" w:type="dxa"/>
                  </w:tcMar>
                  <w:vAlign w:val="center"/>
                </w:tcPr>
                <w:p w14:paraId="1DC775EF">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资源开发效率要求</w:t>
                  </w:r>
                </w:p>
              </w:tc>
              <w:tc>
                <w:tcPr>
                  <w:tcW w:w="2645" w:type="pct"/>
                  <w:noWrap w:val="0"/>
                  <w:tcMar>
                    <w:left w:w="57" w:type="dxa"/>
                    <w:right w:w="57" w:type="dxa"/>
                  </w:tcMar>
                  <w:vAlign w:val="center"/>
                </w:tcPr>
                <w:p w14:paraId="60AD222E">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w:t>
                  </w:r>
                </w:p>
              </w:tc>
              <w:tc>
                <w:tcPr>
                  <w:tcW w:w="710" w:type="pct"/>
                  <w:noWrap w:val="0"/>
                  <w:tcMar>
                    <w:left w:w="57" w:type="dxa"/>
                    <w:right w:w="57" w:type="dxa"/>
                  </w:tcMar>
                  <w:vAlign w:val="center"/>
                </w:tcPr>
                <w:p w14:paraId="371D60E7">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w:t>
                  </w:r>
                </w:p>
              </w:tc>
              <w:tc>
                <w:tcPr>
                  <w:tcW w:w="347" w:type="pct"/>
                  <w:noWrap w:val="0"/>
                  <w:tcMar>
                    <w:left w:w="57" w:type="dxa"/>
                    <w:right w:w="57" w:type="dxa"/>
                  </w:tcMar>
                  <w:vAlign w:val="center"/>
                </w:tcPr>
                <w:p w14:paraId="64D2B080">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w:t>
                  </w:r>
                </w:p>
              </w:tc>
            </w:tr>
            <w:tr w14:paraId="4F30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4" w:type="pct"/>
                  <w:vMerge w:val="restart"/>
                  <w:noWrap w:val="0"/>
                  <w:tcMar>
                    <w:left w:w="57" w:type="dxa"/>
                    <w:right w:w="57" w:type="dxa"/>
                  </w:tcMar>
                  <w:vAlign w:val="center"/>
                </w:tcPr>
                <w:p w14:paraId="47F3C303">
                  <w:pPr>
                    <w:widowControl w:val="0"/>
                    <w:autoSpaceDE w:val="0"/>
                    <w:autoSpaceDN w:val="0"/>
                    <w:adjustRightInd w:val="0"/>
                    <w:snapToGrid w:val="0"/>
                    <w:jc w:val="center"/>
                    <w:rPr>
                      <w:rFonts w:hint="default"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YS4105232330001</w:t>
                  </w:r>
                </w:p>
              </w:tc>
              <w:tc>
                <w:tcPr>
                  <w:tcW w:w="601" w:type="pct"/>
                  <w:noWrap w:val="0"/>
                  <w:tcMar>
                    <w:left w:w="57" w:type="dxa"/>
                    <w:right w:w="57" w:type="dxa"/>
                  </w:tcMar>
                  <w:vAlign w:val="center"/>
                </w:tcPr>
                <w:p w14:paraId="27A7402F">
                  <w:pPr>
                    <w:widowControl w:val="0"/>
                    <w:autoSpaceDE w:val="0"/>
                    <w:autoSpaceDN w:val="0"/>
                    <w:adjustRightInd w:val="0"/>
                    <w:snapToGrid w:val="0"/>
                    <w:jc w:val="center"/>
                    <w:rPr>
                      <w:rFonts w:hint="default"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空间布局约束</w:t>
                  </w:r>
                </w:p>
              </w:tc>
              <w:tc>
                <w:tcPr>
                  <w:tcW w:w="2645" w:type="pct"/>
                  <w:noWrap w:val="0"/>
                  <w:tcMar>
                    <w:left w:w="57" w:type="dxa"/>
                    <w:right w:w="57" w:type="dxa"/>
                  </w:tcMar>
                  <w:vAlign w:val="center"/>
                </w:tcPr>
                <w:p w14:paraId="609DAE59">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1、原则上不再办理使用登记和审批35蒸吨/时及以下燃煤锅炉，到2025年全面停止办理。严格控制露天矿业权审批和露天矿山新上建设项目核准或备案、环境影响评价报告审批，原则</w:t>
                  </w:r>
                </w:p>
                <w:p w14:paraId="6DCECC93">
                  <w:pPr>
                    <w:widowControl w:val="0"/>
                    <w:autoSpaceDE w:val="0"/>
                    <w:autoSpaceDN w:val="0"/>
                    <w:adjustRightInd w:val="0"/>
                    <w:snapToGrid w:val="0"/>
                    <w:jc w:val="both"/>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上禁止新建露天矿山建设项目，到2025年全面禁止。</w:t>
                  </w:r>
                </w:p>
                <w:p w14:paraId="46F8A8C1">
                  <w:pPr>
                    <w:widowControl w:val="0"/>
                    <w:autoSpaceDE w:val="0"/>
                    <w:autoSpaceDN w:val="0"/>
                    <w:adjustRightInd w:val="0"/>
                    <w:snapToGrid w:val="0"/>
                    <w:jc w:val="both"/>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2、原则上禁止钢铁、电解铝、水泥、玻璃、传统煤化工（甲醇、合成氨）、焦化等行业新建、扩建单纯新增产能以及耐火材料、陶瓷等行业新建、扩建以煤炭为燃料的项目和企业，对钢铁、水泥、电解铝、玻璃等行业不再实施省内产能置换，到2025年全面禁止。</w:t>
                  </w:r>
                </w:p>
                <w:p w14:paraId="68BF9779">
                  <w:pPr>
                    <w:widowControl w:val="0"/>
                    <w:autoSpaceDE w:val="0"/>
                    <w:autoSpaceDN w:val="0"/>
                    <w:adjustRightInd w:val="0"/>
                    <w:snapToGrid w:val="0"/>
                    <w:jc w:val="both"/>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3、禁止建设生产和使用高VOCs含量的溶剂型</w:t>
                  </w:r>
                </w:p>
                <w:p w14:paraId="40D23FB1">
                  <w:pPr>
                    <w:widowControl w:val="0"/>
                    <w:autoSpaceDE w:val="0"/>
                    <w:autoSpaceDN w:val="0"/>
                    <w:adjustRightInd w:val="0"/>
                    <w:snapToGrid w:val="0"/>
                    <w:jc w:val="both"/>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涂料、油墨、胶粘剂等项目。京津冀2+26和汾渭平原城市群禁止城市建成区露天烧烤。加强夜市综合整治，有序推进夜市“退路进店”；到2025年，常态化动态更新施工工地管理清单，全面清理城乡结合部以及城中拆迁的渣土和建筑垃圾。</w:t>
                  </w:r>
                </w:p>
              </w:tc>
              <w:tc>
                <w:tcPr>
                  <w:tcW w:w="710" w:type="pct"/>
                  <w:noWrap w:val="0"/>
                  <w:tcMar>
                    <w:left w:w="57" w:type="dxa"/>
                    <w:right w:w="57" w:type="dxa"/>
                  </w:tcMar>
                  <w:vAlign w:val="center"/>
                </w:tcPr>
                <w:p w14:paraId="7E67FCC9">
                  <w:pPr>
                    <w:widowControl w:val="0"/>
                    <w:numPr>
                      <w:ilvl w:val="0"/>
                      <w:numId w:val="7"/>
                    </w:numPr>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本项目不涉及；</w:t>
                  </w:r>
                </w:p>
                <w:p w14:paraId="6BE84872">
                  <w:pPr>
                    <w:widowControl w:val="0"/>
                    <w:numPr>
                      <w:ilvl w:val="0"/>
                      <w:numId w:val="7"/>
                    </w:numPr>
                    <w:autoSpaceDE w:val="0"/>
                    <w:autoSpaceDN w:val="0"/>
                    <w:adjustRightInd w:val="0"/>
                    <w:snapToGrid w:val="0"/>
                    <w:jc w:val="center"/>
                    <w:rPr>
                      <w:rFonts w:hint="default"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本项目不涉及；</w:t>
                  </w:r>
                </w:p>
                <w:p w14:paraId="152C24B0">
                  <w:pPr>
                    <w:widowControl w:val="0"/>
                    <w:numPr>
                      <w:ilvl w:val="0"/>
                      <w:numId w:val="7"/>
                    </w:numPr>
                    <w:autoSpaceDE w:val="0"/>
                    <w:autoSpaceDN w:val="0"/>
                    <w:adjustRightInd w:val="0"/>
                    <w:snapToGrid w:val="0"/>
                    <w:jc w:val="center"/>
                    <w:rPr>
                      <w:rFonts w:hint="default"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本项目不涉及；</w:t>
                  </w:r>
                </w:p>
                <w:p w14:paraId="5E6EC2F5">
                  <w:pPr>
                    <w:widowControl w:val="0"/>
                    <w:numPr>
                      <w:ilvl w:val="0"/>
                      <w:numId w:val="0"/>
                    </w:numPr>
                    <w:autoSpaceDE w:val="0"/>
                    <w:autoSpaceDN w:val="0"/>
                    <w:adjustRightInd w:val="0"/>
                    <w:snapToGrid w:val="0"/>
                    <w:jc w:val="both"/>
                    <w:rPr>
                      <w:rFonts w:hint="default" w:ascii="Times New Roman" w:hAnsi="宋体" w:eastAsia="宋体" w:cs="Times New Roman"/>
                      <w:kern w:val="2"/>
                      <w:sz w:val="21"/>
                      <w:szCs w:val="21"/>
                      <w:lang w:val="en-US" w:eastAsia="zh-CN" w:bidi="ar-SA"/>
                    </w:rPr>
                  </w:pPr>
                </w:p>
              </w:tc>
              <w:tc>
                <w:tcPr>
                  <w:tcW w:w="347" w:type="pct"/>
                  <w:noWrap w:val="0"/>
                  <w:tcMar>
                    <w:left w:w="57" w:type="dxa"/>
                    <w:right w:w="57" w:type="dxa"/>
                  </w:tcMar>
                  <w:vAlign w:val="center"/>
                </w:tcPr>
                <w:p w14:paraId="28BCCCBA">
                  <w:pPr>
                    <w:widowControl w:val="0"/>
                    <w:autoSpaceDE w:val="0"/>
                    <w:autoSpaceDN w:val="0"/>
                    <w:adjustRightInd w:val="0"/>
                    <w:snapToGrid w:val="0"/>
                    <w:jc w:val="center"/>
                    <w:rPr>
                      <w:rFonts w:hint="default"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符合</w:t>
                  </w:r>
                </w:p>
              </w:tc>
            </w:tr>
            <w:tr w14:paraId="0AD7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4" w:type="pct"/>
                  <w:vMerge w:val="continue"/>
                  <w:noWrap w:val="0"/>
                  <w:tcMar>
                    <w:left w:w="57" w:type="dxa"/>
                    <w:right w:w="57" w:type="dxa"/>
                  </w:tcMar>
                  <w:vAlign w:val="center"/>
                </w:tcPr>
                <w:p w14:paraId="6F4F827C">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p>
              </w:tc>
              <w:tc>
                <w:tcPr>
                  <w:tcW w:w="601" w:type="pct"/>
                  <w:noWrap w:val="0"/>
                  <w:tcMar>
                    <w:left w:w="57" w:type="dxa"/>
                    <w:right w:w="57" w:type="dxa"/>
                  </w:tcMar>
                  <w:vAlign w:val="center"/>
                </w:tcPr>
                <w:p w14:paraId="7CA8F53D">
                  <w:pPr>
                    <w:widowControl w:val="0"/>
                    <w:autoSpaceDE w:val="0"/>
                    <w:autoSpaceDN w:val="0"/>
                    <w:adjustRightInd w:val="0"/>
                    <w:snapToGrid w:val="0"/>
                    <w:jc w:val="center"/>
                    <w:rPr>
                      <w:rFonts w:hint="default"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污染物排放管控</w:t>
                  </w:r>
                </w:p>
              </w:tc>
              <w:tc>
                <w:tcPr>
                  <w:tcW w:w="2645" w:type="pct"/>
                  <w:noWrap w:val="0"/>
                  <w:tcMar>
                    <w:left w:w="57" w:type="dxa"/>
                    <w:right w:w="57" w:type="dxa"/>
                  </w:tcMar>
                  <w:vAlign w:val="center"/>
                </w:tcPr>
                <w:p w14:paraId="721AEB19">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1、重点行业二氧化硫、氮氧化物、颗粒物、</w:t>
                  </w:r>
                </w:p>
                <w:p w14:paraId="28B0FB61">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VOCs全面执行大气污染物特别排放限值。新建涉VOCs排放的工业企业要入园区，实行区域内VOCs排放等量或倍量削减替代。</w:t>
                  </w:r>
                </w:p>
                <w:p w14:paraId="41BC5630">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2、强化施工扬尘污染防治，做到工地周边围挡、物料堆放覆盖、土方开挖湿法作业、路面硬化、</w:t>
                  </w:r>
                </w:p>
                <w:p w14:paraId="2D5B80B6">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出入车辆清洗、渣土车辆密闭运输“六个百</w:t>
                  </w:r>
                </w:p>
                <w:p w14:paraId="679B8092">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分之百”，禁止施工工地现场搅拌混凝土、现场配置砂浆。</w:t>
                  </w:r>
                </w:p>
                <w:p w14:paraId="30C8B6CF">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3、京津冀2+26城市群完成应急减排清单编</w:t>
                  </w:r>
                </w:p>
                <w:p w14:paraId="3C618513">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制工作，并动态更新，落实“一厂一策”等各</w:t>
                  </w:r>
                </w:p>
                <w:p w14:paraId="0D5DA5A9">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项应急减排措施；严格落实施工工地“六个百</w:t>
                  </w:r>
                </w:p>
                <w:p w14:paraId="29C0AF47">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分之百”要求；建成区5000平米及以上建筑工</w:t>
                  </w:r>
                </w:p>
                <w:p w14:paraId="10056320">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地全部安装在线监测和视频监控，并与当地行</w:t>
                  </w:r>
                </w:p>
                <w:p w14:paraId="6A9D9A15">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业主管部门联网。汾渭平原城市群完成应急减</w:t>
                  </w:r>
                </w:p>
                <w:p w14:paraId="392F510A">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排清单编制工作，并动态更新，落实“一厂一</w:t>
                  </w:r>
                </w:p>
                <w:p w14:paraId="36F66AF8">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策”等各项应急减排措施。</w:t>
                  </w:r>
                </w:p>
                <w:p w14:paraId="4A2B30AF">
                  <w:pPr>
                    <w:widowControl w:val="0"/>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4、关停退出热效率低下、敞开未封闭，装备简易落后、 自动化水平低，布局分散、规模小、无组织排放突出，以及无治理设施或治理设施工艺落后的工业炉窑。基本淘汰35蒸吨/时及以下燃煤锅炉，确需保留的35蒸吨/时及以下燃煤</w:t>
                  </w:r>
                </w:p>
                <w:p w14:paraId="138A1DEC">
                  <w:pPr>
                    <w:widowControl w:val="0"/>
                    <w:autoSpaceDE w:val="0"/>
                    <w:autoSpaceDN w:val="0"/>
                    <w:adjustRightInd w:val="0"/>
                    <w:snapToGrid w:val="0"/>
                    <w:jc w:val="both"/>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锅炉，必须实现超低排放。</w:t>
                  </w:r>
                </w:p>
              </w:tc>
              <w:tc>
                <w:tcPr>
                  <w:tcW w:w="710" w:type="pct"/>
                  <w:noWrap w:val="0"/>
                  <w:tcMar>
                    <w:left w:w="57" w:type="dxa"/>
                    <w:right w:w="57" w:type="dxa"/>
                  </w:tcMar>
                  <w:vAlign w:val="center"/>
                </w:tcPr>
                <w:p w14:paraId="586044D2">
                  <w:pPr>
                    <w:widowControl w:val="0"/>
                    <w:numPr>
                      <w:ilvl w:val="0"/>
                      <w:numId w:val="8"/>
                    </w:numPr>
                    <w:autoSpaceDE w:val="0"/>
                    <w:autoSpaceDN w:val="0"/>
                    <w:adjustRightInd w:val="0"/>
                    <w:snapToGrid w:val="0"/>
                    <w:jc w:val="center"/>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本项目不涉及；</w:t>
                  </w:r>
                </w:p>
                <w:p w14:paraId="4966B9D7">
                  <w:pPr>
                    <w:widowControl w:val="0"/>
                    <w:numPr>
                      <w:ilvl w:val="0"/>
                      <w:numId w:val="8"/>
                    </w:numPr>
                    <w:autoSpaceDE w:val="0"/>
                    <w:autoSpaceDN w:val="0"/>
                    <w:adjustRightInd w:val="0"/>
                    <w:snapToGrid w:val="0"/>
                    <w:jc w:val="center"/>
                    <w:rPr>
                      <w:rFonts w:hint="default"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本项目不涉及；</w:t>
                  </w:r>
                </w:p>
                <w:p w14:paraId="21906F46">
                  <w:pPr>
                    <w:widowControl w:val="0"/>
                    <w:numPr>
                      <w:ilvl w:val="0"/>
                      <w:numId w:val="8"/>
                    </w:numPr>
                    <w:autoSpaceDE w:val="0"/>
                    <w:autoSpaceDN w:val="0"/>
                    <w:adjustRightInd w:val="0"/>
                    <w:snapToGrid w:val="0"/>
                    <w:jc w:val="center"/>
                    <w:rPr>
                      <w:rFonts w:hint="default"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本项目不涉及</w:t>
                  </w:r>
                </w:p>
              </w:tc>
              <w:tc>
                <w:tcPr>
                  <w:tcW w:w="347" w:type="pct"/>
                  <w:noWrap w:val="0"/>
                  <w:tcMar>
                    <w:left w:w="57" w:type="dxa"/>
                    <w:right w:w="57" w:type="dxa"/>
                  </w:tcMar>
                  <w:vAlign w:val="center"/>
                </w:tcPr>
                <w:p w14:paraId="33E971CC">
                  <w:pPr>
                    <w:widowControl w:val="0"/>
                    <w:autoSpaceDE w:val="0"/>
                    <w:autoSpaceDN w:val="0"/>
                    <w:adjustRightInd w:val="0"/>
                    <w:snapToGrid w:val="0"/>
                    <w:jc w:val="center"/>
                    <w:rPr>
                      <w:rFonts w:hint="default"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符合</w:t>
                  </w:r>
                </w:p>
              </w:tc>
            </w:tr>
            <w:tr w14:paraId="2E90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4" w:type="pct"/>
                  <w:vMerge w:val="continue"/>
                  <w:noWrap w:val="0"/>
                  <w:tcMar>
                    <w:left w:w="57" w:type="dxa"/>
                    <w:right w:w="57" w:type="dxa"/>
                  </w:tcMar>
                  <w:vAlign w:val="center"/>
                </w:tcPr>
                <w:p w14:paraId="1F8265F1">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p>
              </w:tc>
              <w:tc>
                <w:tcPr>
                  <w:tcW w:w="988" w:type="dxa"/>
                  <w:noWrap w:val="0"/>
                  <w:tcMar>
                    <w:left w:w="57" w:type="dxa"/>
                    <w:right w:w="57" w:type="dxa"/>
                  </w:tcMar>
                  <w:vAlign w:val="center"/>
                </w:tcPr>
                <w:p w14:paraId="017FBDF0">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b w:val="0"/>
                      <w:bCs w:val="0"/>
                      <w:kern w:val="2"/>
                      <w:sz w:val="21"/>
                      <w:szCs w:val="21"/>
                      <w:u w:val="none"/>
                      <w:lang w:val="en-US" w:eastAsia="zh-CN" w:bidi="ar-SA"/>
                    </w:rPr>
                    <w:t>环境风险防控</w:t>
                  </w:r>
                </w:p>
              </w:tc>
              <w:tc>
                <w:tcPr>
                  <w:tcW w:w="2645" w:type="pct"/>
                  <w:noWrap w:val="0"/>
                  <w:tcMar>
                    <w:left w:w="57" w:type="dxa"/>
                    <w:right w:w="57" w:type="dxa"/>
                  </w:tcMar>
                  <w:vAlign w:val="center"/>
                </w:tcPr>
                <w:p w14:paraId="5B71EB32">
                  <w:pPr>
                    <w:widowControl w:val="0"/>
                    <w:autoSpaceDE w:val="0"/>
                    <w:autoSpaceDN w:val="0"/>
                    <w:adjustRightInd w:val="0"/>
                    <w:snapToGrid w:val="0"/>
                    <w:jc w:val="center"/>
                    <w:rPr>
                      <w:rFonts w:hint="default"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w:t>
                  </w:r>
                </w:p>
              </w:tc>
              <w:tc>
                <w:tcPr>
                  <w:tcW w:w="710" w:type="pct"/>
                  <w:noWrap w:val="0"/>
                  <w:tcMar>
                    <w:left w:w="57" w:type="dxa"/>
                    <w:right w:w="57" w:type="dxa"/>
                  </w:tcMar>
                  <w:vAlign w:val="center"/>
                </w:tcPr>
                <w:p w14:paraId="4A5C0C79">
                  <w:pPr>
                    <w:widowControl w:val="0"/>
                    <w:autoSpaceDE w:val="0"/>
                    <w:autoSpaceDN w:val="0"/>
                    <w:adjustRightInd w:val="0"/>
                    <w:snapToGrid w:val="0"/>
                    <w:jc w:val="center"/>
                    <w:rPr>
                      <w:rFonts w:hint="default"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w:t>
                  </w:r>
                </w:p>
              </w:tc>
              <w:tc>
                <w:tcPr>
                  <w:tcW w:w="347" w:type="pct"/>
                  <w:noWrap w:val="0"/>
                  <w:tcMar>
                    <w:left w:w="57" w:type="dxa"/>
                    <w:right w:w="57" w:type="dxa"/>
                  </w:tcMar>
                  <w:vAlign w:val="center"/>
                </w:tcPr>
                <w:p w14:paraId="0B34DFA9">
                  <w:pPr>
                    <w:widowControl w:val="0"/>
                    <w:autoSpaceDE w:val="0"/>
                    <w:autoSpaceDN w:val="0"/>
                    <w:adjustRightInd w:val="0"/>
                    <w:snapToGrid w:val="0"/>
                    <w:jc w:val="center"/>
                    <w:rPr>
                      <w:rFonts w:hint="default"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w:t>
                  </w:r>
                </w:p>
              </w:tc>
            </w:tr>
            <w:tr w14:paraId="1F8D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4" w:type="pct"/>
                  <w:vMerge w:val="continue"/>
                  <w:noWrap w:val="0"/>
                  <w:tcMar>
                    <w:left w:w="57" w:type="dxa"/>
                    <w:right w:w="57" w:type="dxa"/>
                  </w:tcMar>
                  <w:vAlign w:val="center"/>
                </w:tcPr>
                <w:p w14:paraId="42934894">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p>
              </w:tc>
              <w:tc>
                <w:tcPr>
                  <w:tcW w:w="988" w:type="dxa"/>
                  <w:noWrap w:val="0"/>
                  <w:tcMar>
                    <w:left w:w="57" w:type="dxa"/>
                    <w:right w:w="57" w:type="dxa"/>
                  </w:tcMar>
                  <w:vAlign w:val="center"/>
                </w:tcPr>
                <w:p w14:paraId="7443A1C6">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资源开发效率要求</w:t>
                  </w:r>
                </w:p>
              </w:tc>
              <w:tc>
                <w:tcPr>
                  <w:tcW w:w="2645" w:type="pct"/>
                  <w:noWrap w:val="0"/>
                  <w:tcMar>
                    <w:left w:w="57" w:type="dxa"/>
                    <w:right w:w="57" w:type="dxa"/>
                  </w:tcMar>
                  <w:vAlign w:val="center"/>
                </w:tcPr>
                <w:p w14:paraId="1F601282">
                  <w:pPr>
                    <w:widowControl w:val="0"/>
                    <w:autoSpaceDE w:val="0"/>
                    <w:autoSpaceDN w:val="0"/>
                    <w:adjustRightInd w:val="0"/>
                    <w:snapToGrid w:val="0"/>
                    <w:jc w:val="center"/>
                    <w:rPr>
                      <w:rFonts w:hint="default"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w:t>
                  </w:r>
                </w:p>
              </w:tc>
              <w:tc>
                <w:tcPr>
                  <w:tcW w:w="710" w:type="pct"/>
                  <w:noWrap w:val="0"/>
                  <w:tcMar>
                    <w:left w:w="57" w:type="dxa"/>
                    <w:right w:w="57" w:type="dxa"/>
                  </w:tcMar>
                  <w:vAlign w:val="center"/>
                </w:tcPr>
                <w:p w14:paraId="15DD5676">
                  <w:pPr>
                    <w:widowControl w:val="0"/>
                    <w:autoSpaceDE w:val="0"/>
                    <w:autoSpaceDN w:val="0"/>
                    <w:adjustRightInd w:val="0"/>
                    <w:snapToGrid w:val="0"/>
                    <w:jc w:val="center"/>
                    <w:rPr>
                      <w:rFonts w:hint="default"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w:t>
                  </w:r>
                </w:p>
              </w:tc>
              <w:tc>
                <w:tcPr>
                  <w:tcW w:w="347" w:type="pct"/>
                  <w:noWrap w:val="0"/>
                  <w:tcMar>
                    <w:left w:w="57" w:type="dxa"/>
                    <w:right w:w="57" w:type="dxa"/>
                  </w:tcMar>
                  <w:vAlign w:val="center"/>
                </w:tcPr>
                <w:p w14:paraId="0A375EFC">
                  <w:pPr>
                    <w:widowControl w:val="0"/>
                    <w:autoSpaceDE w:val="0"/>
                    <w:autoSpaceDN w:val="0"/>
                    <w:adjustRightInd w:val="0"/>
                    <w:snapToGrid w:val="0"/>
                    <w:jc w:val="center"/>
                    <w:rPr>
                      <w:rFonts w:hint="default"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w:t>
                  </w:r>
                </w:p>
              </w:tc>
            </w:tr>
          </w:tbl>
          <w:p w14:paraId="5B10CB10">
            <w:pPr>
              <w:widowControl w:val="0"/>
              <w:adjustRightInd w:val="0"/>
              <w:snapToGrid w:val="0"/>
              <w:spacing w:line="360" w:lineRule="auto"/>
              <w:ind w:firstLine="480" w:firstLineChars="200"/>
              <w:jc w:val="left"/>
              <w:outlineLvl w:val="2"/>
              <w:rPr>
                <w:rFonts w:ascii="Times New Roman" w:hAnsi="Times New Roman" w:eastAsia="等线" w:cs="Times New Roman"/>
                <w:b/>
                <w:bCs/>
                <w:kern w:val="2"/>
                <w:sz w:val="24"/>
                <w:szCs w:val="24"/>
                <w:lang w:val="en-US" w:eastAsia="zh-CN" w:bidi="ar-SA"/>
              </w:rPr>
            </w:pPr>
            <w:r>
              <w:rPr>
                <w:rFonts w:hint="eastAsia" w:ascii="Times New Roman" w:hAnsi="Times New Roman" w:eastAsia="等线" w:cs="Times New Roman"/>
                <w:b/>
                <w:bCs/>
                <w:kern w:val="2"/>
                <w:sz w:val="24"/>
                <w:szCs w:val="24"/>
                <w:lang w:val="en-US" w:eastAsia="zh-CN" w:bidi="ar-SA"/>
              </w:rPr>
              <w:t>（3）河南省水环境管控相关要求相符性分析</w:t>
            </w:r>
          </w:p>
          <w:p w14:paraId="3C7F4EF6">
            <w:pPr>
              <w:pStyle w:val="144"/>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经比对，项目涉及 1 个河南省水环境管控分区，其中水环境优先保护区0个，工业污染重点管控区0个，城镇生活污染重点管控区0个，农业污染重点管控区0个，水环境一般管控区1个，相符性分析详见下表。</w:t>
            </w:r>
          </w:p>
          <w:p w14:paraId="23BF946A">
            <w:pPr>
              <w:pStyle w:val="56"/>
              <w:keepNext w:val="0"/>
              <w:keepLines w:val="0"/>
              <w:pageBreakBefore w:val="0"/>
              <w:widowControl w:val="0"/>
              <w:kinsoku/>
              <w:wordWrap/>
              <w:overflowPunct/>
              <w:topLinePunct w:val="0"/>
              <w:autoSpaceDE w:val="0"/>
              <w:autoSpaceDN w:val="0"/>
              <w:bidi w:val="0"/>
              <w:adjustRightInd w:val="0"/>
              <w:snapToGrid/>
              <w:spacing w:before="156"/>
              <w:ind w:left="1050" w:leftChars="0" w:hanging="420" w:firstLineChars="0"/>
              <w:jc w:val="center"/>
              <w:textAlignment w:val="auto"/>
              <w:rPr>
                <w:rFonts w:hint="eastAsia" w:ascii="等线" w:hAnsi="等线" w:eastAsia="等线" w:cs="等线"/>
                <w:kern w:val="2"/>
                <w:sz w:val="24"/>
                <w:szCs w:val="24"/>
                <w:lang w:val="en-US" w:eastAsia="zh-CN" w:bidi="ar-SA"/>
              </w:rPr>
            </w:pPr>
            <w:r>
              <w:rPr>
                <w:rFonts w:hint="eastAsia" w:ascii="等线" w:hAnsi="等线" w:eastAsia="等线" w:cs="等线"/>
                <w:kern w:val="2"/>
                <w:sz w:val="24"/>
                <w:szCs w:val="24"/>
                <w:lang w:val="zh-CN" w:eastAsia="zh-CN" w:bidi="ar-SA"/>
              </w:rPr>
              <w:t>与河南省水环境管控分区准入要求相符性分析</w:t>
            </w:r>
          </w:p>
          <w:tbl>
            <w:tblPr>
              <w:tblStyle w:val="4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395"/>
              <w:gridCol w:w="4350"/>
              <w:gridCol w:w="853"/>
              <w:gridCol w:w="606"/>
            </w:tblGrid>
            <w:tr w14:paraId="6E5D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9" w:type="pct"/>
                  <w:noWrap w:val="0"/>
                  <w:tcMar>
                    <w:left w:w="57" w:type="dxa"/>
                    <w:right w:w="57" w:type="dxa"/>
                  </w:tcMar>
                  <w:vAlign w:val="center"/>
                </w:tcPr>
                <w:p w14:paraId="56A7C1B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环境管控单元</w:t>
                  </w:r>
                </w:p>
              </w:tc>
              <w:tc>
                <w:tcPr>
                  <w:tcW w:w="850" w:type="pct"/>
                  <w:noWrap w:val="0"/>
                  <w:tcMar>
                    <w:left w:w="57" w:type="dxa"/>
                    <w:right w:w="57" w:type="dxa"/>
                  </w:tcMar>
                  <w:vAlign w:val="center"/>
                </w:tcPr>
                <w:p w14:paraId="52DD254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管控维度</w:t>
                  </w:r>
                </w:p>
              </w:tc>
              <w:tc>
                <w:tcPr>
                  <w:tcW w:w="2651" w:type="pct"/>
                  <w:noWrap w:val="0"/>
                  <w:tcMar>
                    <w:left w:w="57" w:type="dxa"/>
                    <w:right w:w="57" w:type="dxa"/>
                  </w:tcMar>
                  <w:vAlign w:val="center"/>
                </w:tcPr>
                <w:p w14:paraId="61658AD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准入要求</w:t>
                  </w:r>
                </w:p>
              </w:tc>
              <w:tc>
                <w:tcPr>
                  <w:tcW w:w="519" w:type="pct"/>
                  <w:noWrap w:val="0"/>
                  <w:tcMar>
                    <w:left w:w="57" w:type="dxa"/>
                    <w:right w:w="57" w:type="dxa"/>
                  </w:tcMar>
                  <w:vAlign w:val="center"/>
                </w:tcPr>
                <w:p w14:paraId="1277C29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项目情况</w:t>
                  </w:r>
                </w:p>
              </w:tc>
              <w:tc>
                <w:tcPr>
                  <w:tcW w:w="369" w:type="pct"/>
                  <w:noWrap w:val="0"/>
                  <w:tcMar>
                    <w:left w:w="57" w:type="dxa"/>
                    <w:right w:w="57" w:type="dxa"/>
                  </w:tcMar>
                  <w:vAlign w:val="center"/>
                </w:tcPr>
                <w:p w14:paraId="02C1DEE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符合性</w:t>
                  </w:r>
                </w:p>
              </w:tc>
            </w:tr>
            <w:tr w14:paraId="4DBA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9" w:type="pct"/>
                  <w:vMerge w:val="restart"/>
                  <w:noWrap w:val="0"/>
                  <w:tcMar>
                    <w:left w:w="57" w:type="dxa"/>
                    <w:right w:w="57" w:type="dxa"/>
                  </w:tcMar>
                  <w:vAlign w:val="center"/>
                </w:tcPr>
                <w:p w14:paraId="32B53AA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YS41052</w:t>
                  </w:r>
                </w:p>
                <w:p w14:paraId="1904EAD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3321039</w:t>
                  </w:r>
                </w:p>
                <w:p w14:paraId="0D757C2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2汤河安阳市石辛庄控制单元</w:t>
                  </w:r>
                </w:p>
              </w:tc>
              <w:tc>
                <w:tcPr>
                  <w:tcW w:w="850" w:type="pct"/>
                  <w:noWrap w:val="0"/>
                  <w:tcMar>
                    <w:left w:w="57" w:type="dxa"/>
                    <w:right w:w="57" w:type="dxa"/>
                  </w:tcMar>
                  <w:vAlign w:val="center"/>
                </w:tcPr>
                <w:p w14:paraId="303F8028">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空间布</w:t>
                  </w:r>
                </w:p>
                <w:p w14:paraId="1B22279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局约束</w:t>
                  </w:r>
                </w:p>
              </w:tc>
              <w:tc>
                <w:tcPr>
                  <w:tcW w:w="2651" w:type="pct"/>
                  <w:noWrap w:val="0"/>
                  <w:tcMar>
                    <w:left w:w="57" w:type="dxa"/>
                    <w:right w:w="57" w:type="dxa"/>
                  </w:tcMar>
                  <w:vAlign w:val="center"/>
                </w:tcPr>
                <w:p w14:paraId="3B8603C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w:t>
                  </w:r>
                </w:p>
              </w:tc>
              <w:tc>
                <w:tcPr>
                  <w:tcW w:w="519" w:type="pct"/>
                  <w:noWrap w:val="0"/>
                  <w:tcMar>
                    <w:left w:w="57" w:type="dxa"/>
                    <w:right w:w="57" w:type="dxa"/>
                  </w:tcMar>
                  <w:vAlign w:val="center"/>
                </w:tcPr>
                <w:p w14:paraId="1C368C58">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w:t>
                  </w:r>
                </w:p>
              </w:tc>
              <w:tc>
                <w:tcPr>
                  <w:tcW w:w="369" w:type="pct"/>
                  <w:noWrap w:val="0"/>
                  <w:tcMar>
                    <w:left w:w="57" w:type="dxa"/>
                    <w:right w:w="57" w:type="dxa"/>
                  </w:tcMar>
                  <w:vAlign w:val="center"/>
                </w:tcPr>
                <w:p w14:paraId="19A9FCBF">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w:t>
                  </w:r>
                </w:p>
              </w:tc>
            </w:tr>
            <w:tr w14:paraId="7213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9" w:type="pct"/>
                  <w:vMerge w:val="continue"/>
                  <w:noWrap w:val="0"/>
                  <w:tcMar>
                    <w:left w:w="57" w:type="dxa"/>
                    <w:right w:w="57" w:type="dxa"/>
                  </w:tcMar>
                  <w:vAlign w:val="center"/>
                </w:tcPr>
                <w:p w14:paraId="6321E7C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宋体" w:eastAsia="宋体" w:cs="Times New Roman"/>
                      <w:kern w:val="2"/>
                      <w:sz w:val="21"/>
                      <w:szCs w:val="21"/>
                      <w:lang w:val="en-US" w:eastAsia="zh-CN" w:bidi="ar-SA"/>
                    </w:rPr>
                  </w:pPr>
                </w:p>
              </w:tc>
              <w:tc>
                <w:tcPr>
                  <w:tcW w:w="850" w:type="pct"/>
                  <w:noWrap w:val="0"/>
                  <w:tcMar>
                    <w:left w:w="57" w:type="dxa"/>
                    <w:right w:w="57" w:type="dxa"/>
                  </w:tcMar>
                  <w:vAlign w:val="center"/>
                </w:tcPr>
                <w:p w14:paraId="47ACBC2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污染物排放管控</w:t>
                  </w:r>
                </w:p>
              </w:tc>
              <w:tc>
                <w:tcPr>
                  <w:tcW w:w="2651" w:type="pct"/>
                  <w:noWrap w:val="0"/>
                  <w:tcMar>
                    <w:left w:w="57" w:type="dxa"/>
                    <w:right w:w="57" w:type="dxa"/>
                  </w:tcMar>
                  <w:vAlign w:val="center"/>
                </w:tcPr>
                <w:p w14:paraId="74D8A0A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新建或扩建城镇污水处理厂必须达到或优于一级A排放标准，具备条件的县级以上污水处理厂应建设尾水人工湿地。</w:t>
                  </w:r>
                </w:p>
              </w:tc>
              <w:tc>
                <w:tcPr>
                  <w:tcW w:w="519" w:type="pct"/>
                  <w:noWrap w:val="0"/>
                  <w:tcMar>
                    <w:left w:w="57" w:type="dxa"/>
                    <w:right w:w="57" w:type="dxa"/>
                  </w:tcMar>
                  <w:vAlign w:val="center"/>
                </w:tcPr>
                <w:p w14:paraId="31F3AD5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不涉及</w:t>
                  </w:r>
                </w:p>
              </w:tc>
              <w:tc>
                <w:tcPr>
                  <w:tcW w:w="369" w:type="pct"/>
                  <w:noWrap w:val="0"/>
                  <w:tcMar>
                    <w:left w:w="57" w:type="dxa"/>
                    <w:right w:w="57" w:type="dxa"/>
                  </w:tcMar>
                  <w:vAlign w:val="center"/>
                </w:tcPr>
                <w:p w14:paraId="0E4ED01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无关性</w:t>
                  </w:r>
                </w:p>
              </w:tc>
            </w:tr>
            <w:tr w14:paraId="54DD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9" w:type="pct"/>
                  <w:vMerge w:val="continue"/>
                  <w:noWrap w:val="0"/>
                  <w:tcMar>
                    <w:left w:w="57" w:type="dxa"/>
                    <w:right w:w="57" w:type="dxa"/>
                  </w:tcMar>
                  <w:vAlign w:val="center"/>
                </w:tcPr>
                <w:p w14:paraId="7285876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宋体" w:eastAsia="宋体" w:cs="Times New Roman"/>
                      <w:kern w:val="2"/>
                      <w:sz w:val="21"/>
                      <w:szCs w:val="21"/>
                      <w:lang w:val="en-US" w:eastAsia="zh-CN" w:bidi="ar-SA"/>
                    </w:rPr>
                  </w:pPr>
                </w:p>
              </w:tc>
              <w:tc>
                <w:tcPr>
                  <w:tcW w:w="850" w:type="pct"/>
                  <w:noWrap w:val="0"/>
                  <w:tcMar>
                    <w:left w:w="57" w:type="dxa"/>
                    <w:right w:w="57" w:type="dxa"/>
                  </w:tcMar>
                  <w:vAlign w:val="center"/>
                </w:tcPr>
                <w:p w14:paraId="73ED6C1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环境风险防控</w:t>
                  </w:r>
                </w:p>
              </w:tc>
              <w:tc>
                <w:tcPr>
                  <w:tcW w:w="2651" w:type="pct"/>
                  <w:noWrap w:val="0"/>
                  <w:tcMar>
                    <w:left w:w="57" w:type="dxa"/>
                    <w:right w:w="57" w:type="dxa"/>
                  </w:tcMar>
                  <w:vAlign w:val="center"/>
                </w:tcPr>
                <w:p w14:paraId="727F37A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w:t>
                  </w:r>
                </w:p>
              </w:tc>
              <w:tc>
                <w:tcPr>
                  <w:tcW w:w="519" w:type="pct"/>
                  <w:noWrap w:val="0"/>
                  <w:tcMar>
                    <w:left w:w="57" w:type="dxa"/>
                    <w:right w:w="57" w:type="dxa"/>
                  </w:tcMar>
                  <w:vAlign w:val="center"/>
                </w:tcPr>
                <w:p w14:paraId="527348C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w:t>
                  </w:r>
                </w:p>
              </w:tc>
              <w:tc>
                <w:tcPr>
                  <w:tcW w:w="369" w:type="pct"/>
                  <w:noWrap w:val="0"/>
                  <w:tcMar>
                    <w:left w:w="57" w:type="dxa"/>
                    <w:right w:w="57" w:type="dxa"/>
                  </w:tcMar>
                  <w:vAlign w:val="center"/>
                </w:tcPr>
                <w:p w14:paraId="604D263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w:t>
                  </w:r>
                </w:p>
              </w:tc>
            </w:tr>
            <w:tr w14:paraId="333E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09" w:type="pct"/>
                  <w:vMerge w:val="continue"/>
                  <w:noWrap w:val="0"/>
                  <w:tcMar>
                    <w:left w:w="57" w:type="dxa"/>
                    <w:right w:w="57" w:type="dxa"/>
                  </w:tcMar>
                  <w:vAlign w:val="center"/>
                </w:tcPr>
                <w:p w14:paraId="49B47BE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宋体" w:eastAsia="宋体" w:cs="Times New Roman"/>
                      <w:kern w:val="2"/>
                      <w:sz w:val="21"/>
                      <w:szCs w:val="21"/>
                      <w:lang w:val="en-US" w:eastAsia="zh-CN" w:bidi="ar-SA"/>
                    </w:rPr>
                  </w:pPr>
                </w:p>
              </w:tc>
              <w:tc>
                <w:tcPr>
                  <w:tcW w:w="850" w:type="pct"/>
                  <w:noWrap w:val="0"/>
                  <w:tcMar>
                    <w:left w:w="57" w:type="dxa"/>
                    <w:right w:w="57" w:type="dxa"/>
                  </w:tcMar>
                  <w:vAlign w:val="center"/>
                </w:tcPr>
                <w:p w14:paraId="6A8A8B4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资源开发效率要求</w:t>
                  </w:r>
                </w:p>
              </w:tc>
              <w:tc>
                <w:tcPr>
                  <w:tcW w:w="2651" w:type="pct"/>
                  <w:noWrap w:val="0"/>
                  <w:tcMar>
                    <w:left w:w="57" w:type="dxa"/>
                    <w:right w:w="57" w:type="dxa"/>
                  </w:tcMar>
                  <w:vAlign w:val="center"/>
                </w:tcPr>
                <w:p w14:paraId="34E851E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w:t>
                  </w:r>
                </w:p>
              </w:tc>
              <w:tc>
                <w:tcPr>
                  <w:tcW w:w="519" w:type="pct"/>
                  <w:noWrap w:val="0"/>
                  <w:tcMar>
                    <w:left w:w="57" w:type="dxa"/>
                    <w:right w:w="57" w:type="dxa"/>
                  </w:tcMar>
                  <w:vAlign w:val="center"/>
                </w:tcPr>
                <w:p w14:paraId="64934AC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w:t>
                  </w:r>
                </w:p>
              </w:tc>
              <w:tc>
                <w:tcPr>
                  <w:tcW w:w="369" w:type="pct"/>
                  <w:noWrap w:val="0"/>
                  <w:tcMar>
                    <w:left w:w="57" w:type="dxa"/>
                    <w:right w:w="57" w:type="dxa"/>
                  </w:tcMar>
                  <w:vAlign w:val="center"/>
                </w:tcPr>
                <w:p w14:paraId="6ECD1BB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w:t>
                  </w:r>
                </w:p>
              </w:tc>
            </w:tr>
          </w:tbl>
          <w:p w14:paraId="1C88CF48">
            <w:pPr>
              <w:widowControl w:val="0"/>
              <w:adjustRightInd w:val="0"/>
              <w:snapToGrid w:val="0"/>
              <w:spacing w:line="360" w:lineRule="auto"/>
              <w:ind w:firstLine="480" w:firstLineChars="200"/>
              <w:jc w:val="left"/>
              <w:outlineLvl w:val="2"/>
              <w:rPr>
                <w:rFonts w:ascii="Times New Roman" w:hAnsi="Times New Roman" w:eastAsia="等线" w:cs="Times New Roman"/>
                <w:b/>
                <w:bCs/>
                <w:kern w:val="2"/>
                <w:sz w:val="24"/>
                <w:szCs w:val="24"/>
                <w:lang w:val="en-US" w:eastAsia="zh-CN" w:bidi="ar-SA"/>
              </w:rPr>
            </w:pPr>
            <w:r>
              <w:rPr>
                <w:rFonts w:hint="eastAsia" w:ascii="Times New Roman" w:hAnsi="Times New Roman" w:eastAsia="等线" w:cs="Times New Roman"/>
                <w:b/>
                <w:bCs/>
                <w:kern w:val="2"/>
                <w:sz w:val="24"/>
                <w:szCs w:val="24"/>
                <w:lang w:val="en-US" w:eastAsia="zh-CN" w:bidi="ar-SA"/>
              </w:rPr>
              <w:t>（4）河南省自然资源环境管控相关要求相符性分析</w:t>
            </w:r>
          </w:p>
          <w:p w14:paraId="3914FFD2">
            <w:pPr>
              <w:widowControl w:val="0"/>
              <w:adjustRightInd w:val="0"/>
              <w:spacing w:line="360" w:lineRule="auto"/>
              <w:ind w:left="23" w:leftChars="11" w:firstLine="480" w:firstLine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经比对，项目涉及1个河南省自然资源管控分区，其中生态用水补给区0个，地下水开采重点管控区0个，高污染燃料禁燃区1个，相符性分析详见下表。</w:t>
            </w:r>
          </w:p>
          <w:p w14:paraId="78867A51">
            <w:pPr>
              <w:pStyle w:val="56"/>
              <w:bidi w:val="0"/>
              <w:ind w:left="1050" w:leftChars="0" w:hanging="420" w:firstLineChars="0"/>
              <w:rPr>
                <w:lang w:val="zh-CN" w:eastAsia="zh-CN"/>
              </w:rPr>
            </w:pPr>
            <w:r>
              <w:rPr>
                <w:rFonts w:hint="eastAsia"/>
                <w:lang w:val="zh-CN" w:eastAsia="zh-CN"/>
              </w:rPr>
              <w:t>与河南省自然资源管控相关要求相符性分析</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053"/>
              <w:gridCol w:w="3487"/>
              <w:gridCol w:w="1924"/>
              <w:gridCol w:w="604"/>
            </w:tblGrid>
            <w:tr w14:paraId="686A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4" w:type="pct"/>
                  <w:noWrap w:val="0"/>
                  <w:tcMar>
                    <w:left w:w="57" w:type="dxa"/>
                    <w:right w:w="57" w:type="dxa"/>
                  </w:tcMar>
                  <w:vAlign w:val="center"/>
                </w:tcPr>
                <w:p w14:paraId="53917FDE">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环境管控单元</w:t>
                  </w:r>
                </w:p>
              </w:tc>
              <w:tc>
                <w:tcPr>
                  <w:tcW w:w="641" w:type="pct"/>
                  <w:noWrap w:val="0"/>
                  <w:tcMar>
                    <w:left w:w="57" w:type="dxa"/>
                    <w:right w:w="57" w:type="dxa"/>
                  </w:tcMar>
                  <w:vAlign w:val="center"/>
                </w:tcPr>
                <w:p w14:paraId="104B586C">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管控维度</w:t>
                  </w:r>
                </w:p>
              </w:tc>
              <w:tc>
                <w:tcPr>
                  <w:tcW w:w="2123" w:type="pct"/>
                  <w:noWrap w:val="0"/>
                  <w:tcMar>
                    <w:left w:w="57" w:type="dxa"/>
                    <w:right w:w="57" w:type="dxa"/>
                  </w:tcMar>
                  <w:vAlign w:val="center"/>
                </w:tcPr>
                <w:p w14:paraId="693F388C">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准入要求</w:t>
                  </w:r>
                </w:p>
              </w:tc>
              <w:tc>
                <w:tcPr>
                  <w:tcW w:w="1171" w:type="pct"/>
                  <w:noWrap w:val="0"/>
                  <w:tcMar>
                    <w:left w:w="57" w:type="dxa"/>
                    <w:right w:w="57" w:type="dxa"/>
                  </w:tcMar>
                  <w:vAlign w:val="center"/>
                </w:tcPr>
                <w:p w14:paraId="0D42A0E6">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项目情况</w:t>
                  </w:r>
                </w:p>
              </w:tc>
              <w:tc>
                <w:tcPr>
                  <w:tcW w:w="367" w:type="pct"/>
                  <w:noWrap w:val="0"/>
                  <w:tcMar>
                    <w:left w:w="57" w:type="dxa"/>
                    <w:right w:w="57" w:type="dxa"/>
                  </w:tcMar>
                  <w:vAlign w:val="center"/>
                </w:tcPr>
                <w:p w14:paraId="256F9172">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符合性</w:t>
                  </w:r>
                </w:p>
              </w:tc>
            </w:tr>
            <w:tr w14:paraId="1E75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4" w:type="pct"/>
                  <w:vMerge w:val="restart"/>
                  <w:noWrap w:val="0"/>
                  <w:tcMar>
                    <w:left w:w="57" w:type="dxa"/>
                    <w:right w:w="57" w:type="dxa"/>
                  </w:tcMar>
                  <w:vAlign w:val="center"/>
                </w:tcPr>
                <w:p w14:paraId="5086998D">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YS41052</w:t>
                  </w:r>
                </w:p>
                <w:p w14:paraId="61B1354C">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3254000</w:t>
                  </w:r>
                </w:p>
                <w:p w14:paraId="2D44371F">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1河南省安阳市汤阴县高污染燃料禁燃区</w:t>
                  </w:r>
                </w:p>
              </w:tc>
              <w:tc>
                <w:tcPr>
                  <w:tcW w:w="641" w:type="pct"/>
                  <w:noWrap w:val="0"/>
                  <w:tcMar>
                    <w:left w:w="57" w:type="dxa"/>
                    <w:right w:w="57" w:type="dxa"/>
                  </w:tcMar>
                  <w:vAlign w:val="center"/>
                </w:tcPr>
                <w:p w14:paraId="5229CD3B">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空间布</w:t>
                  </w:r>
                </w:p>
                <w:p w14:paraId="188729DF">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局约束</w:t>
                  </w:r>
                </w:p>
              </w:tc>
              <w:tc>
                <w:tcPr>
                  <w:tcW w:w="2123" w:type="pct"/>
                  <w:noWrap w:val="0"/>
                  <w:tcMar>
                    <w:left w:w="57" w:type="dxa"/>
                    <w:right w:w="57" w:type="dxa"/>
                  </w:tcMar>
                  <w:vAlign w:val="center"/>
                </w:tcPr>
                <w:p w14:paraId="26BD294E">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高污染燃料禁燃区覆盖全市行政区域</w:t>
                  </w:r>
                </w:p>
              </w:tc>
              <w:tc>
                <w:tcPr>
                  <w:tcW w:w="1171" w:type="pct"/>
                  <w:noWrap w:val="0"/>
                  <w:tcMar>
                    <w:left w:w="57" w:type="dxa"/>
                    <w:right w:w="57" w:type="dxa"/>
                  </w:tcMar>
                  <w:vAlign w:val="center"/>
                </w:tcPr>
                <w:p w14:paraId="53311C89">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项目</w:t>
                  </w:r>
                  <w:r>
                    <w:rPr>
                      <w:rFonts w:ascii="Times New Roman" w:hAnsi="宋体" w:eastAsia="宋体" w:cs="Times New Roman"/>
                      <w:kern w:val="2"/>
                      <w:sz w:val="21"/>
                      <w:szCs w:val="21"/>
                      <w:lang w:val="en-US" w:eastAsia="zh-CN" w:bidi="ar-SA"/>
                    </w:rPr>
                    <w:t>使用电</w:t>
                  </w:r>
                  <w:r>
                    <w:rPr>
                      <w:rFonts w:hint="eastAsia" w:ascii="Times New Roman" w:hAnsi="宋体" w:eastAsia="宋体" w:cs="Times New Roman"/>
                      <w:kern w:val="2"/>
                      <w:sz w:val="21"/>
                      <w:szCs w:val="21"/>
                      <w:lang w:val="en-US" w:eastAsia="zh-CN" w:bidi="ar-SA"/>
                    </w:rPr>
                    <w:t>和天然气</w:t>
                  </w:r>
                  <w:r>
                    <w:rPr>
                      <w:rFonts w:ascii="Times New Roman" w:hAnsi="宋体" w:eastAsia="宋体" w:cs="Times New Roman"/>
                      <w:kern w:val="2"/>
                      <w:sz w:val="21"/>
                      <w:szCs w:val="21"/>
                      <w:lang w:val="en-US" w:eastAsia="zh-CN" w:bidi="ar-SA"/>
                    </w:rPr>
                    <w:t>为能源，</w:t>
                  </w:r>
                  <w:r>
                    <w:rPr>
                      <w:rFonts w:hint="eastAsia" w:ascii="Times New Roman" w:hAnsi="宋体" w:eastAsia="宋体" w:cs="Times New Roman"/>
                      <w:kern w:val="2"/>
                      <w:sz w:val="21"/>
                      <w:szCs w:val="21"/>
                      <w:lang w:val="en-US" w:eastAsia="zh-CN" w:bidi="ar-SA"/>
                    </w:rPr>
                    <w:t>不使用</w:t>
                  </w:r>
                  <w:r>
                    <w:rPr>
                      <w:rFonts w:ascii="Times New Roman" w:hAnsi="宋体" w:eastAsia="宋体" w:cs="Times New Roman"/>
                      <w:kern w:val="2"/>
                      <w:sz w:val="21"/>
                      <w:szCs w:val="21"/>
                      <w:lang w:val="en-US" w:eastAsia="zh-CN" w:bidi="ar-SA"/>
                    </w:rPr>
                    <w:t>高污染燃料</w:t>
                  </w:r>
                </w:p>
              </w:tc>
              <w:tc>
                <w:tcPr>
                  <w:tcW w:w="367" w:type="pct"/>
                  <w:noWrap w:val="0"/>
                  <w:tcMar>
                    <w:left w:w="57" w:type="dxa"/>
                    <w:right w:w="57" w:type="dxa"/>
                  </w:tcMar>
                  <w:vAlign w:val="center"/>
                </w:tcPr>
                <w:p w14:paraId="51014195">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符合</w:t>
                  </w:r>
                </w:p>
              </w:tc>
            </w:tr>
            <w:tr w14:paraId="07CD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4" w:type="pct"/>
                  <w:vMerge w:val="continue"/>
                  <w:noWrap w:val="0"/>
                  <w:tcMar>
                    <w:left w:w="57" w:type="dxa"/>
                    <w:right w:w="57" w:type="dxa"/>
                  </w:tcMar>
                  <w:vAlign w:val="center"/>
                </w:tcPr>
                <w:p w14:paraId="3C1D19F9">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p>
              </w:tc>
              <w:tc>
                <w:tcPr>
                  <w:tcW w:w="641" w:type="pct"/>
                  <w:noWrap w:val="0"/>
                  <w:tcMar>
                    <w:left w:w="57" w:type="dxa"/>
                    <w:right w:w="57" w:type="dxa"/>
                  </w:tcMar>
                  <w:vAlign w:val="center"/>
                </w:tcPr>
                <w:p w14:paraId="29F28155">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污染物排放管控</w:t>
                  </w:r>
                </w:p>
              </w:tc>
              <w:tc>
                <w:tcPr>
                  <w:tcW w:w="2123" w:type="pct"/>
                  <w:noWrap w:val="0"/>
                  <w:tcMar>
                    <w:left w:w="57" w:type="dxa"/>
                    <w:right w:w="57" w:type="dxa"/>
                  </w:tcMar>
                  <w:vAlign w:val="center"/>
                </w:tcPr>
                <w:p w14:paraId="181405A5">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w:t>
                  </w:r>
                </w:p>
              </w:tc>
              <w:tc>
                <w:tcPr>
                  <w:tcW w:w="1171" w:type="pct"/>
                  <w:noWrap w:val="0"/>
                  <w:tcMar>
                    <w:left w:w="57" w:type="dxa"/>
                    <w:right w:w="57" w:type="dxa"/>
                  </w:tcMar>
                  <w:vAlign w:val="center"/>
                </w:tcPr>
                <w:p w14:paraId="45390B22">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w:t>
                  </w:r>
                </w:p>
              </w:tc>
              <w:tc>
                <w:tcPr>
                  <w:tcW w:w="367" w:type="pct"/>
                  <w:noWrap w:val="0"/>
                  <w:tcMar>
                    <w:left w:w="57" w:type="dxa"/>
                    <w:right w:w="57" w:type="dxa"/>
                  </w:tcMar>
                  <w:vAlign w:val="center"/>
                </w:tcPr>
                <w:p w14:paraId="28FD0AFA">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w:t>
                  </w:r>
                </w:p>
              </w:tc>
            </w:tr>
            <w:tr w14:paraId="59B9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4" w:type="pct"/>
                  <w:vMerge w:val="continue"/>
                  <w:noWrap w:val="0"/>
                  <w:tcMar>
                    <w:left w:w="57" w:type="dxa"/>
                    <w:right w:w="57" w:type="dxa"/>
                  </w:tcMar>
                  <w:vAlign w:val="center"/>
                </w:tcPr>
                <w:p w14:paraId="61F80FEF">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p>
              </w:tc>
              <w:tc>
                <w:tcPr>
                  <w:tcW w:w="641" w:type="pct"/>
                  <w:noWrap w:val="0"/>
                  <w:tcMar>
                    <w:left w:w="57" w:type="dxa"/>
                    <w:right w:w="57" w:type="dxa"/>
                  </w:tcMar>
                  <w:vAlign w:val="center"/>
                </w:tcPr>
                <w:p w14:paraId="40A2EF2D">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环境风险防控</w:t>
                  </w:r>
                </w:p>
              </w:tc>
              <w:tc>
                <w:tcPr>
                  <w:tcW w:w="2123" w:type="pct"/>
                  <w:noWrap w:val="0"/>
                  <w:tcMar>
                    <w:left w:w="57" w:type="dxa"/>
                    <w:right w:w="57" w:type="dxa"/>
                  </w:tcMar>
                  <w:vAlign w:val="center"/>
                </w:tcPr>
                <w:p w14:paraId="398B3FB1">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w:t>
                  </w:r>
                </w:p>
              </w:tc>
              <w:tc>
                <w:tcPr>
                  <w:tcW w:w="1171" w:type="pct"/>
                  <w:noWrap w:val="0"/>
                  <w:tcMar>
                    <w:left w:w="57" w:type="dxa"/>
                    <w:right w:w="57" w:type="dxa"/>
                  </w:tcMar>
                  <w:vAlign w:val="center"/>
                </w:tcPr>
                <w:p w14:paraId="27C1FDAC">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w:t>
                  </w:r>
                </w:p>
              </w:tc>
              <w:tc>
                <w:tcPr>
                  <w:tcW w:w="367" w:type="pct"/>
                  <w:noWrap w:val="0"/>
                  <w:tcMar>
                    <w:left w:w="57" w:type="dxa"/>
                    <w:right w:w="57" w:type="dxa"/>
                  </w:tcMar>
                  <w:vAlign w:val="center"/>
                </w:tcPr>
                <w:p w14:paraId="50B64713">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w:t>
                  </w:r>
                </w:p>
              </w:tc>
            </w:tr>
            <w:tr w14:paraId="5155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4" w:type="pct"/>
                  <w:vMerge w:val="continue"/>
                  <w:noWrap w:val="0"/>
                  <w:tcMar>
                    <w:left w:w="57" w:type="dxa"/>
                    <w:right w:w="57" w:type="dxa"/>
                  </w:tcMar>
                  <w:vAlign w:val="center"/>
                </w:tcPr>
                <w:p w14:paraId="3E7169BB">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p>
              </w:tc>
              <w:tc>
                <w:tcPr>
                  <w:tcW w:w="641" w:type="pct"/>
                  <w:noWrap w:val="0"/>
                  <w:tcMar>
                    <w:left w:w="57" w:type="dxa"/>
                    <w:right w:w="57" w:type="dxa"/>
                  </w:tcMar>
                  <w:vAlign w:val="center"/>
                </w:tcPr>
                <w:p w14:paraId="12E1AB55">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资源开发效率要求</w:t>
                  </w:r>
                </w:p>
              </w:tc>
              <w:tc>
                <w:tcPr>
                  <w:tcW w:w="2123" w:type="pct"/>
                  <w:noWrap w:val="0"/>
                  <w:tcMar>
                    <w:left w:w="57" w:type="dxa"/>
                    <w:right w:w="57" w:type="dxa"/>
                  </w:tcMar>
                  <w:vAlign w:val="center"/>
                </w:tcPr>
                <w:p w14:paraId="0D9D17D4">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禁燃区内，禁止销售和燃用国家规定的高污染燃料；禁止新建、扩建燃用高污染燃料的设施，已建成的，应当在市、县（市）人民政府规定的期限内改用天然气、液化石油气、电等清洁能源。在高污染燃料禁燃区内，禁止新建燃烧煤炭、重油、渣油以及直接燃用生物质的锅炉，其他地区禁止新建每小时三十五蒸吨以下的燃烧煤炭、重油、渣油以及直接燃用生物质的锅炉</w:t>
                  </w:r>
                </w:p>
              </w:tc>
              <w:tc>
                <w:tcPr>
                  <w:tcW w:w="1171" w:type="pct"/>
                  <w:noWrap w:val="0"/>
                  <w:tcMar>
                    <w:left w:w="57" w:type="dxa"/>
                    <w:right w:w="57" w:type="dxa"/>
                  </w:tcMar>
                  <w:vAlign w:val="center"/>
                </w:tcPr>
                <w:p w14:paraId="718A6AFE">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hint="eastAsia" w:ascii="Times New Roman" w:hAnsi="宋体" w:eastAsia="宋体" w:cs="Times New Roman"/>
                      <w:kern w:val="2"/>
                      <w:sz w:val="21"/>
                      <w:szCs w:val="21"/>
                      <w:lang w:val="en-US" w:eastAsia="zh-CN" w:bidi="ar-SA"/>
                    </w:rPr>
                    <w:t>项目</w:t>
                  </w:r>
                  <w:r>
                    <w:rPr>
                      <w:rFonts w:ascii="Times New Roman" w:hAnsi="宋体" w:eastAsia="宋体" w:cs="Times New Roman"/>
                      <w:kern w:val="2"/>
                      <w:sz w:val="21"/>
                      <w:szCs w:val="21"/>
                      <w:lang w:val="en-US" w:eastAsia="zh-CN" w:bidi="ar-SA"/>
                    </w:rPr>
                    <w:t>使用</w:t>
                  </w:r>
                  <w:r>
                    <w:rPr>
                      <w:rFonts w:hint="eastAsia" w:ascii="Times New Roman" w:hAnsi="宋体" w:eastAsia="宋体" w:cs="Times New Roman"/>
                      <w:kern w:val="2"/>
                      <w:sz w:val="21"/>
                      <w:szCs w:val="21"/>
                      <w:lang w:val="en-US" w:eastAsia="zh-CN" w:bidi="ar-SA"/>
                    </w:rPr>
                    <w:t>电和天然气</w:t>
                  </w:r>
                  <w:r>
                    <w:rPr>
                      <w:rFonts w:ascii="Times New Roman" w:hAnsi="宋体" w:eastAsia="宋体" w:cs="Times New Roman"/>
                      <w:kern w:val="2"/>
                      <w:sz w:val="21"/>
                      <w:szCs w:val="21"/>
                      <w:lang w:val="en-US" w:eastAsia="zh-CN" w:bidi="ar-SA"/>
                    </w:rPr>
                    <w:t>为能源，</w:t>
                  </w:r>
                  <w:r>
                    <w:rPr>
                      <w:rFonts w:hint="eastAsia" w:ascii="Times New Roman" w:hAnsi="宋体" w:eastAsia="宋体" w:cs="Times New Roman"/>
                      <w:kern w:val="2"/>
                      <w:sz w:val="21"/>
                      <w:szCs w:val="21"/>
                      <w:lang w:val="en-US" w:eastAsia="zh-CN" w:bidi="ar-SA"/>
                    </w:rPr>
                    <w:t>不使用</w:t>
                  </w:r>
                  <w:r>
                    <w:rPr>
                      <w:rFonts w:ascii="Times New Roman" w:hAnsi="宋体" w:eastAsia="宋体" w:cs="Times New Roman"/>
                      <w:kern w:val="2"/>
                      <w:sz w:val="21"/>
                      <w:szCs w:val="21"/>
                      <w:lang w:val="en-US" w:eastAsia="zh-CN" w:bidi="ar-SA"/>
                    </w:rPr>
                    <w:t>高污染燃料</w:t>
                  </w:r>
                </w:p>
              </w:tc>
              <w:tc>
                <w:tcPr>
                  <w:tcW w:w="367" w:type="pct"/>
                  <w:noWrap w:val="0"/>
                  <w:tcMar>
                    <w:left w:w="57" w:type="dxa"/>
                    <w:right w:w="57" w:type="dxa"/>
                  </w:tcMar>
                  <w:vAlign w:val="center"/>
                </w:tcPr>
                <w:p w14:paraId="266DD852">
                  <w:pPr>
                    <w:widowControl w:val="0"/>
                    <w:autoSpaceDE w:val="0"/>
                    <w:autoSpaceDN w:val="0"/>
                    <w:adjustRightInd w:val="0"/>
                    <w:snapToGrid w:val="0"/>
                    <w:jc w:val="center"/>
                    <w:rPr>
                      <w:rFonts w:ascii="Times New Roman" w:hAnsi="宋体" w:eastAsia="宋体" w:cs="Times New Roman"/>
                      <w:kern w:val="2"/>
                      <w:sz w:val="21"/>
                      <w:szCs w:val="21"/>
                      <w:lang w:val="en-US" w:eastAsia="zh-CN" w:bidi="ar-SA"/>
                    </w:rPr>
                  </w:pPr>
                  <w:r>
                    <w:rPr>
                      <w:rFonts w:ascii="Times New Roman" w:hAnsi="宋体" w:eastAsia="宋体" w:cs="Times New Roman"/>
                      <w:kern w:val="2"/>
                      <w:sz w:val="21"/>
                      <w:szCs w:val="21"/>
                      <w:lang w:val="en-US" w:eastAsia="zh-CN" w:bidi="ar-SA"/>
                    </w:rPr>
                    <w:t>符合</w:t>
                  </w:r>
                </w:p>
              </w:tc>
            </w:tr>
          </w:tbl>
          <w:p w14:paraId="355369D3">
            <w:pPr>
              <w:pStyle w:val="100"/>
            </w:pPr>
            <w:r>
              <w:rPr>
                <w:rFonts w:hint="eastAsia" w:ascii="Times New Roman" w:hAnsi="Times New Roman" w:eastAsia="宋体" w:cs="Times New Roman"/>
                <w:b/>
                <w:kern w:val="2"/>
                <w:sz w:val="24"/>
                <w:szCs w:val="24"/>
                <w:lang w:val="en-US" w:eastAsia="zh-CN" w:bidi="ar-SA"/>
              </w:rPr>
              <w:t>综上所述，本项目建设满足“河南省生态环境分区管控”</w:t>
            </w:r>
            <w:r>
              <w:rPr>
                <w:rFonts w:ascii="Times New Roman" w:hAnsi="Times New Roman" w:eastAsia="宋体" w:cs="Times New Roman"/>
                <w:b/>
                <w:kern w:val="2"/>
                <w:sz w:val="24"/>
                <w:szCs w:val="24"/>
                <w:lang w:val="en-US" w:eastAsia="zh-CN" w:bidi="ar-SA"/>
              </w:rPr>
              <w:t>的</w:t>
            </w:r>
            <w:r>
              <w:rPr>
                <w:rFonts w:hint="eastAsia" w:ascii="Times New Roman" w:hAnsi="Times New Roman" w:eastAsia="宋体" w:cs="Times New Roman"/>
                <w:b/>
                <w:kern w:val="2"/>
                <w:sz w:val="24"/>
                <w:szCs w:val="24"/>
                <w:lang w:val="en-US" w:eastAsia="zh-CN" w:bidi="ar-SA"/>
              </w:rPr>
              <w:t>相关要求。</w:t>
            </w:r>
          </w:p>
          <w:p w14:paraId="0C0B1711">
            <w:pPr>
              <w:pStyle w:val="259"/>
              <w:spacing w:before="120" w:after="120"/>
            </w:pPr>
            <w:bookmarkStart w:id="5" w:name="_Toc197848420"/>
            <w:r>
              <w:t>3、</w:t>
            </w:r>
            <w:r>
              <w:rPr>
                <w:rFonts w:hint="eastAsia"/>
              </w:rPr>
              <w:t>项目选址合理性</w:t>
            </w:r>
            <w:r>
              <w:t>分析</w:t>
            </w:r>
            <w:bookmarkEnd w:id="5"/>
          </w:p>
          <w:p w14:paraId="75A446ED">
            <w:pPr>
              <w:pStyle w:val="144"/>
            </w:pPr>
            <w:r>
              <w:rPr>
                <w:rFonts w:hint="eastAsia"/>
                <w:lang w:val="en-US" w:eastAsia="zh-CN"/>
              </w:rPr>
              <w:t>根据企业提供的厂房租赁合同，甲方安阳博然防火制品有限公司将位于汤阴县古贤镇古贤村腾飞路东侧厂房出租给乙方安阳市岳家酱食品有限公司使用，</w:t>
            </w:r>
            <w:r>
              <w:rPr>
                <w:rFonts w:hint="eastAsia" w:cs="宋体"/>
                <w:lang w:bidi="ar"/>
              </w:rPr>
              <w:t>根据</w:t>
            </w:r>
            <w:r>
              <w:rPr>
                <w:rFonts w:hint="eastAsia" w:cs="宋体"/>
                <w:lang w:val="en-US" w:eastAsia="zh-CN" w:bidi="ar"/>
              </w:rPr>
              <w:t>企业提供的</w:t>
            </w:r>
            <w:r>
              <w:rPr>
                <w:rFonts w:hint="eastAsia"/>
                <w:kern w:val="0"/>
                <w:sz w:val="24"/>
              </w:rPr>
              <w:t>不动产权证明</w:t>
            </w:r>
            <w:r>
              <w:rPr>
                <w:rFonts w:hint="eastAsia" w:cs="宋体"/>
                <w:lang w:bidi="ar"/>
              </w:rPr>
              <w:t>，</w:t>
            </w:r>
            <w:r>
              <w:rPr>
                <w:rFonts w:hint="eastAsia" w:cs="宋体"/>
                <w:lang w:val="en-US" w:eastAsia="zh-CN" w:bidi="ar"/>
              </w:rPr>
              <w:t>安阳博然防火制品有限公司拥有坐落于汤阴县古贤镇材料园区腾飞路东侧的房屋所有权，土地性质为工业用地。</w:t>
            </w:r>
            <w:r>
              <w:rPr>
                <w:rFonts w:hint="eastAsia"/>
              </w:rPr>
              <w:t>根据调查，距离项目最近的环境保护目标为</w:t>
            </w:r>
            <w:r>
              <w:rPr>
                <w:rFonts w:hint="eastAsia"/>
                <w:lang w:val="en-US" w:eastAsia="zh-CN"/>
              </w:rPr>
              <w:t>项目东</w:t>
            </w:r>
            <w:r>
              <w:rPr>
                <w:rFonts w:hint="eastAsia"/>
              </w:rPr>
              <w:t>侧</w:t>
            </w:r>
            <w:r>
              <w:rPr>
                <w:rFonts w:hint="eastAsia"/>
                <w:lang w:val="en-US" w:eastAsia="zh-CN"/>
              </w:rPr>
              <w:t>376</w:t>
            </w:r>
            <w:r>
              <w:rPr>
                <w:rFonts w:hint="eastAsia"/>
              </w:rPr>
              <w:t>米处的</w:t>
            </w:r>
            <w:r>
              <w:rPr>
                <w:rFonts w:hint="eastAsia"/>
                <w:lang w:val="en-US" w:eastAsia="zh-CN"/>
              </w:rPr>
              <w:t>古贤</w:t>
            </w:r>
            <w:r>
              <w:rPr>
                <w:rFonts w:hint="eastAsia"/>
              </w:rPr>
              <w:t>村，厂址周围500m范围内无自然保护区、水源地、风景名胜区、生态环境敏感区等敏感目标。项目地理位置见附图1，周围环境概况及环境保护目标分布见附图2。</w:t>
            </w:r>
          </w:p>
          <w:p w14:paraId="6C28EDC8">
            <w:pPr>
              <w:tabs>
                <w:tab w:val="left" w:pos="478"/>
              </w:tabs>
              <w:autoSpaceDE w:val="0"/>
              <w:autoSpaceDN w:val="0"/>
              <w:adjustRightInd w:val="0"/>
              <w:snapToGrid w:val="0"/>
              <w:spacing w:line="360" w:lineRule="auto"/>
              <w:ind w:right="23" w:firstLine="480" w:firstLineChars="200"/>
              <w:rPr>
                <w:sz w:val="24"/>
              </w:rPr>
            </w:pPr>
            <w:r>
              <w:rPr>
                <w:rFonts w:hint="eastAsia"/>
                <w:b w:val="0"/>
                <w:bCs w:val="0"/>
                <w:sz w:val="24"/>
                <w:u w:val="none"/>
                <w:lang w:val="en-US" w:eastAsia="zh-CN"/>
              </w:rPr>
              <w:t>根据古贤镇人民政府出具的证明，本项目符合古贤镇整体规划，允许入驻。</w:t>
            </w:r>
            <w:r>
              <w:rPr>
                <w:rFonts w:hint="eastAsia"/>
                <w:sz w:val="24"/>
              </w:rPr>
              <w:t>项目运营期间产生废气、废水、噪声和固体废物等方面环境影响，在采用相应的污染防治措施后，均可达标排放或合理处置，对周围环境影响较小。</w:t>
            </w:r>
          </w:p>
          <w:p w14:paraId="5C4F9945">
            <w:pPr>
              <w:pStyle w:val="259"/>
              <w:spacing w:before="120" w:after="120"/>
            </w:pPr>
            <w:bookmarkStart w:id="6" w:name="_Toc197848421"/>
            <w:r>
              <w:t>4、与集中式饮用水源保护地关系</w:t>
            </w:r>
            <w:bookmarkEnd w:id="6"/>
          </w:p>
          <w:p w14:paraId="2048689D">
            <w:pPr>
              <w:keepNext w:val="0"/>
              <w:keepLines w:val="0"/>
              <w:suppressLineNumbers w:val="0"/>
              <w:autoSpaceDE w:val="0"/>
              <w:autoSpaceDN w:val="0"/>
              <w:adjustRightInd w:val="0"/>
              <w:spacing w:before="0" w:beforeAutospacing="0" w:after="0" w:afterAutospacing="0" w:line="360" w:lineRule="auto"/>
              <w:ind w:left="0" w:right="0" w:firstLine="210" w:firstLineChars="100"/>
              <w:rPr>
                <w:rFonts w:hint="default" w:ascii="Times New Roman" w:hAnsi="Times New Roman" w:eastAsia="Times New Roman" w:cs="Times New Roman"/>
                <w:b/>
                <w:color w:val="000000" w:themeColor="text1"/>
                <w:sz w:val="24"/>
                <w:szCs w:val="24"/>
                <w:highlight w:val="none"/>
                <w14:textFill>
                  <w14:solidFill>
                    <w14:schemeClr w14:val="tx1"/>
                  </w14:solidFill>
                </w14:textFill>
              </w:rPr>
            </w:pPr>
            <w:r>
              <w:t>4.1</w:t>
            </w:r>
            <w:r>
              <w:rPr>
                <w:rFonts w:hint="default" w:ascii="Times New Roman" w:hAnsi="Times New Roman" w:eastAsia="Times New Roman" w:cs="Times New Roman"/>
                <w:b/>
                <w:color w:val="000000" w:themeColor="text1"/>
                <w:sz w:val="24"/>
                <w:szCs w:val="24"/>
                <w:highlight w:val="none"/>
                <w14:textFill>
                  <w14:solidFill>
                    <w14:schemeClr w14:val="tx1"/>
                  </w14:solidFill>
                </w14:textFill>
              </w:rPr>
              <w:t>乡镇集中式饮用水水源</w:t>
            </w:r>
          </w:p>
          <w:p w14:paraId="6C3328A8">
            <w:pPr>
              <w:keepNext w:val="0"/>
              <w:keepLines w:val="0"/>
              <w:suppressLineNumbers w:val="0"/>
              <w:tabs>
                <w:tab w:val="left" w:pos="2520"/>
              </w:tabs>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000000" w:themeColor="text1"/>
                <w:sz w:val="24"/>
                <w:szCs w:val="24"/>
                <w:highlight w:val="none"/>
                <w14:textFill>
                  <w14:solidFill>
                    <w14:schemeClr w14:val="tx1"/>
                  </w14:solidFill>
                </w14:textFill>
              </w:rPr>
            </w:pPr>
            <w:r>
              <w:rPr>
                <w:rFonts w:hint="default" w:ascii="Times New Roman" w:hAnsi="Times New Roman" w:eastAsia="Times New Roman" w:cs="Times New Roman"/>
                <w:color w:val="000000" w:themeColor="text1"/>
                <w:sz w:val="24"/>
                <w:szCs w:val="24"/>
                <w:highlight w:val="none"/>
                <w14:textFill>
                  <w14:solidFill>
                    <w14:schemeClr w14:val="tx1"/>
                  </w14:solidFill>
                </w14:textFill>
              </w:rPr>
              <w:t>根据《河南省人民政府办公厅关于印发河南省乡镇集中式饮用水水源保护区划的通知》（豫政办</w:t>
            </w:r>
            <w:r>
              <w:rPr>
                <w:rFonts w:hint="eastAsia"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Times New Roman" w:cs="Times New Roman"/>
                <w:color w:val="000000" w:themeColor="text1"/>
                <w:sz w:val="24"/>
                <w:szCs w:val="24"/>
                <w:highlight w:val="none"/>
                <w14:textFill>
                  <w14:solidFill>
                    <w14:schemeClr w14:val="tx1"/>
                  </w14:solidFill>
                </w14:textFill>
              </w:rPr>
              <w:t>2016</w:t>
            </w:r>
            <w:r>
              <w:rPr>
                <w:rFonts w:hint="eastAsia"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Times New Roman" w:cs="Times New Roman"/>
                <w:color w:val="000000" w:themeColor="text1"/>
                <w:sz w:val="24"/>
                <w:szCs w:val="24"/>
                <w:highlight w:val="none"/>
                <w14:textFill>
                  <w14:solidFill>
                    <w14:schemeClr w14:val="tx1"/>
                  </w14:solidFill>
                </w14:textFill>
              </w:rPr>
              <w:t>23号），汤阴县乡镇级集中式饮用水水源保护区如下：</w:t>
            </w:r>
          </w:p>
          <w:p w14:paraId="68CB3F83">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000000" w:themeColor="text1"/>
                <w:sz w:val="24"/>
                <w:szCs w:val="24"/>
                <w:highlight w:val="none"/>
                <w14:textFill>
                  <w14:solidFill>
                    <w14:schemeClr w14:val="tx1"/>
                  </w14:solidFill>
                </w14:textFill>
              </w:rPr>
            </w:pPr>
            <w:r>
              <w:rPr>
                <w:rFonts w:hint="default" w:ascii="Times New Roman" w:hAnsi="Times New Roman" w:eastAsia="Times New Roman" w:cs="Times New Roman"/>
                <w:color w:val="000000" w:themeColor="text1"/>
                <w:sz w:val="24"/>
                <w:szCs w:val="24"/>
                <w:highlight w:val="none"/>
                <w14:textFill>
                  <w14:solidFill>
                    <w14:schemeClr w14:val="tx1"/>
                  </w14:solidFill>
                </w14:textFill>
              </w:rPr>
              <w:t>①汤阴县</w:t>
            </w:r>
            <w:r>
              <w:rPr>
                <w:rFonts w:hint="eastAsia" w:eastAsia="宋体" w:cs="Times New Roman"/>
                <w:color w:val="000000" w:themeColor="text1"/>
                <w:sz w:val="24"/>
                <w:szCs w:val="24"/>
                <w:highlight w:val="none"/>
                <w:lang w:eastAsia="zh-CN"/>
                <w14:textFill>
                  <w14:solidFill>
                    <w14:schemeClr w14:val="tx1"/>
                  </w14:solidFill>
                </w14:textFill>
              </w:rPr>
              <w:t>古贤镇</w:t>
            </w:r>
            <w:r>
              <w:rPr>
                <w:rFonts w:hint="default" w:ascii="Times New Roman" w:hAnsi="Times New Roman" w:eastAsia="Times New Roman" w:cs="Times New Roman"/>
                <w:color w:val="000000" w:themeColor="text1"/>
                <w:sz w:val="24"/>
                <w:szCs w:val="24"/>
                <w:highlight w:val="none"/>
                <w14:textFill>
                  <w14:solidFill>
                    <w14:schemeClr w14:val="tx1"/>
                  </w14:solidFill>
                </w14:textFill>
              </w:rPr>
              <w:t>地下水井（共1眼井）</w:t>
            </w:r>
          </w:p>
          <w:p w14:paraId="72F575D2">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000000" w:themeColor="text1"/>
                <w:sz w:val="24"/>
                <w:szCs w:val="24"/>
                <w:highlight w:val="none"/>
                <w14:textFill>
                  <w14:solidFill>
                    <w14:schemeClr w14:val="tx1"/>
                  </w14:solidFill>
                </w14:textFill>
              </w:rPr>
            </w:pPr>
            <w:r>
              <w:rPr>
                <w:rFonts w:hint="default" w:ascii="Times New Roman" w:hAnsi="Times New Roman" w:eastAsia="Times New Roman" w:cs="Times New Roman"/>
                <w:color w:val="000000" w:themeColor="text1"/>
                <w:sz w:val="24"/>
                <w:szCs w:val="24"/>
                <w:highlight w:val="none"/>
                <w14:textFill>
                  <w14:solidFill>
                    <w14:schemeClr w14:val="tx1"/>
                  </w14:solidFill>
                </w14:textFill>
              </w:rPr>
              <w:t>一级保护区范围：水管站内及外围东12米、北60米、西49米、南29米的区域。</w:t>
            </w:r>
          </w:p>
          <w:p w14:paraId="3F64C82B">
            <w:pPr>
              <w:keepNext w:val="0"/>
              <w:keepLines w:val="0"/>
              <w:suppressLineNumbers w:val="0"/>
              <w:tabs>
                <w:tab w:val="left" w:pos="720"/>
              </w:tabs>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000000" w:themeColor="text1"/>
                <w:sz w:val="24"/>
                <w:szCs w:val="24"/>
                <w:highlight w:val="none"/>
                <w14:textFill>
                  <w14:solidFill>
                    <w14:schemeClr w14:val="tx1"/>
                  </w14:solidFill>
                </w14:textFill>
              </w:rPr>
            </w:pPr>
            <w:r>
              <w:rPr>
                <w:rFonts w:hint="default" w:ascii="Times New Roman" w:hAnsi="Times New Roman" w:eastAsia="Times New Roman" w:cs="Times New Roman"/>
                <w:color w:val="000000" w:themeColor="text1"/>
                <w:sz w:val="24"/>
                <w:szCs w:val="24"/>
                <w:highlight w:val="none"/>
                <w14:textFill>
                  <w14:solidFill>
                    <w14:schemeClr w14:val="tx1"/>
                  </w14:solidFill>
                </w14:textFill>
              </w:rPr>
              <w:t>距离项目最近的乡镇集中式饮用水水源</w:t>
            </w:r>
            <w:r>
              <w:rPr>
                <w:rFonts w:hint="default" w:ascii="Times New Roman" w:hAnsi="Times New Roman" w:eastAsia="Times New Roman" w:cs="Times New Roman"/>
                <w:color w:val="000000" w:themeColor="text1"/>
                <w:sz w:val="24"/>
                <w:szCs w:val="24"/>
                <w:highlight w:val="none"/>
                <w:lang w:eastAsia="zh-CN"/>
                <w14:textFill>
                  <w14:solidFill>
                    <w14:schemeClr w14:val="tx1"/>
                  </w14:solidFill>
                </w14:textFill>
              </w:rPr>
              <w:t>为</w:t>
            </w:r>
            <w:r>
              <w:rPr>
                <w:rFonts w:hint="eastAsia" w:ascii="Times New Roman" w:hAnsi="Times New Roman" w:eastAsia="Times New Roman" w:cs="Times New Roman"/>
                <w:color w:val="000000" w:themeColor="text1"/>
                <w:sz w:val="24"/>
                <w:szCs w:val="24"/>
                <w:highlight w:val="none"/>
                <w:lang w:eastAsia="zh-CN"/>
                <w14:textFill>
                  <w14:solidFill>
                    <w14:schemeClr w14:val="tx1"/>
                  </w14:solidFill>
                </w14:textFill>
              </w:rPr>
              <w:t>东侧</w:t>
            </w:r>
            <w:r>
              <w:rPr>
                <w:rFonts w:hint="default" w:ascii="Times New Roman" w:hAnsi="Times New Roman" w:eastAsia="Times New Roman" w:cs="Times New Roman"/>
                <w:color w:val="000000" w:themeColor="text1"/>
                <w:sz w:val="24"/>
                <w:szCs w:val="24"/>
                <w:highlight w:val="none"/>
                <w:lang w:eastAsia="zh-CN"/>
                <w14:textFill>
                  <w14:solidFill>
                    <w14:schemeClr w14:val="tx1"/>
                  </w14:solidFill>
                </w14:textFill>
              </w:rPr>
              <w:t>的</w:t>
            </w:r>
            <w:r>
              <w:rPr>
                <w:rFonts w:hint="eastAsia" w:eastAsia="Times New Roman" w:cs="Times New Roman"/>
                <w:color w:val="000000" w:themeColor="text1"/>
                <w:sz w:val="24"/>
                <w:szCs w:val="24"/>
                <w:highlight w:val="none"/>
                <w:lang w:eastAsia="zh-CN"/>
                <w14:textFill>
                  <w14:solidFill>
                    <w14:schemeClr w14:val="tx1"/>
                  </w14:solidFill>
                </w14:textFill>
              </w:rPr>
              <w:t>古贤镇</w:t>
            </w:r>
            <w:r>
              <w:rPr>
                <w:rFonts w:hint="default" w:ascii="Times New Roman" w:hAnsi="Times New Roman" w:eastAsia="Times New Roman" w:cs="Times New Roman"/>
                <w:color w:val="000000" w:themeColor="text1"/>
                <w:sz w:val="24"/>
                <w:szCs w:val="24"/>
                <w:highlight w:val="none"/>
                <w:lang w:eastAsia="zh-CN"/>
                <w14:textFill>
                  <w14:solidFill>
                    <w14:schemeClr w14:val="tx1"/>
                  </w14:solidFill>
                </w14:textFill>
              </w:rPr>
              <w:t>饮用水水源，距离</w:t>
            </w:r>
            <w:r>
              <w:rPr>
                <w:rFonts w:hint="default" w:ascii="Times New Roman" w:hAnsi="Times New Roman" w:eastAsia="Times New Roman" w:cs="Times New Roman"/>
                <w:bCs/>
                <w:color w:val="000000" w:themeColor="text1"/>
                <w:sz w:val="24"/>
                <w:szCs w:val="24"/>
                <w:highlight w:val="none"/>
                <w14:textFill>
                  <w14:solidFill>
                    <w14:schemeClr w14:val="tx1"/>
                  </w14:solidFill>
                </w14:textFill>
              </w:rPr>
              <w:t>约</w:t>
            </w:r>
            <w:r>
              <w:rPr>
                <w:rFonts w:hint="eastAsia" w:ascii="Times New Roman" w:hAnsi="Times New Roman" w:eastAsia="Times New Roman" w:cs="Times New Roman"/>
                <w:bCs/>
                <w:color w:val="000000" w:themeColor="text1"/>
                <w:sz w:val="24"/>
                <w:szCs w:val="24"/>
                <w:highlight w:val="none"/>
                <w:lang w:val="en-US" w:eastAsia="zh-CN"/>
                <w14:textFill>
                  <w14:solidFill>
                    <w14:schemeClr w14:val="tx1"/>
                  </w14:solidFill>
                </w14:textFill>
              </w:rPr>
              <w:t>1008</w:t>
            </w:r>
            <w:r>
              <w:rPr>
                <w:rFonts w:hint="default" w:ascii="Times New Roman" w:hAnsi="Times New Roman" w:eastAsia="Times New Roman" w:cs="Times New Roman"/>
                <w:color w:val="000000" w:themeColor="text1"/>
                <w:sz w:val="24"/>
                <w:szCs w:val="24"/>
                <w:highlight w:val="none"/>
                <w14:textFill>
                  <w14:solidFill>
                    <w14:schemeClr w14:val="tx1"/>
                  </w14:solidFill>
                </w14:textFill>
              </w:rPr>
              <w:t>米，不在其饮用水保护区范围内。</w:t>
            </w:r>
          </w:p>
          <w:p w14:paraId="5210FE00">
            <w:pPr>
              <w:keepNext w:val="0"/>
              <w:keepLines w:val="0"/>
              <w:numPr>
                <w:ilvl w:val="0"/>
                <w:numId w:val="0"/>
              </w:numPr>
              <w:suppressLineNumbers w:val="0"/>
              <w:adjustRightInd w:val="0"/>
              <w:snapToGrid w:val="0"/>
              <w:spacing w:before="0" w:beforeAutospacing="0" w:after="0" w:afterAutospacing="0" w:line="360" w:lineRule="auto"/>
              <w:ind w:left="0" w:right="0" w:firstLine="240" w:firstLineChars="100"/>
              <w:rPr>
                <w:rFonts w:hint="default" w:ascii="Times New Roman" w:hAnsi="Times New Roman" w:eastAsia="Times New Roman" w:cs="Times New Roman"/>
                <w:b/>
                <w:bCs/>
                <w:color w:val="000000" w:themeColor="text1"/>
                <w:sz w:val="24"/>
                <w:szCs w:val="24"/>
                <w:highlight w:val="none"/>
                <w14:textFill>
                  <w14:solidFill>
                    <w14:schemeClr w14:val="tx1"/>
                  </w14:solidFill>
                </w14:textFill>
              </w:rPr>
            </w:pPr>
            <w:r>
              <w:rPr>
                <w:rFonts w:hint="eastAsia" w:eastAsia="Times New Roman" w:cs="Times New Roman"/>
                <w:b/>
                <w:bCs/>
                <w:color w:val="000000" w:themeColor="text1"/>
                <w:kern w:val="2"/>
                <w:sz w:val="24"/>
                <w:szCs w:val="24"/>
                <w:lang w:val="en-US" w:eastAsia="zh-CN" w:bidi="ar-SA"/>
                <w14:textFill>
                  <w14:solidFill>
                    <w14:schemeClr w14:val="tx1"/>
                  </w14:solidFill>
                </w14:textFill>
              </w:rPr>
              <w:t>4</w:t>
            </w:r>
            <w:r>
              <w:rPr>
                <w:rFonts w:hint="default" w:ascii="Times New Roman" w:hAnsi="Times New Roman" w:eastAsia="Times New Roman" w:cs="Times New Roman"/>
                <w:b/>
                <w:bCs/>
                <w:color w:val="000000" w:themeColor="text1"/>
                <w:kern w:val="2"/>
                <w:sz w:val="24"/>
                <w:szCs w:val="24"/>
                <w:lang w:val="en-US" w:eastAsia="zh-CN" w:bidi="ar-SA"/>
                <w14:textFill>
                  <w14:solidFill>
                    <w14:schemeClr w14:val="tx1"/>
                  </w14:solidFill>
                </w14:textFill>
              </w:rPr>
              <w:t>.2</w:t>
            </w:r>
            <w:r>
              <w:rPr>
                <w:rFonts w:hint="default" w:ascii="Times New Roman" w:hAnsi="Times New Roman" w:eastAsia="Times New Roman" w:cs="Times New Roman"/>
                <w:b/>
                <w:bCs/>
                <w:color w:val="000000" w:themeColor="text1"/>
                <w:sz w:val="24"/>
                <w:szCs w:val="24"/>
                <w:highlight w:val="none"/>
                <w14:textFill>
                  <w14:solidFill>
                    <w14:schemeClr w14:val="tx1"/>
                  </w14:solidFill>
                </w14:textFill>
              </w:rPr>
              <w:t>南水北调饮用水水源保护区</w:t>
            </w:r>
          </w:p>
          <w:p w14:paraId="434F6608">
            <w:pPr>
              <w:keepNext w:val="0"/>
              <w:keepLines w:val="0"/>
              <w:numPr>
                <w:ilvl w:val="0"/>
                <w:numId w:val="0"/>
              </w:numPr>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000000" w:themeColor="text1"/>
                <w:sz w:val="24"/>
                <w:szCs w:val="24"/>
                <w:highlight w:val="none"/>
                <w14:textFill>
                  <w14:solidFill>
                    <w14:schemeClr w14:val="tx1"/>
                  </w14:solidFill>
                </w14:textFill>
              </w:rPr>
            </w:pPr>
            <w:r>
              <w:rPr>
                <w:rFonts w:hint="default" w:ascii="Times New Roman" w:hAnsi="Times New Roman" w:eastAsia="Times New Roman" w:cs="Times New Roman"/>
                <w:color w:val="000000" w:themeColor="text1"/>
                <w:sz w:val="24"/>
                <w:szCs w:val="24"/>
                <w:highlight w:val="none"/>
                <w14:textFill>
                  <w14:solidFill>
                    <w14:schemeClr w14:val="tx1"/>
                  </w14:solidFill>
                </w14:textFill>
              </w:rPr>
              <w:t>根据《河南省南水北调中线工程建设领导小组办公室 河南省环境保护厅 河南省水利厅 河南省国土资源厅关于印发南水北调中线一期工程总干渠（河南段）两侧饮用水水源保护区划定的通知》（豫调办</w:t>
            </w:r>
            <w:r>
              <w:rPr>
                <w:rFonts w:hint="eastAsia"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Times New Roman" w:cs="Times New Roman"/>
                <w:color w:val="000000" w:themeColor="text1"/>
                <w:sz w:val="24"/>
                <w:szCs w:val="24"/>
                <w:highlight w:val="none"/>
                <w14:textFill>
                  <w14:solidFill>
                    <w14:schemeClr w14:val="tx1"/>
                  </w14:solidFill>
                </w14:textFill>
              </w:rPr>
              <w:t>2018</w:t>
            </w:r>
            <w:r>
              <w:rPr>
                <w:rFonts w:hint="eastAsia" w:eastAsia="宋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Times New Roman" w:cs="Times New Roman"/>
                <w:color w:val="000000" w:themeColor="text1"/>
                <w:sz w:val="24"/>
                <w:szCs w:val="24"/>
                <w:highlight w:val="none"/>
                <w14:textFill>
                  <w14:solidFill>
                    <w14:schemeClr w14:val="tx1"/>
                  </w14:solidFill>
                </w14:textFill>
              </w:rPr>
              <w:t>56号），南水北调中线一期工程总干渠在河南省境内的工程类型分为建筑物段和总干渠明渠段。</w:t>
            </w:r>
          </w:p>
          <w:p w14:paraId="42294DFF">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000000" w:themeColor="text1"/>
                <w:sz w:val="24"/>
                <w:szCs w:val="24"/>
                <w:highlight w:val="none"/>
                <w14:textFill>
                  <w14:solidFill>
                    <w14:schemeClr w14:val="tx1"/>
                  </w14:solidFill>
                </w14:textFill>
              </w:rPr>
            </w:pPr>
            <w:r>
              <w:rPr>
                <w:rFonts w:hint="default" w:ascii="Times New Roman" w:hAnsi="Times New Roman" w:eastAsia="Times New Roman" w:cs="Times New Roman"/>
                <w:color w:val="000000" w:themeColor="text1"/>
                <w:sz w:val="24"/>
                <w:szCs w:val="24"/>
                <w:highlight w:val="none"/>
                <w14:textFill>
                  <w14:solidFill>
                    <w14:schemeClr w14:val="tx1"/>
                  </w14:solidFill>
                </w14:textFill>
              </w:rPr>
              <w:t>（一）建筑物段（渡槽、倒虹吸、暗涵、涵洞）</w:t>
            </w:r>
          </w:p>
          <w:p w14:paraId="756665F2">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000000" w:themeColor="text1"/>
                <w:sz w:val="24"/>
                <w:szCs w:val="24"/>
                <w:highlight w:val="none"/>
                <w14:textFill>
                  <w14:solidFill>
                    <w14:schemeClr w14:val="tx1"/>
                  </w14:solidFill>
                </w14:textFill>
              </w:rPr>
            </w:pPr>
            <w:r>
              <w:rPr>
                <w:rFonts w:hint="default" w:ascii="Times New Roman" w:hAnsi="Times New Roman" w:eastAsia="Times New Roman" w:cs="Times New Roman"/>
                <w:color w:val="000000" w:themeColor="text1"/>
                <w:sz w:val="24"/>
                <w:szCs w:val="24"/>
                <w:highlight w:val="none"/>
                <w14:textFill>
                  <w14:solidFill>
                    <w14:schemeClr w14:val="tx1"/>
                  </w14:solidFill>
                </w14:textFill>
              </w:rPr>
              <w:t>一级保护区范围自总干渠管理范围边线（防护栏网）外延50米，不设二级保护区。</w:t>
            </w:r>
          </w:p>
          <w:p w14:paraId="6352BFD6">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000000" w:themeColor="text1"/>
                <w:sz w:val="24"/>
                <w:szCs w:val="24"/>
                <w:highlight w:val="none"/>
                <w14:textFill>
                  <w14:solidFill>
                    <w14:schemeClr w14:val="tx1"/>
                  </w14:solidFill>
                </w14:textFill>
              </w:rPr>
            </w:pPr>
            <w:r>
              <w:rPr>
                <w:rFonts w:hint="default" w:ascii="Times New Roman" w:hAnsi="Times New Roman" w:eastAsia="Times New Roman" w:cs="Times New Roman"/>
                <w:color w:val="000000" w:themeColor="text1"/>
                <w:sz w:val="24"/>
                <w:szCs w:val="24"/>
                <w:highlight w:val="none"/>
                <w14:textFill>
                  <w14:solidFill>
                    <w14:schemeClr w14:val="tx1"/>
                  </w14:solidFill>
                </w14:textFill>
              </w:rPr>
              <w:t>（二）总干渠明渠段</w:t>
            </w:r>
          </w:p>
          <w:p w14:paraId="0E5CFAD2">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000000" w:themeColor="text1"/>
                <w:sz w:val="24"/>
                <w:szCs w:val="24"/>
                <w:highlight w:val="none"/>
                <w14:textFill>
                  <w14:solidFill>
                    <w14:schemeClr w14:val="tx1"/>
                  </w14:solidFill>
                </w14:textFill>
              </w:rPr>
            </w:pPr>
            <w:r>
              <w:rPr>
                <w:rFonts w:hint="default" w:ascii="Times New Roman" w:hAnsi="Times New Roman" w:eastAsia="Times New Roman" w:cs="Times New Roman"/>
                <w:color w:val="000000" w:themeColor="text1"/>
                <w:sz w:val="24"/>
                <w:szCs w:val="24"/>
                <w:highlight w:val="none"/>
                <w14:textFill>
                  <w14:solidFill>
                    <w14:schemeClr w14:val="tx1"/>
                  </w14:solidFill>
                </w14:textFill>
              </w:rPr>
              <w:t>根据地下水水位与总干渠渠底高程的关系，分为以下几种类型：</w:t>
            </w:r>
          </w:p>
          <w:p w14:paraId="123CB8A3">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000000" w:themeColor="text1"/>
                <w:sz w:val="24"/>
                <w:szCs w:val="24"/>
                <w:highlight w:val="none"/>
                <w14:textFill>
                  <w14:solidFill>
                    <w14:schemeClr w14:val="tx1"/>
                  </w14:solidFill>
                </w14:textFill>
              </w:rPr>
            </w:pPr>
            <w:r>
              <w:rPr>
                <w:rFonts w:hint="default" w:ascii="Times New Roman" w:hAnsi="Times New Roman" w:eastAsia="Times New Roman" w:cs="Times New Roman"/>
                <w:color w:val="000000" w:themeColor="text1"/>
                <w:sz w:val="24"/>
                <w:szCs w:val="24"/>
                <w:highlight w:val="none"/>
                <w14:textFill>
                  <w14:solidFill>
                    <w14:schemeClr w14:val="tx1"/>
                  </w14:solidFill>
                </w14:textFill>
              </w:rPr>
              <w:t>1、地下水水位低于总干渠渠底的渠段</w:t>
            </w:r>
          </w:p>
          <w:p w14:paraId="2D11CBAD">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000000" w:themeColor="text1"/>
                <w:sz w:val="24"/>
                <w:szCs w:val="24"/>
                <w:highlight w:val="none"/>
                <w14:textFill>
                  <w14:solidFill>
                    <w14:schemeClr w14:val="tx1"/>
                  </w14:solidFill>
                </w14:textFill>
              </w:rPr>
            </w:pPr>
            <w:r>
              <w:rPr>
                <w:rFonts w:hint="default" w:ascii="Times New Roman" w:hAnsi="Times New Roman" w:eastAsia="Times New Roman" w:cs="Times New Roman"/>
                <w:color w:val="000000" w:themeColor="text1"/>
                <w:sz w:val="24"/>
                <w:szCs w:val="24"/>
                <w:highlight w:val="none"/>
                <w14:textFill>
                  <w14:solidFill>
                    <w14:schemeClr w14:val="tx1"/>
                  </w14:solidFill>
                </w14:textFill>
              </w:rPr>
              <w:t>一级保护区范围自总干渠管理范围边线（防护栏网）外延50米；二级保护区范围自一级保护区边线外延150米。</w:t>
            </w:r>
          </w:p>
          <w:p w14:paraId="393C1E94">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000000" w:themeColor="text1"/>
                <w:sz w:val="24"/>
                <w:szCs w:val="24"/>
                <w:highlight w:val="none"/>
                <w14:textFill>
                  <w14:solidFill>
                    <w14:schemeClr w14:val="tx1"/>
                  </w14:solidFill>
                </w14:textFill>
              </w:rPr>
            </w:pPr>
            <w:r>
              <w:rPr>
                <w:rFonts w:hint="default" w:ascii="Times New Roman" w:hAnsi="Times New Roman" w:eastAsia="Times New Roman" w:cs="Times New Roman"/>
                <w:color w:val="000000" w:themeColor="text1"/>
                <w:sz w:val="24"/>
                <w:szCs w:val="24"/>
                <w:highlight w:val="none"/>
                <w14:textFill>
                  <w14:solidFill>
                    <w14:schemeClr w14:val="tx1"/>
                  </w14:solidFill>
                </w14:textFill>
              </w:rPr>
              <w:t>2、地下水水位高于总干渠渠底的渠段</w:t>
            </w:r>
          </w:p>
          <w:p w14:paraId="0AAD0C10">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000000" w:themeColor="text1"/>
                <w:sz w:val="24"/>
                <w:szCs w:val="24"/>
                <w:highlight w:val="none"/>
                <w14:textFill>
                  <w14:solidFill>
                    <w14:schemeClr w14:val="tx1"/>
                  </w14:solidFill>
                </w14:textFill>
              </w:rPr>
            </w:pPr>
            <w:r>
              <w:rPr>
                <w:rFonts w:hint="default" w:ascii="Times New Roman" w:hAnsi="Times New Roman" w:eastAsia="Times New Roman" w:cs="Times New Roman"/>
                <w:color w:val="000000" w:themeColor="text1"/>
                <w:sz w:val="24"/>
                <w:szCs w:val="24"/>
                <w:highlight w:val="none"/>
                <w14:textFill>
                  <w14:solidFill>
                    <w14:schemeClr w14:val="tx1"/>
                  </w14:solidFill>
                </w14:textFill>
              </w:rPr>
              <w:t>(1)微~弱透水性地层</w:t>
            </w:r>
          </w:p>
          <w:p w14:paraId="353D5302">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000000" w:themeColor="text1"/>
                <w:sz w:val="24"/>
                <w:szCs w:val="24"/>
                <w:highlight w:val="none"/>
                <w14:textFill>
                  <w14:solidFill>
                    <w14:schemeClr w14:val="tx1"/>
                  </w14:solidFill>
                </w14:textFill>
              </w:rPr>
            </w:pPr>
            <w:r>
              <w:rPr>
                <w:rFonts w:hint="default" w:ascii="Times New Roman" w:hAnsi="Times New Roman" w:eastAsia="Times New Roman" w:cs="Times New Roman"/>
                <w:color w:val="000000" w:themeColor="text1"/>
                <w:sz w:val="24"/>
                <w:szCs w:val="24"/>
                <w:highlight w:val="none"/>
                <w14:textFill>
                  <w14:solidFill>
                    <w14:schemeClr w14:val="tx1"/>
                  </w14:solidFill>
                </w14:textFill>
              </w:rPr>
              <w:t>一级保护区范围自总干渠管理范围边线（防护栏网）外延50米；二级保护区范围自一级保护区边线外延500米。</w:t>
            </w:r>
          </w:p>
          <w:p w14:paraId="170A6D07">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000000" w:themeColor="text1"/>
                <w:sz w:val="24"/>
                <w:szCs w:val="24"/>
                <w:highlight w:val="none"/>
                <w14:textFill>
                  <w14:solidFill>
                    <w14:schemeClr w14:val="tx1"/>
                  </w14:solidFill>
                </w14:textFill>
              </w:rPr>
            </w:pPr>
            <w:r>
              <w:rPr>
                <w:rFonts w:hint="default" w:ascii="Times New Roman" w:hAnsi="Times New Roman" w:eastAsia="Times New Roman" w:cs="Times New Roman"/>
                <w:color w:val="000000" w:themeColor="text1"/>
                <w:sz w:val="24"/>
                <w:szCs w:val="24"/>
                <w:highlight w:val="none"/>
                <w14:textFill>
                  <w14:solidFill>
                    <w14:schemeClr w14:val="tx1"/>
                  </w14:solidFill>
                </w14:textFill>
              </w:rPr>
              <w:t>(2)弱~中透水性地层</w:t>
            </w:r>
          </w:p>
          <w:p w14:paraId="3BC45B80">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000000" w:themeColor="text1"/>
                <w:sz w:val="24"/>
                <w:szCs w:val="24"/>
                <w:highlight w:val="none"/>
                <w14:textFill>
                  <w14:solidFill>
                    <w14:schemeClr w14:val="tx1"/>
                  </w14:solidFill>
                </w14:textFill>
              </w:rPr>
            </w:pPr>
            <w:r>
              <w:rPr>
                <w:rFonts w:hint="default" w:ascii="Times New Roman" w:hAnsi="Times New Roman" w:eastAsia="Times New Roman" w:cs="Times New Roman"/>
                <w:color w:val="000000" w:themeColor="text1"/>
                <w:sz w:val="24"/>
                <w:szCs w:val="24"/>
                <w:highlight w:val="none"/>
                <w14:textFill>
                  <w14:solidFill>
                    <w14:schemeClr w14:val="tx1"/>
                  </w14:solidFill>
                </w14:textFill>
              </w:rPr>
              <w:t>一级保护区范围自总干渠管理范围边线（防护栏网）外延100米；二级保护区范围自一级保护区边线外延1000米。</w:t>
            </w:r>
          </w:p>
          <w:p w14:paraId="18557B2C">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000000" w:themeColor="text1"/>
                <w:sz w:val="24"/>
                <w:szCs w:val="24"/>
                <w:highlight w:val="none"/>
                <w14:textFill>
                  <w14:solidFill>
                    <w14:schemeClr w14:val="tx1"/>
                  </w14:solidFill>
                </w14:textFill>
              </w:rPr>
            </w:pPr>
            <w:r>
              <w:rPr>
                <w:rFonts w:hint="default" w:ascii="Times New Roman" w:hAnsi="Times New Roman" w:eastAsia="Times New Roman" w:cs="Times New Roman"/>
                <w:color w:val="000000" w:themeColor="text1"/>
                <w:sz w:val="24"/>
                <w:szCs w:val="24"/>
                <w:highlight w:val="none"/>
                <w14:textFill>
                  <w14:solidFill>
                    <w14:schemeClr w14:val="tx1"/>
                  </w14:solidFill>
                </w14:textFill>
              </w:rPr>
              <w:t>(3)强透水性地层</w:t>
            </w:r>
          </w:p>
          <w:p w14:paraId="5D49F929">
            <w:pPr>
              <w:keepNext w:val="0"/>
              <w:keepLines w:val="0"/>
              <w:suppressLineNumbers w:val="0"/>
              <w:tabs>
                <w:tab w:val="left" w:pos="720"/>
              </w:tabs>
              <w:adjustRightInd w:val="0"/>
              <w:snapToGrid w:val="0"/>
              <w:spacing w:before="0" w:beforeAutospacing="0" w:after="0" w:afterAutospacing="0" w:line="360" w:lineRule="auto"/>
              <w:ind w:left="0" w:right="0" w:firstLine="480" w:firstLineChars="200"/>
              <w:rPr>
                <w:rFonts w:hint="default" w:ascii="Times New Roman" w:hAnsi="Times New Roman" w:eastAsia="Times New Roman" w:cs="Times New Roman"/>
                <w:color w:val="000000" w:themeColor="text1"/>
                <w:sz w:val="24"/>
                <w:szCs w:val="24"/>
                <w:highlight w:val="none"/>
                <w14:textFill>
                  <w14:solidFill>
                    <w14:schemeClr w14:val="tx1"/>
                  </w14:solidFill>
                </w14:textFill>
              </w:rPr>
            </w:pPr>
            <w:r>
              <w:rPr>
                <w:rFonts w:hint="default" w:ascii="Times New Roman" w:hAnsi="Times New Roman" w:eastAsia="Times New Roman" w:cs="Times New Roman"/>
                <w:color w:val="000000" w:themeColor="text1"/>
                <w:sz w:val="24"/>
                <w:szCs w:val="24"/>
                <w:highlight w:val="none"/>
                <w14:textFill>
                  <w14:solidFill>
                    <w14:schemeClr w14:val="tx1"/>
                  </w14:solidFill>
                </w14:textFill>
              </w:rPr>
              <w:t>一级保护区范围自总干渠管理范围边线（防护栏网）外延200米；二级保护区范围自一级保护区边线外延2000米、1500米。</w:t>
            </w:r>
          </w:p>
          <w:p w14:paraId="3631E9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default" w:ascii="Times New Roman" w:hAnsi="Times New Roman" w:eastAsia="Times New Roman" w:cs="Times New Roman"/>
                <w:color w:val="000000" w:themeColor="text1"/>
                <w:kern w:val="0"/>
                <w:sz w:val="24"/>
                <w:szCs w:val="24"/>
                <w:highlight w:val="none"/>
                <w14:textFill>
                  <w14:solidFill>
                    <w14:schemeClr w14:val="tx1"/>
                  </w14:solidFill>
                </w14:textFill>
              </w:rPr>
            </w:pPr>
            <w:r>
              <w:rPr>
                <w:rFonts w:hint="default" w:ascii="Times New Roman" w:hAnsi="Times New Roman" w:eastAsia="Times New Roman" w:cs="Times New Roman"/>
                <w:color w:val="000000" w:themeColor="text1"/>
                <w:kern w:val="0"/>
                <w:sz w:val="24"/>
                <w:szCs w:val="24"/>
                <w:highlight w:val="none"/>
                <w14:textFill>
                  <w14:solidFill>
                    <w14:schemeClr w14:val="tx1"/>
                  </w14:solidFill>
                </w14:textFill>
              </w:rPr>
              <w:t>本项目位于汤阴县</w:t>
            </w:r>
            <w:r>
              <w:rPr>
                <w:rFonts w:hint="eastAsia" w:eastAsia="Times New Roman" w:cs="Times New Roman"/>
                <w:color w:val="000000" w:themeColor="text1"/>
                <w:kern w:val="0"/>
                <w:sz w:val="24"/>
                <w:szCs w:val="24"/>
                <w:highlight w:val="none"/>
                <w:lang w:eastAsia="zh-CN"/>
                <w14:textFill>
                  <w14:solidFill>
                    <w14:schemeClr w14:val="tx1"/>
                  </w14:solidFill>
                </w14:textFill>
              </w:rPr>
              <w:t>古贤镇</w:t>
            </w:r>
            <w:r>
              <w:rPr>
                <w:rFonts w:hint="default" w:ascii="Times New Roman" w:hAnsi="Times New Roman" w:eastAsia="Times New Roman" w:cs="Times New Roman"/>
                <w:color w:val="000000" w:themeColor="text1"/>
                <w:kern w:val="0"/>
                <w:sz w:val="24"/>
                <w:szCs w:val="24"/>
                <w:highlight w:val="none"/>
                <w14:textFill>
                  <w14:solidFill>
                    <w14:schemeClr w14:val="tx1"/>
                  </w14:solidFill>
                </w14:textFill>
              </w:rPr>
              <w:t>，</w:t>
            </w:r>
            <w:r>
              <w:rPr>
                <w:rFonts w:hint="default" w:ascii="Times New Roman" w:hAnsi="Times New Roman" w:eastAsia="Times New Roman" w:cs="Times New Roman"/>
                <w:color w:val="000000" w:themeColor="text1"/>
                <w:sz w:val="24"/>
                <w:szCs w:val="24"/>
                <w:highlight w:val="none"/>
                <w14:textFill>
                  <w14:solidFill>
                    <w14:schemeClr w14:val="tx1"/>
                  </w14:solidFill>
                </w14:textFill>
              </w:rPr>
              <w:t>向西距离南水北调中线工程</w:t>
            </w:r>
            <w:r>
              <w:rPr>
                <w:rFonts w:hint="eastAsia" w:eastAsia="Times New Roman" w:cs="Times New Roman"/>
                <w:b w:val="0"/>
                <w:bCs w:val="0"/>
                <w:color w:val="000000" w:themeColor="text1"/>
                <w:sz w:val="24"/>
                <w:szCs w:val="24"/>
                <w:highlight w:val="none"/>
                <w:u w:val="none"/>
                <w:lang w:val="en-US" w:eastAsia="zh-CN"/>
                <w14:textFill>
                  <w14:solidFill>
                    <w14:schemeClr w14:val="tx1"/>
                  </w14:solidFill>
                </w14:textFill>
              </w:rPr>
              <w:t>10.8k</w:t>
            </w:r>
            <w:r>
              <w:rPr>
                <w:rFonts w:hint="default" w:ascii="Times New Roman" w:hAnsi="Times New Roman" w:eastAsia="Times New Roman" w:cs="Times New Roman"/>
                <w:b w:val="0"/>
                <w:bCs w:val="0"/>
                <w:color w:val="000000" w:themeColor="text1"/>
                <w:sz w:val="24"/>
                <w:szCs w:val="24"/>
                <w:highlight w:val="none"/>
                <w:u w:val="none"/>
                <w14:textFill>
                  <w14:solidFill>
                    <w14:schemeClr w14:val="tx1"/>
                  </w14:solidFill>
                </w14:textFill>
              </w:rPr>
              <w:t>m</w:t>
            </w:r>
            <w:r>
              <w:rPr>
                <w:rFonts w:hint="default" w:ascii="Times New Roman" w:hAnsi="Times New Roman" w:eastAsia="Times New Roman" w:cs="Times New Roman"/>
                <w:color w:val="000000" w:themeColor="text1"/>
                <w:sz w:val="24"/>
                <w:szCs w:val="24"/>
                <w:highlight w:val="none"/>
                <w14:textFill>
                  <w14:solidFill>
                    <w14:schemeClr w14:val="tx1"/>
                  </w14:solidFill>
                </w14:textFill>
              </w:rPr>
              <w:t>，不在其一级保护区和二级保护区范围内。</w:t>
            </w:r>
          </w:p>
          <w:p w14:paraId="32FE99B6">
            <w:pPr>
              <w:pStyle w:val="259"/>
              <w:spacing w:before="120" w:after="120"/>
            </w:pPr>
            <w:bookmarkStart w:id="7" w:name="_Toc197848422"/>
            <w:r>
              <w:rPr>
                <w:rFonts w:hint="eastAsia"/>
              </w:rPr>
              <w:t>5、与污染防治攻坚战、</w:t>
            </w:r>
            <w:r>
              <w:t>绩效分级</w:t>
            </w:r>
            <w:r>
              <w:rPr>
                <w:rFonts w:hint="eastAsia"/>
              </w:rPr>
              <w:t>等要求相符性分析</w:t>
            </w:r>
            <w:bookmarkEnd w:id="7"/>
          </w:p>
          <w:p w14:paraId="4C4DF716">
            <w:pPr>
              <w:pStyle w:val="102"/>
              <w:spacing w:before="120" w:after="120"/>
              <w:ind w:firstLine="240"/>
              <w:rPr>
                <w:color w:val="000000"/>
              </w:rPr>
            </w:pPr>
            <w:r>
              <w:rPr>
                <w:color w:val="000000"/>
              </w:rPr>
              <w:t>5</w:t>
            </w:r>
            <w:r>
              <w:rPr>
                <w:rFonts w:hint="eastAsia"/>
                <w:color w:val="000000"/>
              </w:rPr>
              <w:t>.1与 “安环委〔202</w:t>
            </w:r>
            <w:r>
              <w:rPr>
                <w:rFonts w:hint="eastAsia"/>
                <w:color w:val="000000"/>
                <w:lang w:val="en-US" w:eastAsia="zh-CN"/>
              </w:rPr>
              <w:t>6</w:t>
            </w:r>
            <w:r>
              <w:rPr>
                <w:rFonts w:hint="eastAsia"/>
                <w:color w:val="000000"/>
              </w:rPr>
              <w:t>〕</w:t>
            </w:r>
            <w:r>
              <w:rPr>
                <w:rFonts w:hint="eastAsia"/>
                <w:color w:val="000000"/>
                <w:lang w:val="en-US" w:eastAsia="zh-CN"/>
              </w:rPr>
              <w:t>1</w:t>
            </w:r>
            <w:r>
              <w:rPr>
                <w:rFonts w:hint="eastAsia"/>
                <w:color w:val="000000"/>
              </w:rPr>
              <w:t>号”相符性分析</w:t>
            </w:r>
          </w:p>
          <w:p w14:paraId="40A351E0">
            <w:pPr>
              <w:pStyle w:val="144"/>
            </w:pPr>
            <w:r>
              <w:t>202</w:t>
            </w:r>
            <w:r>
              <w:rPr>
                <w:rFonts w:hint="eastAsia"/>
                <w:lang w:val="en-US" w:eastAsia="zh-CN"/>
              </w:rPr>
              <w:t>6</w:t>
            </w:r>
            <w:r>
              <w:rPr>
                <w:rFonts w:hint="eastAsia"/>
              </w:rPr>
              <w:t>年</w:t>
            </w:r>
            <w:r>
              <w:t>4</w:t>
            </w:r>
            <w:r>
              <w:rPr>
                <w:rFonts w:hint="eastAsia"/>
              </w:rPr>
              <w:t>月</w:t>
            </w:r>
            <w:r>
              <w:rPr>
                <w:rFonts w:hint="eastAsia"/>
                <w:lang w:val="en-US" w:eastAsia="zh-CN"/>
              </w:rPr>
              <w:t>20</w:t>
            </w:r>
            <w:r>
              <w:rPr>
                <w:rFonts w:hint="eastAsia"/>
              </w:rPr>
              <w:t>日，安阳市生态环境保护委员会发布了</w:t>
            </w:r>
            <w:bookmarkStart w:id="8" w:name="OLE_LINK52"/>
            <w:bookmarkStart w:id="9" w:name="OLE_LINK53"/>
            <w:r>
              <w:rPr>
                <w:rFonts w:hint="eastAsia"/>
              </w:rPr>
              <w:t>《安阳市202</w:t>
            </w:r>
            <w:r>
              <w:rPr>
                <w:rFonts w:hint="eastAsia"/>
                <w:lang w:val="en-US" w:eastAsia="zh-CN"/>
              </w:rPr>
              <w:t>6</w:t>
            </w:r>
            <w:r>
              <w:rPr>
                <w:rFonts w:hint="eastAsia"/>
              </w:rPr>
              <w:t>年大气污染防治攻坚行动方案》</w:t>
            </w:r>
            <w:bookmarkEnd w:id="8"/>
            <w:bookmarkEnd w:id="9"/>
            <w:r>
              <w:rPr>
                <w:rFonts w:hint="eastAsia"/>
              </w:rPr>
              <w:t>《安阳市202</w:t>
            </w:r>
            <w:r>
              <w:rPr>
                <w:rFonts w:hint="eastAsia"/>
                <w:lang w:val="en-US" w:eastAsia="zh-CN"/>
              </w:rPr>
              <w:t>6</w:t>
            </w:r>
            <w:r>
              <w:rPr>
                <w:rFonts w:hint="eastAsia"/>
              </w:rPr>
              <w:t>年碧水保卫战实施方案》</w:t>
            </w:r>
            <w:bookmarkStart w:id="10" w:name="OLE_LINK54"/>
            <w:bookmarkStart w:id="11" w:name="OLE_LINK55"/>
            <w:r>
              <w:rPr>
                <w:rFonts w:hint="eastAsia"/>
              </w:rPr>
              <w:t>《安阳市202</w:t>
            </w:r>
            <w:r>
              <w:rPr>
                <w:rFonts w:hint="eastAsia"/>
                <w:lang w:val="en-US" w:eastAsia="zh-CN"/>
              </w:rPr>
              <w:t>6</w:t>
            </w:r>
            <w:r>
              <w:rPr>
                <w:rFonts w:hint="eastAsia"/>
              </w:rPr>
              <w:t>年净土保卫战实施方案》</w:t>
            </w:r>
            <w:bookmarkEnd w:id="10"/>
            <w:bookmarkEnd w:id="11"/>
            <w:bookmarkStart w:id="12" w:name="OLE_LINK56"/>
            <w:bookmarkStart w:id="13" w:name="OLE_LINK57"/>
            <w:r>
              <w:rPr>
                <w:rFonts w:hint="eastAsia"/>
              </w:rPr>
              <w:t>《安阳市202</w:t>
            </w:r>
            <w:r>
              <w:rPr>
                <w:rFonts w:hint="eastAsia"/>
                <w:lang w:val="en-US" w:eastAsia="zh-CN"/>
              </w:rPr>
              <w:t>6</w:t>
            </w:r>
            <w:r>
              <w:rPr>
                <w:rFonts w:hint="eastAsia"/>
              </w:rPr>
              <w:t>年柴油货车污染治理攻坚战实施方案》</w:t>
            </w:r>
            <w:bookmarkEnd w:id="12"/>
            <w:bookmarkEnd w:id="13"/>
            <w:r>
              <w:rPr>
                <w:rFonts w:hint="eastAsia"/>
              </w:rPr>
              <w:t>的通知，本项目与之有关的内容相符性分析如下：</w:t>
            </w:r>
          </w:p>
          <w:p w14:paraId="143DC2F4">
            <w:pPr>
              <w:pStyle w:val="56"/>
              <w:keepNext w:val="0"/>
              <w:keepLines w:val="0"/>
              <w:pageBreakBefore w:val="0"/>
              <w:widowControl w:val="0"/>
              <w:kinsoku/>
              <w:wordWrap/>
              <w:overflowPunct/>
              <w:topLinePunct w:val="0"/>
              <w:autoSpaceDE w:val="0"/>
              <w:autoSpaceDN w:val="0"/>
              <w:bidi w:val="0"/>
              <w:adjustRightInd w:val="0"/>
              <w:snapToGrid w:val="0"/>
              <w:spacing w:before="120"/>
              <w:ind w:left="630" w:leftChars="0" w:firstLineChars="0"/>
              <w:jc w:val="center"/>
              <w:textAlignment w:val="auto"/>
            </w:pPr>
            <w:r>
              <w:rPr>
                <w:rFonts w:hint="eastAsia"/>
              </w:rPr>
              <w:t>与“安环委〔202</w:t>
            </w:r>
            <w:r>
              <w:rPr>
                <w:rFonts w:hint="eastAsia"/>
                <w:lang w:val="en-US" w:eastAsia="zh-CN"/>
              </w:rPr>
              <w:t>6</w:t>
            </w:r>
            <w:r>
              <w:rPr>
                <w:rFonts w:hint="eastAsia"/>
              </w:rPr>
              <w:t>〕</w:t>
            </w:r>
            <w:r>
              <w:rPr>
                <w:rFonts w:hint="eastAsia"/>
                <w:lang w:val="en-US" w:eastAsia="zh-CN"/>
              </w:rPr>
              <w:t>1</w:t>
            </w:r>
            <w:r>
              <w:rPr>
                <w:rFonts w:hint="eastAsia"/>
              </w:rPr>
              <w:t>号”相符性分析一览表</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18"/>
              <w:gridCol w:w="4981"/>
              <w:gridCol w:w="1483"/>
              <w:gridCol w:w="530"/>
            </w:tblGrid>
            <w:tr w14:paraId="5945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41" w:type="pct"/>
                  <w:vAlign w:val="center"/>
                </w:tcPr>
                <w:p w14:paraId="31A6C793">
                  <w:pPr>
                    <w:pStyle w:val="104"/>
                    <w:rPr>
                      <w:color w:val="000000"/>
                    </w:rPr>
                  </w:pPr>
                  <w:r>
                    <w:rPr>
                      <w:rFonts w:hint="eastAsia"/>
                      <w:color w:val="000000"/>
                    </w:rPr>
                    <w:t>内容</w:t>
                  </w:r>
                </w:p>
              </w:tc>
              <w:tc>
                <w:tcPr>
                  <w:tcW w:w="3032" w:type="pct"/>
                  <w:vAlign w:val="center"/>
                </w:tcPr>
                <w:p w14:paraId="66E6C21D">
                  <w:pPr>
                    <w:pStyle w:val="104"/>
                    <w:rPr>
                      <w:color w:val="000000"/>
                    </w:rPr>
                  </w:pPr>
                  <w:r>
                    <w:rPr>
                      <w:rFonts w:hint="eastAsia"/>
                      <w:color w:val="000000"/>
                    </w:rPr>
                    <w:t>要求</w:t>
                  </w:r>
                </w:p>
              </w:tc>
              <w:tc>
                <w:tcPr>
                  <w:tcW w:w="902" w:type="pct"/>
                  <w:vAlign w:val="center"/>
                </w:tcPr>
                <w:p w14:paraId="200B6714">
                  <w:pPr>
                    <w:pStyle w:val="104"/>
                    <w:rPr>
                      <w:color w:val="000000"/>
                    </w:rPr>
                  </w:pPr>
                  <w:r>
                    <w:rPr>
                      <w:rFonts w:hint="eastAsia"/>
                      <w:color w:val="000000"/>
                    </w:rPr>
                    <w:t>本项目建设情况</w:t>
                  </w:r>
                </w:p>
              </w:tc>
              <w:tc>
                <w:tcPr>
                  <w:tcW w:w="322" w:type="pct"/>
                  <w:vAlign w:val="center"/>
                </w:tcPr>
                <w:p w14:paraId="71A6B46A">
                  <w:pPr>
                    <w:pStyle w:val="104"/>
                    <w:rPr>
                      <w:color w:val="000000"/>
                    </w:rPr>
                  </w:pPr>
                  <w:r>
                    <w:rPr>
                      <w:rFonts w:hint="eastAsia"/>
                      <w:color w:val="000000"/>
                    </w:rPr>
                    <w:t>相符性</w:t>
                  </w:r>
                </w:p>
              </w:tc>
            </w:tr>
            <w:tr w14:paraId="76EE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000" w:type="pct"/>
                  <w:gridSpan w:val="4"/>
                  <w:vAlign w:val="center"/>
                </w:tcPr>
                <w:p w14:paraId="366CAB75">
                  <w:pPr>
                    <w:pStyle w:val="104"/>
                    <w:rPr>
                      <w:color w:val="000000"/>
                    </w:rPr>
                  </w:pPr>
                  <w:r>
                    <w:rPr>
                      <w:rFonts w:hint="eastAsia"/>
                      <w:color w:val="000000"/>
                    </w:rPr>
                    <w:t>《安阳市202</w:t>
                  </w:r>
                  <w:r>
                    <w:rPr>
                      <w:rFonts w:hint="eastAsia"/>
                      <w:color w:val="000000"/>
                      <w:lang w:val="en-US" w:eastAsia="zh-CN"/>
                    </w:rPr>
                    <w:t>6</w:t>
                  </w:r>
                  <w:r>
                    <w:rPr>
                      <w:rFonts w:hint="eastAsia"/>
                      <w:color w:val="000000"/>
                    </w:rPr>
                    <w:t>年大气污染防治攻坚行动方案》</w:t>
                  </w:r>
                </w:p>
              </w:tc>
            </w:tr>
            <w:tr w14:paraId="67CD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41" w:type="pct"/>
                  <w:vAlign w:val="center"/>
                </w:tcPr>
                <w:p w14:paraId="5E1BD3F3">
                  <w:pPr>
                    <w:pStyle w:val="257"/>
                  </w:pPr>
                  <w:r>
                    <w:rPr>
                      <w:rFonts w:hint="eastAsia"/>
                      <w:lang w:val="en-US" w:eastAsia="zh-CN"/>
                    </w:rPr>
                    <w:t>2、</w:t>
                  </w:r>
                  <w:r>
                    <w:rPr>
                      <w:lang w:val="en-US" w:eastAsia="zh-CN"/>
                    </w:rPr>
                    <w:t>加快淘汰落后低效产能</w:t>
                  </w:r>
                </w:p>
              </w:tc>
              <w:tc>
                <w:tcPr>
                  <w:tcW w:w="3032" w:type="pct"/>
                  <w:vAlign w:val="center"/>
                </w:tcPr>
                <w:p w14:paraId="16CBFC19">
                  <w:pPr>
                    <w:pStyle w:val="257"/>
                  </w:pPr>
                  <w:r>
                    <w:rPr>
                      <w:lang w:val="en-US" w:eastAsia="zh-CN"/>
                    </w:rPr>
                    <w:t>严格执行质量、环保、能耗、安全等法规标准，依法依规全面退出淘汰类产能和设备，加快整合退出一批涉气行业限制类产能，2026 4月20日前排查建立清单台账，2026年 10月底前完成淘汰退出。</w:t>
                  </w:r>
                </w:p>
              </w:tc>
              <w:tc>
                <w:tcPr>
                  <w:tcW w:w="902" w:type="pct"/>
                  <w:vAlign w:val="center"/>
                </w:tcPr>
                <w:p w14:paraId="6E34573C">
                  <w:pPr>
                    <w:pStyle w:val="257"/>
                  </w:pPr>
                  <w:r>
                    <w:rPr>
                      <w:rFonts w:hint="eastAsia"/>
                    </w:rPr>
                    <w:t>本项目不属于</w:t>
                  </w:r>
                  <w:r>
                    <w:rPr>
                      <w:rFonts w:hint="eastAsia"/>
                      <w:lang w:val="en-US" w:eastAsia="zh-CN"/>
                    </w:rPr>
                    <w:t>淘汰落后低效产能</w:t>
                  </w:r>
                  <w:r>
                    <w:rPr>
                      <w:rFonts w:hint="eastAsia"/>
                    </w:rPr>
                    <w:t>项目</w:t>
                  </w:r>
                </w:p>
              </w:tc>
              <w:tc>
                <w:tcPr>
                  <w:tcW w:w="322" w:type="pct"/>
                  <w:vAlign w:val="center"/>
                </w:tcPr>
                <w:p w14:paraId="5909BF91">
                  <w:pPr>
                    <w:pStyle w:val="257"/>
                  </w:pPr>
                  <w:r>
                    <w:rPr>
                      <w:rFonts w:hint="eastAsia"/>
                    </w:rPr>
                    <w:t>相符</w:t>
                  </w:r>
                </w:p>
              </w:tc>
            </w:tr>
            <w:tr w14:paraId="1AAC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41" w:type="pct"/>
                  <w:vAlign w:val="center"/>
                </w:tcPr>
                <w:p w14:paraId="4D3EE750">
                  <w:pPr>
                    <w:pStyle w:val="257"/>
                  </w:pPr>
                  <w:r>
                    <w:rPr>
                      <w:lang w:val="en-US" w:eastAsia="zh-CN"/>
                    </w:rPr>
                    <w:t>10.大力推广新能源汽车。</w:t>
                  </w:r>
                </w:p>
              </w:tc>
              <w:tc>
                <w:tcPr>
                  <w:tcW w:w="3032" w:type="pct"/>
                  <w:vAlign w:val="center"/>
                </w:tcPr>
                <w:p w14:paraId="7FC608A6">
                  <w:pPr>
                    <w:pStyle w:val="257"/>
                  </w:pPr>
                  <w:r>
                    <w:rPr>
                      <w:lang w:val="en-US" w:eastAsia="zh-CN"/>
                    </w:rPr>
                    <w:t>创建城区绿色物流区，扩大新能源汽车便利通行条件，政府类投资建设项目优先使用新能源汽车，加力推动重型货车和城市公共领域车辆新能源更新替代。除特种车辆外，货运车辆禁行区内工业企业、施工工地、物流园区使用的货物运输车辆、内部转运车辆基本实现新能源化。每日20时至次日9时，货运车辆禁行区内工业企业、物流园区等用车大户使用新能源车辆运输。</w:t>
                  </w:r>
                </w:p>
              </w:tc>
              <w:tc>
                <w:tcPr>
                  <w:tcW w:w="902" w:type="pct"/>
                  <w:vAlign w:val="center"/>
                </w:tcPr>
                <w:p w14:paraId="5E07D4E9">
                  <w:pPr>
                    <w:pStyle w:val="257"/>
                  </w:pPr>
                  <w:r>
                    <w:rPr>
                      <w:rFonts w:hint="eastAsia"/>
                    </w:rPr>
                    <w:t>本项目运输</w:t>
                  </w:r>
                  <w:r>
                    <w:t>全部采用</w:t>
                  </w:r>
                  <w:r>
                    <w:rPr>
                      <w:rFonts w:hint="eastAsia"/>
                    </w:rPr>
                    <w:t>新能源汽车</w:t>
                  </w:r>
                </w:p>
              </w:tc>
              <w:tc>
                <w:tcPr>
                  <w:tcW w:w="322" w:type="pct"/>
                  <w:vAlign w:val="center"/>
                </w:tcPr>
                <w:p w14:paraId="469CB3E0">
                  <w:pPr>
                    <w:pStyle w:val="257"/>
                  </w:pPr>
                  <w:r>
                    <w:rPr>
                      <w:rFonts w:hint="eastAsia"/>
                    </w:rPr>
                    <w:t>相符</w:t>
                  </w:r>
                </w:p>
              </w:tc>
            </w:tr>
            <w:tr w14:paraId="618D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41" w:type="pct"/>
                  <w:vAlign w:val="center"/>
                </w:tcPr>
                <w:p w14:paraId="3326F233">
                  <w:pPr>
                    <w:pStyle w:val="257"/>
                    <w:rPr>
                      <w:rFonts w:hint="eastAsia"/>
                    </w:rPr>
                  </w:pPr>
                  <w:r>
                    <w:rPr>
                      <w:rFonts w:hint="eastAsia"/>
                      <w:lang w:val="en-US" w:eastAsia="zh-CN"/>
                    </w:rPr>
                    <w:t>23.有效应对重污染天气。</w:t>
                  </w:r>
                </w:p>
                <w:p w14:paraId="33B0F17E">
                  <w:pPr>
                    <w:pStyle w:val="257"/>
                  </w:pPr>
                </w:p>
              </w:tc>
              <w:tc>
                <w:tcPr>
                  <w:tcW w:w="3032" w:type="pct"/>
                  <w:vAlign w:val="center"/>
                </w:tcPr>
                <w:p w14:paraId="42336AB2">
                  <w:pPr>
                    <w:pStyle w:val="257"/>
                  </w:pPr>
                  <w:r>
                    <w:rPr>
                      <w:lang w:val="en-US" w:eastAsia="zh-CN"/>
                    </w:rPr>
                    <w:t>完善应急减排清单与排污许可等数据对接机制，动态调整应急减排清单，实现涉气企业全覆盖。强化区域联防联控，综合运用卫星遥感、用电监管、自动监控、门禁系统、视频监控、AI 识别等科技手段，建立健全快速响应、排查、整改、反馈的闭环管理机制，及时清除高值热点，全面提升重污染天气应对管控成效。</w:t>
                  </w:r>
                </w:p>
              </w:tc>
              <w:tc>
                <w:tcPr>
                  <w:tcW w:w="902" w:type="pct"/>
                  <w:vAlign w:val="center"/>
                </w:tcPr>
                <w:p w14:paraId="7FF8E70C">
                  <w:pPr>
                    <w:pStyle w:val="257"/>
                    <w:rPr>
                      <w:rFonts w:hint="default" w:eastAsia="宋体"/>
                      <w:lang w:val="en-US" w:eastAsia="zh-CN"/>
                    </w:rPr>
                  </w:pPr>
                  <w:r>
                    <w:rPr>
                      <w:rFonts w:hint="eastAsia"/>
                    </w:rPr>
                    <w:t>本项目</w:t>
                  </w:r>
                  <w:r>
                    <w:rPr>
                      <w:rFonts w:hint="eastAsia"/>
                      <w:lang w:val="en-US" w:eastAsia="zh-CN"/>
                    </w:rPr>
                    <w:t>按照A级企业标准建设</w:t>
                  </w:r>
                </w:p>
              </w:tc>
              <w:tc>
                <w:tcPr>
                  <w:tcW w:w="322" w:type="pct"/>
                  <w:vAlign w:val="center"/>
                </w:tcPr>
                <w:p w14:paraId="719ECDF3">
                  <w:pPr>
                    <w:pStyle w:val="257"/>
                  </w:pPr>
                  <w:r>
                    <w:rPr>
                      <w:rFonts w:hint="eastAsia"/>
                    </w:rPr>
                    <w:t>相符</w:t>
                  </w:r>
                </w:p>
              </w:tc>
            </w:tr>
            <w:tr w14:paraId="0527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000" w:type="pct"/>
                  <w:gridSpan w:val="4"/>
                  <w:vAlign w:val="center"/>
                </w:tcPr>
                <w:p w14:paraId="58FE2D45">
                  <w:pPr>
                    <w:pStyle w:val="257"/>
                  </w:pPr>
                  <w:r>
                    <w:rPr>
                      <w:rFonts w:hint="eastAsia"/>
                    </w:rPr>
                    <w:t>《安阳市202</w:t>
                  </w:r>
                  <w:r>
                    <w:rPr>
                      <w:rFonts w:hint="eastAsia"/>
                      <w:lang w:val="en-US" w:eastAsia="zh-CN"/>
                    </w:rPr>
                    <w:t>6</w:t>
                  </w:r>
                  <w:r>
                    <w:rPr>
                      <w:rFonts w:hint="eastAsia"/>
                    </w:rPr>
                    <w:t>年碧水保卫战实施方案》</w:t>
                  </w:r>
                </w:p>
              </w:tc>
            </w:tr>
            <w:tr w14:paraId="0080F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3" w:hRule="atLeast"/>
                <w:jc w:val="center"/>
              </w:trPr>
              <w:tc>
                <w:tcPr>
                  <w:tcW w:w="741" w:type="pct"/>
                  <w:vAlign w:val="center"/>
                </w:tcPr>
                <w:p w14:paraId="69B064B7">
                  <w:pPr>
                    <w:pStyle w:val="257"/>
                  </w:pPr>
                  <w:r>
                    <w:rPr>
                      <w:rFonts w:hint="eastAsia"/>
                      <w:lang w:val="en-US" w:eastAsia="zh-CN"/>
                    </w:rPr>
                    <w:t>7.</w:t>
                  </w:r>
                  <w:r>
                    <w:rPr>
                      <w:lang w:val="en-US" w:eastAsia="zh-CN"/>
                    </w:rPr>
                    <w:t xml:space="preserve">强力推进重点涉水企业深度治理和工业园区污水收集处 </w:t>
                  </w:r>
                </w:p>
                <w:p w14:paraId="145845CA">
                  <w:pPr>
                    <w:pStyle w:val="257"/>
                  </w:pPr>
                  <w:r>
                    <w:rPr>
                      <w:lang w:val="en-US" w:eastAsia="zh-CN"/>
                    </w:rPr>
                    <w:t>理能力提升。</w:t>
                  </w:r>
                </w:p>
              </w:tc>
              <w:tc>
                <w:tcPr>
                  <w:tcW w:w="3032" w:type="pct"/>
                  <w:vAlign w:val="center"/>
                </w:tcPr>
                <w:p w14:paraId="3A18C3B9">
                  <w:pPr>
                    <w:pStyle w:val="257"/>
                  </w:pPr>
                  <w:r>
                    <w:rPr>
                      <w:lang w:val="en-US" w:eastAsia="zh-CN"/>
                    </w:rPr>
                    <w:t>组织对城镇污水处理厂和重点涉水工业企业开展 “一厂一策”排查诊治，指导其开展深度治理，确保废水处理设施正常稳定运行，依法打击环境违法行为，有效提升治污水平和精细化管理水平。</w:t>
                  </w:r>
                </w:p>
              </w:tc>
              <w:tc>
                <w:tcPr>
                  <w:tcW w:w="902" w:type="pct"/>
                  <w:vAlign w:val="center"/>
                </w:tcPr>
                <w:p w14:paraId="6FFDB041">
                  <w:pPr>
                    <w:pStyle w:val="257"/>
                  </w:pPr>
                  <w:r>
                    <w:rPr>
                      <w:rFonts w:hint="eastAsia"/>
                    </w:rPr>
                    <w:t>本项目生产</w:t>
                  </w:r>
                  <w:r>
                    <w:t>废水</w:t>
                  </w:r>
                  <w:r>
                    <w:rPr>
                      <w:rFonts w:hint="eastAsia"/>
                      <w:lang w:val="en-US" w:eastAsia="zh-CN"/>
                    </w:rPr>
                    <w:t>经厂区污水处理站处理后</w:t>
                  </w:r>
                  <w:r>
                    <w:t>和</w:t>
                  </w:r>
                  <w:r>
                    <w:rPr>
                      <w:rFonts w:hint="eastAsia"/>
                      <w:lang w:val="en-US" w:eastAsia="zh-CN"/>
                    </w:rPr>
                    <w:t>经化粪池处理后的</w:t>
                  </w:r>
                  <w:r>
                    <w:rPr>
                      <w:rFonts w:hint="eastAsia"/>
                    </w:rPr>
                    <w:t>生活污水</w:t>
                  </w:r>
                  <w:r>
                    <w:rPr>
                      <w:rFonts w:hint="eastAsia"/>
                      <w:lang w:val="en-US" w:eastAsia="zh-CN"/>
                    </w:rPr>
                    <w:t>一起</w:t>
                  </w:r>
                  <w:r>
                    <w:t>进入</w:t>
                  </w:r>
                  <w:r>
                    <w:rPr>
                      <w:rFonts w:hint="eastAsia"/>
                    </w:rPr>
                    <w:t>园区</w:t>
                  </w:r>
                  <w:r>
                    <w:t>污水管网</w:t>
                  </w:r>
                </w:p>
              </w:tc>
              <w:tc>
                <w:tcPr>
                  <w:tcW w:w="322" w:type="pct"/>
                  <w:vAlign w:val="center"/>
                </w:tcPr>
                <w:p w14:paraId="3C69D0ED">
                  <w:pPr>
                    <w:pStyle w:val="257"/>
                  </w:pPr>
                  <w:r>
                    <w:rPr>
                      <w:rFonts w:hint="eastAsia"/>
                    </w:rPr>
                    <w:t>相符</w:t>
                  </w:r>
                </w:p>
              </w:tc>
            </w:tr>
            <w:tr w14:paraId="2047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41" w:type="pct"/>
                  <w:vAlign w:val="center"/>
                </w:tcPr>
                <w:p w14:paraId="730AEFB7">
                  <w:pPr>
                    <w:pStyle w:val="257"/>
                  </w:pPr>
                  <w:r>
                    <w:rPr>
                      <w:rFonts w:hint="eastAsia"/>
                      <w:lang w:val="en-US" w:eastAsia="zh-CN"/>
                    </w:rPr>
                    <w:t>12.</w:t>
                  </w:r>
                  <w:r>
                    <w:rPr>
                      <w:lang w:val="en-US" w:eastAsia="zh-CN"/>
                    </w:rPr>
                    <w:t>强化重点河流生态流量保障。</w:t>
                  </w:r>
                </w:p>
              </w:tc>
              <w:tc>
                <w:tcPr>
                  <w:tcW w:w="3032" w:type="pct"/>
                  <w:vAlign w:val="center"/>
                </w:tcPr>
                <w:p w14:paraId="47E088A0">
                  <w:pPr>
                    <w:pStyle w:val="257"/>
                  </w:pPr>
                  <w:r>
                    <w:rPr>
                      <w:lang w:val="en-US" w:eastAsia="zh-CN"/>
                    </w:rPr>
                    <w:t xml:space="preserve">严格生态流量保障目标管控，对纳入国家、省美丽河湖建设清单的安阳河、汤河按照上级下达的生态流量保障目标，确保生态流量考核断面目标保证率达到 90%以上，配合开展卫河、金堤河、淇河、淅河、浊漳河生态 </w:t>
                  </w:r>
                </w:p>
                <w:p w14:paraId="32A02A77">
                  <w:pPr>
                    <w:pStyle w:val="257"/>
                  </w:pPr>
                  <w:r>
                    <w:rPr>
                      <w:lang w:val="en-US" w:eastAsia="zh-CN"/>
                    </w:rPr>
                    <w:t>流量目标保障工作，促进水环境质量持续提升和美丽河湖创建。</w:t>
                  </w:r>
                </w:p>
              </w:tc>
              <w:tc>
                <w:tcPr>
                  <w:tcW w:w="902" w:type="pct"/>
                  <w:vAlign w:val="center"/>
                </w:tcPr>
                <w:p w14:paraId="4DAB9495">
                  <w:pPr>
                    <w:pStyle w:val="257"/>
                    <w:rPr>
                      <w:rFonts w:hint="default" w:eastAsia="宋体"/>
                      <w:lang w:val="en-US" w:eastAsia="zh-CN"/>
                    </w:rPr>
                  </w:pPr>
                  <w:r>
                    <w:rPr>
                      <w:rFonts w:hint="eastAsia"/>
                    </w:rPr>
                    <w:t>本项目</w:t>
                  </w:r>
                  <w:r>
                    <w:rPr>
                      <w:rFonts w:hint="eastAsia"/>
                      <w:lang w:val="en-US" w:eastAsia="zh-CN"/>
                    </w:rPr>
                    <w:t>废水经处理后可达标排放，不会对汤河生态流量造成影响。</w:t>
                  </w:r>
                </w:p>
              </w:tc>
              <w:tc>
                <w:tcPr>
                  <w:tcW w:w="322" w:type="pct"/>
                  <w:vAlign w:val="center"/>
                </w:tcPr>
                <w:p w14:paraId="5BA83490">
                  <w:pPr>
                    <w:pStyle w:val="257"/>
                  </w:pPr>
                  <w:r>
                    <w:rPr>
                      <w:rFonts w:hint="eastAsia"/>
                    </w:rPr>
                    <w:t>相符</w:t>
                  </w:r>
                </w:p>
              </w:tc>
            </w:tr>
            <w:tr w14:paraId="4C0E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000" w:type="pct"/>
                  <w:gridSpan w:val="4"/>
                  <w:vAlign w:val="center"/>
                </w:tcPr>
                <w:p w14:paraId="4E72655A">
                  <w:pPr>
                    <w:pStyle w:val="257"/>
                  </w:pPr>
                  <w:r>
                    <w:rPr>
                      <w:rFonts w:hint="eastAsia"/>
                    </w:rPr>
                    <w:t>《安阳市202</w:t>
                  </w:r>
                  <w:r>
                    <w:rPr>
                      <w:rFonts w:hint="eastAsia"/>
                      <w:lang w:val="en-US" w:eastAsia="zh-CN"/>
                    </w:rPr>
                    <w:t>6</w:t>
                  </w:r>
                  <w:r>
                    <w:rPr>
                      <w:rFonts w:hint="eastAsia"/>
                    </w:rPr>
                    <w:t>年净土保卫战实施方案》</w:t>
                  </w:r>
                </w:p>
              </w:tc>
            </w:tr>
            <w:tr w14:paraId="2AE4A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41" w:type="pct"/>
                  <w:vAlign w:val="center"/>
                </w:tcPr>
                <w:p w14:paraId="642F5AD2">
                  <w:pPr>
                    <w:pStyle w:val="257"/>
                  </w:pPr>
                  <w:r>
                    <w:rPr>
                      <w:rFonts w:hint="eastAsia"/>
                      <w:lang w:val="en-US" w:eastAsia="zh-CN"/>
                    </w:rPr>
                    <w:t>4.</w:t>
                  </w:r>
                  <w:r>
                    <w:rPr>
                      <w:lang w:val="en-US" w:eastAsia="zh-CN"/>
                    </w:rPr>
                    <w:t>严格建设用地准入管理。</w:t>
                  </w:r>
                </w:p>
              </w:tc>
              <w:tc>
                <w:tcPr>
                  <w:tcW w:w="3032" w:type="pct"/>
                  <w:vAlign w:val="center"/>
                </w:tcPr>
                <w:p w14:paraId="41A3FD7D">
                  <w:pPr>
                    <w:pStyle w:val="257"/>
                  </w:pPr>
                  <w:r>
                    <w:rPr>
                      <w:lang w:val="en-US" w:eastAsia="zh-CN"/>
                    </w:rPr>
                    <w:t>强化对土地用途变更、收储、供应、使用权变更等环节的监管，依法应当开展土壤污染状况调查的地块须在土地储备入库前完成调查，将调查结果作为土地供应的必备要件</w:t>
                  </w:r>
                  <w:r>
                    <w:rPr>
                      <w:rFonts w:hint="eastAsia"/>
                      <w:lang w:val="en-US" w:eastAsia="zh-CN"/>
                    </w:rPr>
                    <w:t>。</w:t>
                  </w:r>
                </w:p>
              </w:tc>
              <w:tc>
                <w:tcPr>
                  <w:tcW w:w="902" w:type="pct"/>
                  <w:vAlign w:val="center"/>
                </w:tcPr>
                <w:p w14:paraId="2F87C79A">
                  <w:pPr>
                    <w:pStyle w:val="257"/>
                    <w:rPr>
                      <w:rFonts w:hint="default"/>
                      <w:lang w:val="en-US"/>
                    </w:rPr>
                  </w:pPr>
                  <w:r>
                    <w:rPr>
                      <w:rFonts w:hint="eastAsia"/>
                    </w:rPr>
                    <w:t>本项目</w:t>
                  </w:r>
                  <w:r>
                    <w:rPr>
                      <w:rFonts w:hint="eastAsia"/>
                      <w:lang w:val="en-US" w:eastAsia="zh-CN"/>
                    </w:rPr>
                    <w:t>用地土地性质为工业用地</w:t>
                  </w:r>
                </w:p>
              </w:tc>
              <w:tc>
                <w:tcPr>
                  <w:tcW w:w="322" w:type="pct"/>
                  <w:vAlign w:val="center"/>
                </w:tcPr>
                <w:p w14:paraId="1D36AEB3">
                  <w:pPr>
                    <w:pStyle w:val="257"/>
                  </w:pPr>
                  <w:r>
                    <w:rPr>
                      <w:rFonts w:hint="eastAsia"/>
                    </w:rPr>
                    <w:t>相符</w:t>
                  </w:r>
                </w:p>
              </w:tc>
            </w:tr>
            <w:tr w14:paraId="5AE4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000" w:type="pct"/>
                  <w:gridSpan w:val="4"/>
                  <w:vAlign w:val="center"/>
                </w:tcPr>
                <w:p w14:paraId="1B94812E">
                  <w:pPr>
                    <w:pStyle w:val="257"/>
                  </w:pPr>
                  <w:r>
                    <w:rPr>
                      <w:rFonts w:hint="eastAsia"/>
                    </w:rPr>
                    <w:t>《安阳市202</w:t>
                  </w:r>
                  <w:r>
                    <w:rPr>
                      <w:rFonts w:hint="eastAsia"/>
                      <w:lang w:val="en-US" w:eastAsia="zh-CN"/>
                    </w:rPr>
                    <w:t>6</w:t>
                  </w:r>
                  <w:r>
                    <w:rPr>
                      <w:rFonts w:hint="eastAsia"/>
                    </w:rPr>
                    <w:t>年柴油货车污染治理攻坚战实施方案》</w:t>
                  </w:r>
                </w:p>
              </w:tc>
            </w:tr>
            <w:tr w14:paraId="51EA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41" w:type="pct"/>
                  <w:vAlign w:val="center"/>
                </w:tcPr>
                <w:p w14:paraId="7D7A5A80">
                  <w:pPr>
                    <w:pStyle w:val="257"/>
                  </w:pPr>
                  <w:r>
                    <w:rPr>
                      <w:rFonts w:hint="eastAsia"/>
                      <w:lang w:val="en-US" w:eastAsia="zh-CN"/>
                    </w:rPr>
                    <w:t>17.</w:t>
                  </w:r>
                  <w:r>
                    <w:rPr>
                      <w:lang w:val="en-US" w:eastAsia="zh-CN"/>
                    </w:rPr>
                    <w:t>强化门禁系统监管</w:t>
                  </w:r>
                </w:p>
              </w:tc>
              <w:tc>
                <w:tcPr>
                  <w:tcW w:w="3032" w:type="pct"/>
                  <w:vAlign w:val="center"/>
                </w:tcPr>
                <w:p w14:paraId="72D685F7">
                  <w:pPr>
                    <w:pStyle w:val="257"/>
                  </w:pPr>
                  <w:r>
                    <w:rPr>
                      <w:rFonts w:hint="eastAsia"/>
                      <w:lang w:val="en-US" w:eastAsia="zh-CN"/>
                    </w:rPr>
                    <w:t>持续推动门禁及视频监控系统建设联网，年度日均载货车辆进出 20 辆次及日运输量 150 吨以上的用车单位，以及环境绩效A 级、B级、绩效引领企业做到应装尽装、应联尽联。规范门禁系统管理，完善运输车辆、厂内车辆及非道路移动机械电子台账，严查长期抬杆、违规手工抬杆、旁门豁口、异常离线等行为；对不规范使用门禁、达不到运输监管要求的绩效企业，实施动态管理。</w:t>
                  </w:r>
                </w:p>
              </w:tc>
              <w:tc>
                <w:tcPr>
                  <w:tcW w:w="902" w:type="pct"/>
                  <w:vAlign w:val="center"/>
                </w:tcPr>
                <w:p w14:paraId="7AD6BCDB">
                  <w:pPr>
                    <w:pStyle w:val="257"/>
                    <w:rPr>
                      <w:rFonts w:hint="default" w:eastAsia="宋体"/>
                      <w:lang w:val="en-US" w:eastAsia="zh-CN"/>
                    </w:rPr>
                  </w:pPr>
                  <w:r>
                    <w:rPr>
                      <w:rFonts w:hint="eastAsia"/>
                    </w:rPr>
                    <w:t>本项目</w:t>
                  </w:r>
                  <w:r>
                    <w:rPr>
                      <w:rFonts w:hint="eastAsia"/>
                      <w:lang w:val="en-US" w:eastAsia="zh-CN"/>
                    </w:rPr>
                    <w:t>参照A级企业标准建设。</w:t>
                  </w:r>
                </w:p>
              </w:tc>
              <w:tc>
                <w:tcPr>
                  <w:tcW w:w="322" w:type="pct"/>
                  <w:vAlign w:val="center"/>
                </w:tcPr>
                <w:p w14:paraId="10514BC9">
                  <w:pPr>
                    <w:pStyle w:val="257"/>
                  </w:pPr>
                  <w:r>
                    <w:rPr>
                      <w:rFonts w:hint="eastAsia"/>
                    </w:rPr>
                    <w:t>相符</w:t>
                  </w:r>
                </w:p>
              </w:tc>
            </w:tr>
          </w:tbl>
          <w:p w14:paraId="15A01469">
            <w:pPr>
              <w:pStyle w:val="144"/>
            </w:pPr>
            <w:r>
              <w:rPr>
                <w:rFonts w:hint="eastAsia"/>
              </w:rPr>
              <w:t>由上表可知，本项目符合</w:t>
            </w:r>
            <w:r>
              <w:t>“</w:t>
            </w:r>
            <w:r>
              <w:rPr>
                <w:rFonts w:hint="eastAsia"/>
              </w:rPr>
              <w:t>安环委〔202</w:t>
            </w:r>
            <w:r>
              <w:rPr>
                <w:rFonts w:hint="eastAsia"/>
                <w:lang w:val="en-US" w:eastAsia="zh-CN"/>
              </w:rPr>
              <w:t>6</w:t>
            </w:r>
            <w:r>
              <w:rPr>
                <w:rFonts w:hint="eastAsia"/>
              </w:rPr>
              <w:t>〕</w:t>
            </w:r>
            <w:r>
              <w:rPr>
                <w:rFonts w:hint="eastAsia"/>
                <w:lang w:val="en-US" w:eastAsia="zh-CN"/>
              </w:rPr>
              <w:t>1</w:t>
            </w:r>
            <w:r>
              <w:rPr>
                <w:rFonts w:hint="eastAsia"/>
              </w:rPr>
              <w:t>号</w:t>
            </w:r>
            <w:r>
              <w:t>”</w:t>
            </w:r>
            <w:r>
              <w:rPr>
                <w:rFonts w:hint="eastAsia"/>
              </w:rPr>
              <w:t>文件相关要求。</w:t>
            </w:r>
          </w:p>
          <w:p w14:paraId="79549CEA">
            <w:pPr>
              <w:pStyle w:val="261"/>
              <w:ind w:firstLine="240"/>
            </w:pPr>
            <w:r>
              <w:rPr>
                <w:rFonts w:hint="eastAsia"/>
              </w:rPr>
              <w:t>5.</w:t>
            </w:r>
            <w:r>
              <w:t>2</w:t>
            </w:r>
            <w:r>
              <w:rPr>
                <w:rFonts w:hint="eastAsia"/>
              </w:rPr>
              <w:t>绩效分级对标</w:t>
            </w:r>
          </w:p>
          <w:p w14:paraId="667BE815">
            <w:pPr>
              <w:pStyle w:val="100"/>
              <w:rPr>
                <w:color w:val="000000"/>
              </w:rPr>
            </w:pPr>
            <w:r>
              <w:rPr>
                <w:rFonts w:hint="eastAsia"/>
              </w:rPr>
              <w:t>本项目</w:t>
            </w:r>
            <w:r>
              <w:rPr>
                <w:rFonts w:hint="eastAsia"/>
                <w:color w:val="000000"/>
              </w:rPr>
              <w:t>参照《河南省重污染天气通用行业应急减排措施制定技术指南（</w:t>
            </w:r>
            <w:r>
              <w:rPr>
                <w:color w:val="000000"/>
              </w:rPr>
              <w:t>202</w:t>
            </w:r>
            <w:r>
              <w:rPr>
                <w:rFonts w:hint="eastAsia"/>
                <w:color w:val="000000"/>
              </w:rPr>
              <w:t>4年修订版）》中通用行业</w:t>
            </w:r>
            <w:r>
              <w:rPr>
                <w:color w:val="000000"/>
              </w:rPr>
              <w:t>—</w:t>
            </w:r>
            <w:r>
              <w:rPr>
                <w:rStyle w:val="254"/>
                <w:rFonts w:hint="eastAsia"/>
              </w:rPr>
              <w:t>涉</w:t>
            </w:r>
            <w:r>
              <w:rPr>
                <w:rStyle w:val="254"/>
                <w:rFonts w:hint="eastAsia"/>
                <w:lang w:val="en-US" w:eastAsia="zh-CN"/>
              </w:rPr>
              <w:t>锅炉/炉窑</w:t>
            </w:r>
            <w:r>
              <w:rPr>
                <w:rStyle w:val="254"/>
                <w:rFonts w:hint="eastAsia"/>
              </w:rPr>
              <w:t>排放差异化管控要求</w:t>
            </w:r>
            <w:r>
              <w:rPr>
                <w:rFonts w:hint="eastAsia"/>
                <w:color w:val="000000"/>
              </w:rPr>
              <w:t>进行对比分析如下</w:t>
            </w:r>
            <w:r>
              <w:rPr>
                <w:color w:val="000000"/>
              </w:rPr>
              <w:t>：</w:t>
            </w:r>
          </w:p>
          <w:p w14:paraId="01AE17EE">
            <w:pPr>
              <w:pStyle w:val="56"/>
              <w:keepNext w:val="0"/>
              <w:keepLines w:val="0"/>
              <w:pageBreakBefore w:val="0"/>
              <w:widowControl w:val="0"/>
              <w:kinsoku/>
              <w:wordWrap/>
              <w:overflowPunct/>
              <w:topLinePunct w:val="0"/>
              <w:autoSpaceDE w:val="0"/>
              <w:autoSpaceDN w:val="0"/>
              <w:bidi w:val="0"/>
              <w:adjustRightInd w:val="0"/>
              <w:snapToGrid w:val="0"/>
              <w:spacing w:before="120"/>
              <w:ind w:left="630" w:leftChars="0" w:firstLineChars="0"/>
              <w:jc w:val="center"/>
              <w:textAlignment w:val="auto"/>
            </w:pPr>
            <w:r>
              <w:rPr>
                <w:rFonts w:hint="eastAsia"/>
              </w:rPr>
              <w:t>通用行业-基本要求及其他基本要求对比分析</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4433"/>
              <w:gridCol w:w="2100"/>
              <w:gridCol w:w="680"/>
            </w:tblGrid>
            <w:tr w14:paraId="1B9B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tcBorders>
                    <w:top w:val="single" w:color="auto" w:sz="4" w:space="0"/>
                    <w:left w:val="single" w:color="auto" w:sz="4" w:space="0"/>
                    <w:bottom w:val="single" w:color="auto" w:sz="4" w:space="0"/>
                    <w:right w:val="single" w:color="auto" w:sz="4" w:space="0"/>
                  </w:tcBorders>
                  <w:noWrap w:val="0"/>
                  <w:vAlign w:val="center"/>
                </w:tcPr>
                <w:p w14:paraId="084CCF3C">
                  <w:pPr>
                    <w:adjustRightInd w:val="0"/>
                    <w:snapToGrid w:val="0"/>
                    <w:jc w:val="center"/>
                    <w:rPr>
                      <w:szCs w:val="21"/>
                    </w:rPr>
                  </w:pPr>
                  <w:r>
                    <w:rPr>
                      <w:rFonts w:hint="eastAsia" w:ascii="Times New Roman" w:hAnsi="Times New Roman" w:cs="宋体"/>
                      <w:szCs w:val="21"/>
                      <w:lang w:bidi="ar"/>
                    </w:rPr>
                    <w:t>差异化指标</w:t>
                  </w:r>
                </w:p>
              </w:tc>
              <w:tc>
                <w:tcPr>
                  <w:tcW w:w="4433" w:type="dxa"/>
                  <w:tcBorders>
                    <w:top w:val="single" w:color="auto" w:sz="4" w:space="0"/>
                    <w:left w:val="single" w:color="auto" w:sz="4" w:space="0"/>
                    <w:bottom w:val="single" w:color="auto" w:sz="4" w:space="0"/>
                    <w:right w:val="single" w:color="auto" w:sz="4" w:space="0"/>
                  </w:tcBorders>
                  <w:noWrap w:val="0"/>
                  <w:vAlign w:val="center"/>
                </w:tcPr>
                <w:p w14:paraId="0FD95BDD">
                  <w:pPr>
                    <w:adjustRightInd w:val="0"/>
                    <w:snapToGrid w:val="0"/>
                    <w:jc w:val="center"/>
                    <w:rPr>
                      <w:szCs w:val="21"/>
                    </w:rPr>
                  </w:pPr>
                  <w:r>
                    <w:rPr>
                      <w:rFonts w:ascii="Times New Roman" w:hAnsi="Times New Roman"/>
                      <w:szCs w:val="21"/>
                      <w:lang w:bidi="ar"/>
                    </w:rPr>
                    <w:t>A</w:t>
                  </w:r>
                  <w:r>
                    <w:rPr>
                      <w:rFonts w:hint="eastAsia" w:ascii="Times New Roman" w:hAnsi="Times New Roman" w:cs="宋体"/>
                      <w:szCs w:val="21"/>
                      <w:lang w:bidi="ar"/>
                    </w:rPr>
                    <w:t>级企业</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5B8DBC5E">
                  <w:pPr>
                    <w:adjustRightInd w:val="0"/>
                    <w:snapToGrid w:val="0"/>
                    <w:jc w:val="center"/>
                    <w:rPr>
                      <w:szCs w:val="21"/>
                    </w:rPr>
                  </w:pPr>
                  <w:r>
                    <w:rPr>
                      <w:rFonts w:hint="eastAsia" w:ascii="Times New Roman" w:hAnsi="Times New Roman" w:cs="宋体"/>
                      <w:szCs w:val="21"/>
                      <w:lang w:bidi="ar"/>
                    </w:rPr>
                    <w:t>本企业</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4AE6AC4C">
                  <w:pPr>
                    <w:adjustRightInd w:val="0"/>
                    <w:snapToGrid w:val="0"/>
                    <w:jc w:val="center"/>
                    <w:rPr>
                      <w:rFonts w:hint="eastAsia" w:ascii="Times New Roman" w:hAnsi="Times New Roman" w:eastAsia="宋体" w:cs="宋体"/>
                      <w:szCs w:val="21"/>
                      <w:lang w:val="en-US" w:eastAsia="zh-CN" w:bidi="ar"/>
                    </w:rPr>
                  </w:pPr>
                  <w:r>
                    <w:rPr>
                      <w:rFonts w:hint="eastAsia" w:ascii="Times New Roman" w:hAnsi="Times New Roman" w:cs="宋体"/>
                      <w:szCs w:val="21"/>
                      <w:lang w:val="en-US" w:eastAsia="zh-CN" w:bidi="ar"/>
                    </w:rPr>
                    <w:t>相符性</w:t>
                  </w:r>
                </w:p>
              </w:tc>
            </w:tr>
            <w:tr w14:paraId="2817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tcBorders>
                    <w:top w:val="single" w:color="auto" w:sz="4" w:space="0"/>
                    <w:left w:val="single" w:color="auto" w:sz="4" w:space="0"/>
                    <w:bottom w:val="single" w:color="auto" w:sz="4" w:space="0"/>
                    <w:right w:val="single" w:color="auto" w:sz="4" w:space="0"/>
                  </w:tcBorders>
                  <w:noWrap w:val="0"/>
                  <w:vAlign w:val="center"/>
                </w:tcPr>
                <w:p w14:paraId="1993003C">
                  <w:pPr>
                    <w:adjustRightInd w:val="0"/>
                    <w:snapToGrid w:val="0"/>
                    <w:jc w:val="center"/>
                    <w:rPr>
                      <w:szCs w:val="21"/>
                    </w:rPr>
                  </w:pPr>
                  <w:r>
                    <w:rPr>
                      <w:rFonts w:hint="eastAsia" w:ascii="Times New Roman" w:hAnsi="Times New Roman" w:cs="宋体"/>
                      <w:szCs w:val="21"/>
                      <w:lang w:bidi="ar"/>
                    </w:rPr>
                    <w:t>能源类型</w:t>
                  </w:r>
                </w:p>
              </w:tc>
              <w:tc>
                <w:tcPr>
                  <w:tcW w:w="4433" w:type="dxa"/>
                  <w:tcBorders>
                    <w:top w:val="single" w:color="auto" w:sz="4" w:space="0"/>
                    <w:left w:val="single" w:color="auto" w:sz="4" w:space="0"/>
                    <w:bottom w:val="single" w:color="auto" w:sz="4" w:space="0"/>
                    <w:right w:val="single" w:color="auto" w:sz="4" w:space="0"/>
                  </w:tcBorders>
                  <w:noWrap w:val="0"/>
                  <w:vAlign w:val="center"/>
                </w:tcPr>
                <w:p w14:paraId="22249480">
                  <w:pPr>
                    <w:adjustRightInd w:val="0"/>
                    <w:snapToGrid w:val="0"/>
                    <w:jc w:val="center"/>
                    <w:rPr>
                      <w:szCs w:val="21"/>
                    </w:rPr>
                  </w:pPr>
                  <w:r>
                    <w:rPr>
                      <w:rFonts w:hint="eastAsia" w:ascii="Times New Roman" w:hAnsi="Times New Roman" w:cs="宋体"/>
                      <w:szCs w:val="21"/>
                      <w:lang w:bidi="ar"/>
                    </w:rPr>
                    <w:t>以电、天然气为能源</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5D09B74D">
                  <w:pPr>
                    <w:adjustRightInd w:val="0"/>
                    <w:snapToGrid w:val="0"/>
                    <w:jc w:val="center"/>
                    <w:rPr>
                      <w:szCs w:val="21"/>
                    </w:rPr>
                  </w:pPr>
                  <w:r>
                    <w:rPr>
                      <w:rFonts w:hint="eastAsia" w:ascii="Times New Roman" w:hAnsi="Times New Roman" w:cs="宋体"/>
                      <w:szCs w:val="21"/>
                      <w:lang w:bidi="ar"/>
                    </w:rPr>
                    <w:t>本项目使用天然气</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65AC6628">
                  <w:pPr>
                    <w:adjustRightInd w:val="0"/>
                    <w:snapToGrid w:val="0"/>
                    <w:jc w:val="center"/>
                    <w:rPr>
                      <w:rFonts w:hint="default" w:ascii="Times New Roman" w:hAnsi="Times New Roman" w:eastAsia="宋体" w:cs="宋体"/>
                      <w:szCs w:val="21"/>
                      <w:lang w:val="en-US" w:eastAsia="zh-CN" w:bidi="ar"/>
                    </w:rPr>
                  </w:pPr>
                  <w:r>
                    <w:rPr>
                      <w:rFonts w:hint="eastAsia" w:ascii="Times New Roman" w:hAnsi="Times New Roman" w:cs="宋体"/>
                      <w:szCs w:val="21"/>
                      <w:lang w:val="en-US" w:eastAsia="zh-CN" w:bidi="ar"/>
                    </w:rPr>
                    <w:t>符合</w:t>
                  </w:r>
                </w:p>
              </w:tc>
            </w:tr>
            <w:tr w14:paraId="41AC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tcBorders>
                    <w:top w:val="single" w:color="auto" w:sz="4" w:space="0"/>
                    <w:left w:val="single" w:color="auto" w:sz="4" w:space="0"/>
                    <w:bottom w:val="single" w:color="auto" w:sz="4" w:space="0"/>
                    <w:right w:val="single" w:color="auto" w:sz="4" w:space="0"/>
                  </w:tcBorders>
                  <w:noWrap w:val="0"/>
                  <w:vAlign w:val="center"/>
                </w:tcPr>
                <w:p w14:paraId="7751231D">
                  <w:pPr>
                    <w:adjustRightInd w:val="0"/>
                    <w:snapToGrid w:val="0"/>
                    <w:jc w:val="center"/>
                    <w:rPr>
                      <w:szCs w:val="21"/>
                    </w:rPr>
                  </w:pPr>
                  <w:r>
                    <w:rPr>
                      <w:rFonts w:hint="eastAsia" w:ascii="Times New Roman" w:hAnsi="Times New Roman" w:cs="宋体"/>
                      <w:szCs w:val="21"/>
                      <w:lang w:bidi="ar"/>
                    </w:rPr>
                    <w:t>生产工艺</w:t>
                  </w:r>
                </w:p>
              </w:tc>
              <w:tc>
                <w:tcPr>
                  <w:tcW w:w="4433" w:type="dxa"/>
                  <w:tcBorders>
                    <w:top w:val="single" w:color="auto" w:sz="4" w:space="0"/>
                    <w:left w:val="single" w:color="auto" w:sz="4" w:space="0"/>
                    <w:bottom w:val="single" w:color="auto" w:sz="4" w:space="0"/>
                    <w:right w:val="single" w:color="auto" w:sz="4" w:space="0"/>
                  </w:tcBorders>
                  <w:noWrap w:val="0"/>
                  <w:vAlign w:val="center"/>
                </w:tcPr>
                <w:p w14:paraId="3EFC87D7">
                  <w:pPr>
                    <w:adjustRightInd w:val="0"/>
                    <w:snapToGrid w:val="0"/>
                    <w:jc w:val="center"/>
                    <w:rPr>
                      <w:szCs w:val="21"/>
                    </w:rPr>
                  </w:pPr>
                  <w:r>
                    <w:rPr>
                      <w:rFonts w:ascii="Times New Roman" w:hAnsi="Times New Roman"/>
                      <w:szCs w:val="21"/>
                      <w:lang w:bidi="ar"/>
                    </w:rPr>
                    <w:t>1</w:t>
                  </w:r>
                  <w:r>
                    <w:rPr>
                      <w:rFonts w:hint="eastAsia" w:ascii="Times New Roman" w:hAnsi="Times New Roman" w:cs="宋体"/>
                      <w:szCs w:val="21"/>
                      <w:lang w:bidi="ar"/>
                    </w:rPr>
                    <w:t>属于《产业结构调整指导目录（</w:t>
                  </w:r>
                  <w:r>
                    <w:rPr>
                      <w:rFonts w:ascii="Times New Roman" w:hAnsi="Times New Roman"/>
                      <w:szCs w:val="21"/>
                      <w:lang w:bidi="ar"/>
                    </w:rPr>
                    <w:t>20</w:t>
                  </w:r>
                  <w:r>
                    <w:rPr>
                      <w:rFonts w:hint="eastAsia"/>
                      <w:szCs w:val="21"/>
                      <w:lang w:val="en-US" w:eastAsia="zh-CN" w:bidi="ar"/>
                    </w:rPr>
                    <w:t>24</w:t>
                  </w:r>
                  <w:r>
                    <w:rPr>
                      <w:rFonts w:hint="eastAsia" w:ascii="Times New Roman" w:hAnsi="Times New Roman" w:cs="宋体"/>
                      <w:szCs w:val="21"/>
                      <w:lang w:bidi="ar"/>
                    </w:rPr>
                    <w:t>年版）》鼓励类和允许类；</w:t>
                  </w:r>
                  <w:r>
                    <w:rPr>
                      <w:rFonts w:ascii="Times New Roman" w:hAnsi="Times New Roman"/>
                      <w:szCs w:val="21"/>
                      <w:lang w:bidi="ar"/>
                    </w:rPr>
                    <w:t>2</w:t>
                  </w:r>
                  <w:r>
                    <w:rPr>
                      <w:rFonts w:hint="eastAsia" w:ascii="Times New Roman" w:hAnsi="Times New Roman" w:cs="宋体"/>
                      <w:szCs w:val="21"/>
                      <w:lang w:bidi="ar"/>
                    </w:rPr>
                    <w:t>符合相关行业产业政策；</w:t>
                  </w:r>
                  <w:r>
                    <w:rPr>
                      <w:rFonts w:ascii="Times New Roman" w:hAnsi="Times New Roman"/>
                      <w:szCs w:val="21"/>
                      <w:lang w:bidi="ar"/>
                    </w:rPr>
                    <w:t>3</w:t>
                  </w:r>
                  <w:r>
                    <w:rPr>
                      <w:rFonts w:hint="eastAsia" w:ascii="Times New Roman" w:hAnsi="Times New Roman" w:cs="宋体"/>
                      <w:szCs w:val="21"/>
                      <w:lang w:bidi="ar"/>
                    </w:rPr>
                    <w:t>符合河南省相关政策要求；</w:t>
                  </w:r>
                  <w:r>
                    <w:rPr>
                      <w:rFonts w:ascii="Times New Roman" w:hAnsi="Times New Roman"/>
                      <w:szCs w:val="21"/>
                      <w:lang w:bidi="ar"/>
                    </w:rPr>
                    <w:t>4</w:t>
                  </w:r>
                  <w:r>
                    <w:rPr>
                      <w:rFonts w:hint="eastAsia" w:ascii="Times New Roman" w:hAnsi="Times New Roman" w:cs="宋体"/>
                      <w:szCs w:val="21"/>
                      <w:lang w:bidi="ar"/>
                    </w:rPr>
                    <w:t>符合市级规划</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726F8DD5">
                  <w:pPr>
                    <w:adjustRightInd w:val="0"/>
                    <w:snapToGrid w:val="0"/>
                    <w:jc w:val="center"/>
                    <w:rPr>
                      <w:szCs w:val="21"/>
                    </w:rPr>
                  </w:pPr>
                  <w:r>
                    <w:rPr>
                      <w:szCs w:val="21"/>
                    </w:rPr>
                    <w:t>本项目属于</w:t>
                  </w:r>
                  <w:r>
                    <w:rPr>
                      <w:rFonts w:hint="eastAsia"/>
                      <w:szCs w:val="21"/>
                      <w:lang w:val="en-US" w:eastAsia="zh-CN"/>
                    </w:rPr>
                    <w:t>允许类</w:t>
                  </w:r>
                  <w:r>
                    <w:rPr>
                      <w:szCs w:val="21"/>
                    </w:rPr>
                    <w:t>项目，满足相关政策要求，并且符合</w:t>
                  </w:r>
                  <w:r>
                    <w:rPr>
                      <w:rFonts w:hint="eastAsia"/>
                      <w:szCs w:val="21"/>
                      <w:lang w:val="en-US" w:eastAsia="zh-CN"/>
                    </w:rPr>
                    <w:t>汤阴县新型材料产业园区规划</w:t>
                  </w:r>
                  <w:r>
                    <w:rPr>
                      <w:szCs w:val="21"/>
                    </w:rPr>
                    <w:t>。</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4190B73">
                  <w:pPr>
                    <w:adjustRightInd w:val="0"/>
                    <w:snapToGrid w:val="0"/>
                    <w:jc w:val="center"/>
                    <w:rPr>
                      <w:rFonts w:hint="eastAsia" w:eastAsia="宋体"/>
                      <w:szCs w:val="21"/>
                      <w:lang w:val="en-US" w:eastAsia="zh-CN"/>
                    </w:rPr>
                  </w:pPr>
                  <w:r>
                    <w:rPr>
                      <w:rFonts w:hint="eastAsia"/>
                      <w:szCs w:val="21"/>
                      <w:lang w:val="en-US" w:eastAsia="zh-CN"/>
                    </w:rPr>
                    <w:t>符合</w:t>
                  </w:r>
                </w:p>
              </w:tc>
            </w:tr>
            <w:tr w14:paraId="2A00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tcBorders>
                    <w:top w:val="single" w:color="auto" w:sz="4" w:space="0"/>
                    <w:left w:val="single" w:color="auto" w:sz="4" w:space="0"/>
                    <w:bottom w:val="single" w:color="auto" w:sz="4" w:space="0"/>
                    <w:right w:val="single" w:color="auto" w:sz="4" w:space="0"/>
                  </w:tcBorders>
                  <w:noWrap w:val="0"/>
                  <w:vAlign w:val="center"/>
                </w:tcPr>
                <w:p w14:paraId="5CC08F0C">
                  <w:pPr>
                    <w:adjustRightInd w:val="0"/>
                    <w:snapToGrid w:val="0"/>
                    <w:jc w:val="center"/>
                    <w:rPr>
                      <w:szCs w:val="21"/>
                    </w:rPr>
                  </w:pPr>
                  <w:r>
                    <w:rPr>
                      <w:rFonts w:hint="eastAsia" w:ascii="Times New Roman" w:hAnsi="Times New Roman" w:cs="宋体"/>
                      <w:szCs w:val="21"/>
                      <w:lang w:bidi="ar"/>
                    </w:rPr>
                    <w:t>污染治理技术</w:t>
                  </w:r>
                </w:p>
              </w:tc>
              <w:tc>
                <w:tcPr>
                  <w:tcW w:w="4433" w:type="dxa"/>
                  <w:tcBorders>
                    <w:top w:val="single" w:color="auto" w:sz="4" w:space="0"/>
                    <w:left w:val="single" w:color="auto" w:sz="4" w:space="0"/>
                    <w:bottom w:val="single" w:color="auto" w:sz="4" w:space="0"/>
                    <w:right w:val="single" w:color="auto" w:sz="4" w:space="0"/>
                  </w:tcBorders>
                  <w:noWrap w:val="0"/>
                  <w:vAlign w:val="center"/>
                </w:tcPr>
                <w:p w14:paraId="5C001044">
                  <w:pPr>
                    <w:numPr>
                      <w:ilvl w:val="0"/>
                      <w:numId w:val="0"/>
                    </w:numPr>
                    <w:adjustRightInd w:val="0"/>
                    <w:snapToGrid w:val="0"/>
                    <w:rPr>
                      <w:rFonts w:hint="eastAsia" w:ascii="Times New Roman" w:hAnsi="Times New Roman"/>
                      <w:szCs w:val="21"/>
                      <w:lang w:bidi="ar"/>
                    </w:rPr>
                  </w:pPr>
                  <w:r>
                    <w:rPr>
                      <w:rFonts w:hint="eastAsia"/>
                      <w:szCs w:val="21"/>
                      <w:lang w:val="en-US" w:eastAsia="zh-CN" w:bidi="ar"/>
                    </w:rPr>
                    <w:t>2</w:t>
                  </w:r>
                  <w:r>
                    <w:rPr>
                      <w:rFonts w:hint="eastAsia" w:ascii="Times New Roman" w:hAnsi="Times New Roman"/>
                      <w:szCs w:val="21"/>
                      <w:lang w:bidi="ar"/>
                    </w:rPr>
                    <w:t>燃气</w:t>
                  </w:r>
                  <w:r>
                    <w:rPr>
                      <w:rFonts w:hint="eastAsia" w:ascii="Times New Roman" w:hAnsi="Times New Roman"/>
                      <w:szCs w:val="21"/>
                      <w:lang w:val="en-US" w:eastAsia="zh-CN" w:bidi="ar"/>
                    </w:rPr>
                    <w:t>锅炉</w:t>
                  </w:r>
                  <w:r>
                    <w:rPr>
                      <w:rFonts w:hint="eastAsia"/>
                      <w:szCs w:val="21"/>
                      <w:lang w:val="en-US" w:eastAsia="zh-CN" w:bidi="ar"/>
                    </w:rPr>
                    <w:t>/炉窑</w:t>
                  </w:r>
                  <w:r>
                    <w:rPr>
                      <w:rFonts w:hint="eastAsia" w:ascii="Times New Roman" w:hAnsi="Times New Roman"/>
                      <w:szCs w:val="21"/>
                      <w:lang w:bidi="ar"/>
                    </w:rPr>
                    <w:t>：</w:t>
                  </w:r>
                </w:p>
                <w:p w14:paraId="7FBF8E38">
                  <w:pPr>
                    <w:numPr>
                      <w:ilvl w:val="0"/>
                      <w:numId w:val="0"/>
                    </w:numPr>
                    <w:adjustRightInd w:val="0"/>
                    <w:snapToGrid w:val="0"/>
                    <w:rPr>
                      <w:rFonts w:hint="eastAsia" w:ascii="Times New Roman" w:hAnsi="Times New Roman"/>
                      <w:szCs w:val="21"/>
                      <w:lang w:bidi="ar"/>
                    </w:rPr>
                  </w:pPr>
                  <w:r>
                    <w:rPr>
                      <w:rFonts w:hint="eastAsia" w:ascii="Times New Roman" w:hAnsi="Times New Roman" w:eastAsia="宋体" w:cs="Times New Roman"/>
                      <w:kern w:val="2"/>
                      <w:sz w:val="21"/>
                      <w:szCs w:val="21"/>
                      <w:lang w:val="en-US" w:eastAsia="zh-CN" w:bidi="ar"/>
                    </w:rPr>
                    <w:t>（1）</w:t>
                  </w:r>
                  <w:r>
                    <w:rPr>
                      <w:rFonts w:hint="eastAsia" w:ascii="Times New Roman" w:hAnsi="Times New Roman"/>
                      <w:szCs w:val="21"/>
                      <w:lang w:bidi="ar"/>
                    </w:rPr>
                    <w:t>PM采用袋式除尘、静电除尘、湿电除尘等高效除尘技术；</w:t>
                  </w:r>
                </w:p>
                <w:p w14:paraId="7B670760">
                  <w:pPr>
                    <w:numPr>
                      <w:ilvl w:val="0"/>
                      <w:numId w:val="0"/>
                    </w:numPr>
                    <w:adjustRightInd w:val="0"/>
                    <w:snapToGrid w:val="0"/>
                    <w:rPr>
                      <w:rFonts w:ascii="Times New Roman" w:hAnsi="Times New Roman"/>
                      <w:szCs w:val="21"/>
                      <w:lang w:bidi="ar"/>
                    </w:rPr>
                  </w:pPr>
                  <w:r>
                    <w:rPr>
                      <w:rFonts w:ascii="Times New Roman" w:hAnsi="Times New Roman" w:eastAsia="宋体" w:cs="Times New Roman"/>
                      <w:kern w:val="2"/>
                      <w:sz w:val="21"/>
                      <w:szCs w:val="21"/>
                      <w:lang w:val="en-US" w:eastAsia="zh-CN" w:bidi="ar"/>
                    </w:rPr>
                    <w:t>（2）</w:t>
                  </w:r>
                  <w:r>
                    <w:rPr>
                      <w:rFonts w:hint="eastAsia" w:ascii="Times New Roman" w:hAnsi="Times New Roman"/>
                      <w:szCs w:val="21"/>
                      <w:lang w:bidi="ar"/>
                    </w:rPr>
                    <w:t>NOx采用低氮燃烧或SNCR/SCR等技术</w:t>
                  </w:r>
                </w:p>
                <w:p w14:paraId="319CB360">
                  <w:pPr>
                    <w:adjustRightInd w:val="0"/>
                    <w:snapToGrid w:val="0"/>
                    <w:rPr>
                      <w:szCs w:val="21"/>
                    </w:rPr>
                  </w:pPr>
                  <w:r>
                    <w:rPr>
                      <w:rFonts w:ascii="Times New Roman" w:hAnsi="Times New Roman"/>
                      <w:szCs w:val="21"/>
                      <w:lang w:bidi="ar"/>
                    </w:rPr>
                    <w:t>3</w:t>
                  </w:r>
                  <w:r>
                    <w:rPr>
                      <w:rFonts w:hint="eastAsia" w:ascii="Times New Roman" w:hAnsi="Times New Roman" w:cs="宋体"/>
                      <w:szCs w:val="21"/>
                      <w:lang w:bidi="ar"/>
                    </w:rPr>
                    <w:t>其他工序（非锅炉</w:t>
                  </w:r>
                  <w:r>
                    <w:rPr>
                      <w:rFonts w:ascii="Times New Roman" w:hAnsi="Times New Roman"/>
                      <w:szCs w:val="21"/>
                      <w:lang w:bidi="ar"/>
                    </w:rPr>
                    <w:t>/</w:t>
                  </w:r>
                  <w:r>
                    <w:rPr>
                      <w:rFonts w:hint="eastAsia" w:ascii="Times New Roman" w:hAnsi="Times New Roman" w:cs="宋体"/>
                      <w:szCs w:val="21"/>
                      <w:lang w:bidi="ar"/>
                    </w:rPr>
                    <w:t>炉窑）：</w:t>
                  </w:r>
                </w:p>
                <w:p w14:paraId="7A4A54D4">
                  <w:pPr>
                    <w:adjustRightInd w:val="0"/>
                    <w:snapToGrid w:val="0"/>
                    <w:jc w:val="center"/>
                    <w:rPr>
                      <w:szCs w:val="21"/>
                    </w:rPr>
                  </w:pPr>
                  <w:r>
                    <w:rPr>
                      <w:rFonts w:ascii="Times New Roman" w:hAnsi="Times New Roman"/>
                      <w:szCs w:val="21"/>
                      <w:lang w:bidi="ar"/>
                    </w:rPr>
                    <w:t xml:space="preserve">PM </w:t>
                  </w:r>
                  <w:r>
                    <w:rPr>
                      <w:rFonts w:hint="eastAsia" w:ascii="Times New Roman" w:hAnsi="Times New Roman" w:cs="宋体"/>
                      <w:szCs w:val="21"/>
                      <w:lang w:bidi="ar"/>
                    </w:rPr>
                    <w:t>采用覆膜袋式除尘或其他先进除尘工艺</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6849E9C0">
                  <w:pPr>
                    <w:adjustRightInd w:val="0"/>
                    <w:snapToGrid w:val="0"/>
                    <w:jc w:val="center"/>
                    <w:rPr>
                      <w:szCs w:val="21"/>
                    </w:rPr>
                  </w:pPr>
                  <w:r>
                    <w:rPr>
                      <w:rFonts w:hint="eastAsia" w:ascii="Times New Roman" w:hAnsi="Times New Roman" w:cs="宋体"/>
                      <w:szCs w:val="21"/>
                      <w:lang w:bidi="ar"/>
                    </w:rPr>
                    <w:t>本项目</w:t>
                  </w:r>
                  <w:r>
                    <w:rPr>
                      <w:rFonts w:hint="eastAsia" w:cs="宋体"/>
                      <w:szCs w:val="21"/>
                      <w:lang w:val="en-US" w:eastAsia="zh-CN" w:bidi="ar"/>
                    </w:rPr>
                    <w:t>蒸汽发生器</w:t>
                  </w:r>
                  <w:r>
                    <w:rPr>
                      <w:rFonts w:hint="eastAsia" w:ascii="Times New Roman" w:hAnsi="Times New Roman" w:cs="宋体"/>
                      <w:szCs w:val="21"/>
                      <w:lang w:bidi="ar"/>
                    </w:rPr>
                    <w:t>采用低氮燃烧技术，满足排放要求。</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493AA4A2">
                  <w:pPr>
                    <w:adjustRightInd w:val="0"/>
                    <w:snapToGrid w:val="0"/>
                    <w:jc w:val="center"/>
                    <w:rPr>
                      <w:rFonts w:hint="eastAsia" w:ascii="Times New Roman" w:hAnsi="Times New Roman" w:eastAsia="宋体" w:cs="宋体"/>
                      <w:szCs w:val="21"/>
                      <w:lang w:val="en-US" w:eastAsia="zh-CN" w:bidi="ar"/>
                    </w:rPr>
                  </w:pPr>
                  <w:r>
                    <w:rPr>
                      <w:rFonts w:hint="eastAsia" w:ascii="Times New Roman" w:hAnsi="Times New Roman" w:cs="宋体"/>
                      <w:szCs w:val="21"/>
                      <w:lang w:val="en-US" w:eastAsia="zh-CN" w:bidi="ar"/>
                    </w:rPr>
                    <w:t>符合</w:t>
                  </w:r>
                </w:p>
              </w:tc>
            </w:tr>
            <w:tr w14:paraId="253F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tcBorders>
                    <w:top w:val="single" w:color="auto" w:sz="4" w:space="0"/>
                    <w:left w:val="single" w:color="auto" w:sz="4" w:space="0"/>
                    <w:bottom w:val="single" w:color="auto" w:sz="4" w:space="0"/>
                    <w:right w:val="single" w:color="auto" w:sz="4" w:space="0"/>
                  </w:tcBorders>
                  <w:noWrap w:val="0"/>
                  <w:vAlign w:val="center"/>
                </w:tcPr>
                <w:p w14:paraId="15DA38AD">
                  <w:pPr>
                    <w:adjustRightInd w:val="0"/>
                    <w:snapToGrid w:val="0"/>
                    <w:jc w:val="center"/>
                    <w:rPr>
                      <w:rFonts w:hint="default" w:ascii="Times New Roman" w:hAnsi="Times New Roman" w:eastAsia="宋体" w:cs="宋体"/>
                      <w:szCs w:val="21"/>
                      <w:lang w:val="en-US" w:eastAsia="zh-CN" w:bidi="ar"/>
                    </w:rPr>
                  </w:pPr>
                  <w:r>
                    <w:rPr>
                      <w:rFonts w:hint="eastAsia" w:cs="宋体"/>
                      <w:szCs w:val="21"/>
                      <w:lang w:val="en-US" w:eastAsia="zh-CN" w:bidi="ar"/>
                    </w:rPr>
                    <w:t>锅炉排放限值</w:t>
                  </w:r>
                </w:p>
              </w:tc>
              <w:tc>
                <w:tcPr>
                  <w:tcW w:w="4433" w:type="dxa"/>
                  <w:tcBorders>
                    <w:top w:val="single" w:color="auto" w:sz="4" w:space="0"/>
                    <w:left w:val="single" w:color="auto" w:sz="4" w:space="0"/>
                    <w:bottom w:val="single" w:color="auto" w:sz="4" w:space="0"/>
                    <w:right w:val="single" w:color="auto" w:sz="4" w:space="0"/>
                  </w:tcBorders>
                  <w:noWrap w:val="0"/>
                  <w:vAlign w:val="center"/>
                </w:tcPr>
                <w:p w14:paraId="0CA9465E">
                  <w:pPr>
                    <w:adjustRightInd w:val="0"/>
                    <w:snapToGrid w:val="0"/>
                    <w:jc w:val="center"/>
                    <w:rPr>
                      <w:rFonts w:ascii="Times New Roman" w:hAnsi="Times New Roman"/>
                      <w:szCs w:val="21"/>
                      <w:lang w:bidi="ar"/>
                    </w:rPr>
                  </w:pPr>
                  <w:r>
                    <w:rPr>
                      <w:rFonts w:hint="default" w:ascii="Times New Roman" w:hAnsi="Times New Roman"/>
                      <w:szCs w:val="21"/>
                      <w:lang w:val="en-US" w:eastAsia="zh-CN" w:bidi="ar"/>
                    </w:rPr>
                    <w:t>PM</w:t>
                  </w:r>
                  <w:r>
                    <w:rPr>
                      <w:rFonts w:hint="eastAsia" w:ascii="Times New Roman" w:hAnsi="Times New Roman"/>
                      <w:szCs w:val="21"/>
                      <w:lang w:val="en-US" w:eastAsia="zh-CN" w:bidi="ar"/>
                    </w:rPr>
                    <w:t>、</w:t>
                  </w:r>
                  <w:r>
                    <w:rPr>
                      <w:rFonts w:hint="default" w:ascii="Times New Roman" w:hAnsi="Times New Roman"/>
                      <w:szCs w:val="21"/>
                      <w:lang w:val="en-US" w:eastAsia="zh-CN" w:bidi="ar"/>
                    </w:rPr>
                    <w:t>SO</w:t>
                  </w:r>
                  <w:r>
                    <w:rPr>
                      <w:rFonts w:hint="eastAsia"/>
                      <w:szCs w:val="21"/>
                      <w:vertAlign w:val="subscript"/>
                      <w:lang w:val="en-US" w:eastAsia="zh-CN" w:bidi="ar"/>
                    </w:rPr>
                    <w:t>2</w:t>
                  </w:r>
                  <w:r>
                    <w:rPr>
                      <w:rFonts w:hint="eastAsia" w:ascii="Times New Roman" w:hAnsi="Times New Roman"/>
                      <w:szCs w:val="21"/>
                      <w:lang w:val="en-US" w:eastAsia="zh-CN" w:bidi="ar"/>
                    </w:rPr>
                    <w:t>、</w:t>
                  </w:r>
                  <w:r>
                    <w:rPr>
                      <w:rFonts w:hint="default" w:ascii="Times New Roman" w:hAnsi="Times New Roman"/>
                      <w:szCs w:val="21"/>
                      <w:lang w:val="en-US" w:eastAsia="zh-CN" w:bidi="ar"/>
                    </w:rPr>
                    <w:t xml:space="preserve">NOx </w:t>
                  </w:r>
                  <w:r>
                    <w:rPr>
                      <w:rFonts w:hint="eastAsia" w:ascii="Times New Roman" w:hAnsi="Times New Roman"/>
                      <w:szCs w:val="21"/>
                      <w:lang w:val="en-US" w:eastAsia="zh-CN" w:bidi="ar"/>
                    </w:rPr>
                    <w:t xml:space="preserve">排放浓度分别不高于： </w:t>
                  </w:r>
                </w:p>
                <w:p w14:paraId="3094BBDE">
                  <w:pPr>
                    <w:adjustRightInd w:val="0"/>
                    <w:snapToGrid w:val="0"/>
                    <w:jc w:val="center"/>
                    <w:rPr>
                      <w:rFonts w:ascii="Times New Roman" w:hAnsi="Times New Roman"/>
                      <w:szCs w:val="21"/>
                      <w:lang w:bidi="ar"/>
                    </w:rPr>
                  </w:pPr>
                  <w:r>
                    <w:rPr>
                      <w:rFonts w:hint="eastAsia" w:ascii="Times New Roman" w:hAnsi="Times New Roman"/>
                      <w:szCs w:val="21"/>
                      <w:lang w:val="en-US" w:eastAsia="zh-CN" w:bidi="ar"/>
                    </w:rPr>
                    <w:t>燃气：</w:t>
                  </w:r>
                  <w:r>
                    <w:rPr>
                      <w:rFonts w:hint="default" w:ascii="Times New Roman" w:hAnsi="Times New Roman"/>
                      <w:szCs w:val="21"/>
                      <w:lang w:val="en-US" w:eastAsia="zh-CN" w:bidi="ar"/>
                    </w:rPr>
                    <w:t>5</w:t>
                  </w:r>
                  <w:r>
                    <w:rPr>
                      <w:rFonts w:hint="eastAsia" w:ascii="Times New Roman" w:hAnsi="Times New Roman"/>
                      <w:szCs w:val="21"/>
                      <w:lang w:val="en-US" w:eastAsia="zh-CN" w:bidi="ar"/>
                    </w:rPr>
                    <w:t>、</w:t>
                  </w:r>
                  <w:r>
                    <w:rPr>
                      <w:rFonts w:hint="default" w:ascii="Times New Roman" w:hAnsi="Times New Roman"/>
                      <w:szCs w:val="21"/>
                      <w:lang w:val="en-US" w:eastAsia="zh-CN" w:bidi="ar"/>
                    </w:rPr>
                    <w:t>10</w:t>
                  </w:r>
                  <w:r>
                    <w:rPr>
                      <w:rFonts w:hint="eastAsia" w:ascii="Times New Roman" w:hAnsi="Times New Roman"/>
                      <w:szCs w:val="21"/>
                      <w:lang w:val="en-US" w:eastAsia="zh-CN" w:bidi="ar"/>
                    </w:rPr>
                    <w:t>、</w:t>
                  </w:r>
                  <w:r>
                    <w:rPr>
                      <w:rFonts w:hint="default" w:ascii="Times New Roman" w:hAnsi="Times New Roman"/>
                      <w:szCs w:val="21"/>
                      <w:lang w:val="en-US" w:eastAsia="zh-CN" w:bidi="ar"/>
                    </w:rPr>
                    <w:t>30 mg/m</w:t>
                  </w:r>
                  <w:r>
                    <w:rPr>
                      <w:rFonts w:hint="default" w:ascii="Times New Roman" w:hAnsi="Times New Roman"/>
                      <w:szCs w:val="21"/>
                      <w:vertAlign w:val="superscript"/>
                      <w:lang w:val="en-US" w:eastAsia="zh-CN" w:bidi="ar"/>
                    </w:rPr>
                    <w:t>3</w:t>
                  </w:r>
                  <w:r>
                    <w:rPr>
                      <w:rFonts w:hint="default" w:ascii="Times New Roman" w:hAnsi="Times New Roman"/>
                      <w:szCs w:val="21"/>
                      <w:lang w:val="en-US" w:eastAsia="zh-CN" w:bidi="ar"/>
                    </w:rPr>
                    <w:t xml:space="preserve"> </w:t>
                  </w:r>
                  <w:r>
                    <w:rPr>
                      <w:rFonts w:hint="eastAsia" w:ascii="Times New Roman" w:hAnsi="Times New Roman"/>
                      <w:szCs w:val="21"/>
                      <w:lang w:val="en-US" w:eastAsia="zh-CN" w:bidi="ar"/>
                    </w:rPr>
                    <w:t>（基准含氧量：</w:t>
                  </w:r>
                  <w:r>
                    <w:rPr>
                      <w:rFonts w:hint="default" w:ascii="Times New Roman" w:hAnsi="Times New Roman"/>
                      <w:szCs w:val="21"/>
                      <w:lang w:val="en-US" w:eastAsia="zh-CN" w:bidi="ar"/>
                    </w:rPr>
                    <w:t>3.5%</w:t>
                  </w:r>
                  <w:r>
                    <w:rPr>
                      <w:rFonts w:hint="eastAsia"/>
                      <w:szCs w:val="21"/>
                      <w:lang w:val="en-US" w:eastAsia="zh-CN" w:bidi="ar"/>
                    </w:rPr>
                    <w:t>，电窑和因工艺需要掺入空气/非密闭式生产的按实测浓度计</w:t>
                  </w:r>
                  <w:r>
                    <w:rPr>
                      <w:rFonts w:hint="eastAsia" w:ascii="Times New Roman" w:hAnsi="Times New Roman"/>
                      <w:szCs w:val="21"/>
                      <w:lang w:val="en-US" w:eastAsia="zh-CN" w:bidi="ar"/>
                    </w:rPr>
                    <w:t>）</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3CBA2827">
                  <w:pPr>
                    <w:adjustRightInd w:val="0"/>
                    <w:snapToGrid w:val="0"/>
                    <w:jc w:val="center"/>
                    <w:rPr>
                      <w:rFonts w:hint="eastAsia" w:ascii="Times New Roman" w:hAnsi="Times New Roman" w:cs="宋体"/>
                      <w:szCs w:val="21"/>
                      <w:lang w:bidi="ar"/>
                    </w:rPr>
                  </w:pPr>
                  <w:r>
                    <w:rPr>
                      <w:rFonts w:hint="eastAsia" w:ascii="Times New Roman" w:hAnsi="Times New Roman" w:cs="宋体"/>
                      <w:szCs w:val="21"/>
                      <w:lang w:bidi="ar"/>
                    </w:rPr>
                    <w:t>本项目</w:t>
                  </w:r>
                  <w:r>
                    <w:rPr>
                      <w:rFonts w:hint="eastAsia" w:cs="宋体"/>
                      <w:szCs w:val="21"/>
                      <w:lang w:val="en-US" w:eastAsia="zh-CN" w:bidi="ar"/>
                    </w:rPr>
                    <w:t>蒸汽发生器</w:t>
                  </w:r>
                  <w:r>
                    <w:rPr>
                      <w:rFonts w:hint="eastAsia" w:ascii="Times New Roman" w:hAnsi="Times New Roman" w:cs="宋体"/>
                      <w:szCs w:val="21"/>
                      <w:lang w:bidi="ar"/>
                    </w:rPr>
                    <w:t>安装低氮燃烧，废气污染物满足排放浓度要求</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669F1301">
                  <w:pPr>
                    <w:adjustRightInd w:val="0"/>
                    <w:snapToGrid w:val="0"/>
                    <w:jc w:val="center"/>
                    <w:rPr>
                      <w:rFonts w:hint="default" w:ascii="Times New Roman" w:hAnsi="Times New Roman" w:cs="宋体"/>
                      <w:szCs w:val="21"/>
                      <w:lang w:val="en-US" w:eastAsia="zh-CN" w:bidi="ar"/>
                    </w:rPr>
                  </w:pPr>
                  <w:r>
                    <w:rPr>
                      <w:rFonts w:hint="eastAsia" w:cs="宋体"/>
                      <w:szCs w:val="21"/>
                      <w:lang w:val="en-US" w:eastAsia="zh-CN" w:bidi="ar"/>
                    </w:rPr>
                    <w:t>符合</w:t>
                  </w:r>
                </w:p>
              </w:tc>
            </w:tr>
            <w:tr w14:paraId="2A7F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tcBorders>
                    <w:top w:val="single" w:color="auto" w:sz="4" w:space="0"/>
                    <w:left w:val="single" w:color="auto" w:sz="4" w:space="0"/>
                    <w:bottom w:val="single" w:color="auto" w:sz="4" w:space="0"/>
                    <w:right w:val="single" w:color="auto" w:sz="4" w:space="0"/>
                  </w:tcBorders>
                  <w:noWrap w:val="0"/>
                  <w:vAlign w:val="center"/>
                </w:tcPr>
                <w:p w14:paraId="29EBE91D">
                  <w:pPr>
                    <w:adjustRightInd w:val="0"/>
                    <w:snapToGrid w:val="0"/>
                    <w:jc w:val="center"/>
                    <w:rPr>
                      <w:szCs w:val="21"/>
                    </w:rPr>
                  </w:pPr>
                  <w:r>
                    <w:rPr>
                      <w:rFonts w:hint="eastAsia" w:cs="宋体"/>
                      <w:szCs w:val="21"/>
                      <w:lang w:val="en-US" w:eastAsia="zh-CN" w:bidi="ar"/>
                    </w:rPr>
                    <w:t>加热炉、热处理炉、干燥炉</w:t>
                  </w:r>
                  <w:r>
                    <w:rPr>
                      <w:rFonts w:hint="eastAsia" w:ascii="Times New Roman" w:hAnsi="Times New Roman" w:cs="宋体"/>
                      <w:szCs w:val="21"/>
                      <w:lang w:bidi="ar"/>
                    </w:rPr>
                    <w:t>排放限值</w:t>
                  </w:r>
                </w:p>
              </w:tc>
              <w:tc>
                <w:tcPr>
                  <w:tcW w:w="4433" w:type="dxa"/>
                  <w:tcBorders>
                    <w:top w:val="single" w:color="auto" w:sz="4" w:space="0"/>
                    <w:left w:val="single" w:color="auto" w:sz="4" w:space="0"/>
                    <w:bottom w:val="single" w:color="auto" w:sz="4" w:space="0"/>
                    <w:right w:val="single" w:color="auto" w:sz="4" w:space="0"/>
                  </w:tcBorders>
                  <w:noWrap w:val="0"/>
                  <w:vAlign w:val="center"/>
                </w:tcPr>
                <w:p w14:paraId="638996F4">
                  <w:pPr>
                    <w:adjustRightInd w:val="0"/>
                    <w:snapToGrid w:val="0"/>
                    <w:jc w:val="center"/>
                    <w:rPr>
                      <w:szCs w:val="21"/>
                    </w:rPr>
                  </w:pPr>
                  <w:r>
                    <w:rPr>
                      <w:rFonts w:ascii="Times New Roman" w:hAnsi="Times New Roman"/>
                      <w:szCs w:val="21"/>
                      <w:lang w:bidi="ar"/>
                    </w:rPr>
                    <w:t>PM</w:t>
                  </w:r>
                  <w:r>
                    <w:rPr>
                      <w:rFonts w:hint="eastAsia" w:ascii="Times New Roman" w:hAnsi="Times New Roman" w:cs="宋体"/>
                      <w:szCs w:val="21"/>
                      <w:lang w:bidi="ar"/>
                    </w:rPr>
                    <w:t>、</w:t>
                  </w:r>
                  <w:r>
                    <w:rPr>
                      <w:rFonts w:ascii="Times New Roman" w:hAnsi="Times New Roman"/>
                      <w:szCs w:val="21"/>
                      <w:lang w:bidi="ar"/>
                    </w:rPr>
                    <w:t>SO</w:t>
                  </w:r>
                  <w:r>
                    <w:rPr>
                      <w:rFonts w:ascii="Times New Roman" w:hAnsi="Times New Roman"/>
                      <w:szCs w:val="21"/>
                      <w:vertAlign w:val="subscript"/>
                      <w:lang w:bidi="ar"/>
                    </w:rPr>
                    <w:t>2</w:t>
                  </w:r>
                  <w:r>
                    <w:rPr>
                      <w:rFonts w:ascii="Times New Roman" w:hAnsi="Times New Roman"/>
                      <w:szCs w:val="21"/>
                      <w:lang w:bidi="ar"/>
                    </w:rPr>
                    <w:t xml:space="preserve"> </w:t>
                  </w:r>
                  <w:r>
                    <w:rPr>
                      <w:rFonts w:hint="eastAsia" w:ascii="Times New Roman" w:hAnsi="Times New Roman" w:cs="宋体"/>
                      <w:szCs w:val="21"/>
                      <w:lang w:bidi="ar"/>
                    </w:rPr>
                    <w:t>、</w:t>
                  </w:r>
                  <w:r>
                    <w:rPr>
                      <w:rFonts w:ascii="Times New Roman" w:hAnsi="Times New Roman"/>
                      <w:szCs w:val="21"/>
                      <w:lang w:bidi="ar"/>
                    </w:rPr>
                    <w:t>NO</w:t>
                  </w:r>
                  <w:r>
                    <w:rPr>
                      <w:rFonts w:ascii="Times New Roman" w:hAnsi="Times New Roman"/>
                      <w:szCs w:val="21"/>
                      <w:vertAlign w:val="subscript"/>
                      <w:lang w:bidi="ar"/>
                    </w:rPr>
                    <w:t>x</w:t>
                  </w:r>
                  <w:r>
                    <w:rPr>
                      <w:rFonts w:ascii="Times New Roman" w:hAnsi="Times New Roman"/>
                      <w:szCs w:val="21"/>
                      <w:lang w:bidi="ar"/>
                    </w:rPr>
                    <w:t xml:space="preserve"> </w:t>
                  </w:r>
                  <w:r>
                    <w:rPr>
                      <w:rFonts w:hint="eastAsia" w:ascii="Times New Roman" w:hAnsi="Times New Roman" w:cs="宋体"/>
                      <w:szCs w:val="21"/>
                      <w:lang w:bidi="ar"/>
                    </w:rPr>
                    <w:t>排放浓度分别不高于：燃气：</w:t>
                  </w:r>
                  <w:r>
                    <w:rPr>
                      <w:rFonts w:hint="eastAsia"/>
                      <w:szCs w:val="21"/>
                      <w:lang w:val="en-US" w:eastAsia="zh-CN" w:bidi="ar"/>
                    </w:rPr>
                    <w:t>10</w:t>
                  </w:r>
                  <w:r>
                    <w:rPr>
                      <w:rFonts w:hint="eastAsia" w:ascii="Times New Roman" w:hAnsi="Times New Roman" w:cs="宋体"/>
                      <w:szCs w:val="21"/>
                      <w:lang w:bidi="ar"/>
                    </w:rPr>
                    <w:t>、</w:t>
                  </w:r>
                  <w:r>
                    <w:rPr>
                      <w:rFonts w:hint="eastAsia"/>
                      <w:szCs w:val="21"/>
                      <w:lang w:val="en-US" w:eastAsia="zh-CN" w:bidi="ar"/>
                    </w:rPr>
                    <w:t>35</w:t>
                  </w:r>
                  <w:r>
                    <w:rPr>
                      <w:rFonts w:hint="eastAsia" w:ascii="Times New Roman" w:hAnsi="Times New Roman" w:cs="宋体"/>
                      <w:szCs w:val="21"/>
                      <w:lang w:bidi="ar"/>
                    </w:rPr>
                    <w:t>、</w:t>
                  </w:r>
                  <w:r>
                    <w:rPr>
                      <w:rFonts w:hint="eastAsia"/>
                      <w:szCs w:val="21"/>
                      <w:lang w:val="en-US" w:eastAsia="zh-CN" w:bidi="ar"/>
                    </w:rPr>
                    <w:t>5</w:t>
                  </w:r>
                  <w:r>
                    <w:rPr>
                      <w:rFonts w:ascii="Times New Roman" w:hAnsi="Times New Roman"/>
                      <w:szCs w:val="21"/>
                      <w:lang w:bidi="ar"/>
                    </w:rPr>
                    <w:t xml:space="preserve">0mg/m </w:t>
                  </w:r>
                  <w:r>
                    <w:rPr>
                      <w:rFonts w:ascii="Times New Roman" w:hAnsi="Times New Roman"/>
                      <w:szCs w:val="21"/>
                      <w:vertAlign w:val="superscript"/>
                      <w:lang w:bidi="ar"/>
                    </w:rPr>
                    <w:t>3</w:t>
                  </w:r>
                  <w:r>
                    <w:rPr>
                      <w:rFonts w:hint="eastAsia" w:ascii="Times New Roman" w:hAnsi="Times New Roman" w:cs="宋体"/>
                      <w:szCs w:val="21"/>
                      <w:lang w:bidi="ar"/>
                    </w:rPr>
                    <w:t>（基准含氧量：</w:t>
                  </w:r>
                  <w:r>
                    <w:rPr>
                      <w:rFonts w:ascii="Times New Roman" w:hAnsi="Times New Roman"/>
                      <w:szCs w:val="21"/>
                      <w:lang w:bidi="ar"/>
                    </w:rPr>
                    <w:t>3.5%</w:t>
                  </w:r>
                  <w:r>
                    <w:rPr>
                      <w:rFonts w:hint="eastAsia" w:ascii="Times New Roman" w:hAnsi="Times New Roman" w:cs="宋体"/>
                      <w:szCs w:val="21"/>
                      <w:lang w:bidi="ar"/>
                    </w:rPr>
                    <w:t>）</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778B151F">
                  <w:pPr>
                    <w:adjustRightInd w:val="0"/>
                    <w:snapToGrid w:val="0"/>
                    <w:jc w:val="center"/>
                    <w:rPr>
                      <w:rFonts w:hint="default" w:eastAsia="宋体"/>
                      <w:szCs w:val="21"/>
                      <w:lang w:val="en-US" w:eastAsia="zh-CN"/>
                    </w:rPr>
                  </w:pPr>
                  <w:r>
                    <w:rPr>
                      <w:rFonts w:hint="eastAsia"/>
                      <w:szCs w:val="21"/>
                      <w:lang w:val="en-US" w:eastAsia="zh-CN"/>
                    </w:rPr>
                    <w:t>本项目煮锅、炒锅使用天然气燃烧，废气污染物满足排放浓度要求。</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09FD6264">
                  <w:pPr>
                    <w:adjustRightInd w:val="0"/>
                    <w:snapToGrid w:val="0"/>
                    <w:jc w:val="center"/>
                    <w:rPr>
                      <w:rFonts w:hint="default" w:ascii="Times New Roman" w:hAnsi="Times New Roman" w:eastAsia="宋体" w:cs="宋体"/>
                      <w:szCs w:val="21"/>
                      <w:lang w:val="en-US" w:eastAsia="zh-CN" w:bidi="ar"/>
                    </w:rPr>
                  </w:pPr>
                  <w:r>
                    <w:rPr>
                      <w:rFonts w:hint="eastAsia" w:ascii="Times New Roman" w:hAnsi="Times New Roman" w:cs="宋体"/>
                      <w:szCs w:val="21"/>
                      <w:lang w:val="en-US" w:eastAsia="zh-CN" w:bidi="ar"/>
                    </w:rPr>
                    <w:t>符合</w:t>
                  </w:r>
                </w:p>
              </w:tc>
            </w:tr>
            <w:tr w14:paraId="0B39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tcBorders>
                    <w:top w:val="single" w:color="auto" w:sz="4" w:space="0"/>
                    <w:left w:val="single" w:color="auto" w:sz="4" w:space="0"/>
                    <w:bottom w:val="single" w:color="auto" w:sz="4" w:space="0"/>
                    <w:right w:val="single" w:color="auto" w:sz="4" w:space="0"/>
                  </w:tcBorders>
                  <w:noWrap w:val="0"/>
                  <w:vAlign w:val="center"/>
                </w:tcPr>
                <w:p w14:paraId="6D42FA49">
                  <w:pPr>
                    <w:adjustRightInd w:val="0"/>
                    <w:snapToGrid w:val="0"/>
                    <w:jc w:val="center"/>
                    <w:rPr>
                      <w:rFonts w:ascii="Times New Roman" w:hAnsi="Times New Roman" w:cs="宋体"/>
                      <w:szCs w:val="21"/>
                      <w:lang w:bidi="ar"/>
                    </w:rPr>
                  </w:pPr>
                  <w:r>
                    <w:rPr>
                      <w:rFonts w:hint="eastAsia" w:ascii="Times New Roman" w:hAnsi="Times New Roman" w:cs="宋体"/>
                      <w:szCs w:val="21"/>
                      <w:lang w:bidi="ar"/>
                    </w:rPr>
                    <w:t>监测监控水平</w:t>
                  </w:r>
                </w:p>
              </w:tc>
              <w:tc>
                <w:tcPr>
                  <w:tcW w:w="4433" w:type="dxa"/>
                  <w:tcBorders>
                    <w:top w:val="single" w:color="auto" w:sz="4" w:space="0"/>
                    <w:left w:val="single" w:color="auto" w:sz="4" w:space="0"/>
                    <w:bottom w:val="single" w:color="auto" w:sz="4" w:space="0"/>
                    <w:right w:val="single" w:color="auto" w:sz="4" w:space="0"/>
                  </w:tcBorders>
                  <w:noWrap w:val="0"/>
                  <w:vAlign w:val="center"/>
                </w:tcPr>
                <w:p w14:paraId="64EB7667">
                  <w:pPr>
                    <w:adjustRightInd w:val="0"/>
                    <w:snapToGrid w:val="0"/>
                    <w:jc w:val="center"/>
                    <w:rPr>
                      <w:rFonts w:hint="default" w:ascii="Times New Roman" w:hAnsi="Times New Roman" w:eastAsia="宋体"/>
                      <w:szCs w:val="21"/>
                      <w:lang w:val="en-US" w:eastAsia="zh-CN" w:bidi="ar"/>
                    </w:rPr>
                  </w:pPr>
                  <w:r>
                    <w:rPr>
                      <w:rFonts w:hint="eastAsia" w:ascii="Times New Roman" w:hAnsi="Times New Roman"/>
                      <w:szCs w:val="21"/>
                      <w:lang w:bidi="ar"/>
                    </w:rPr>
                    <w:t>重点排污企业主要排放口安装CEMS，记录生产设施运行情况，</w:t>
                  </w:r>
                  <w:r>
                    <w:rPr>
                      <w:rFonts w:hint="eastAsia"/>
                      <w:szCs w:val="21"/>
                      <w:lang w:val="en-US" w:eastAsia="zh-CN" w:bidi="ar"/>
                    </w:rPr>
                    <w:t>并与省厅联网</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36B092E9">
                  <w:pPr>
                    <w:adjustRightInd w:val="0"/>
                    <w:snapToGrid w:val="0"/>
                    <w:jc w:val="center"/>
                    <w:rPr>
                      <w:rFonts w:ascii="Times New Roman" w:hAnsi="Times New Roman" w:cs="宋体"/>
                      <w:szCs w:val="21"/>
                      <w:lang w:bidi="ar"/>
                    </w:rPr>
                  </w:pPr>
                  <w:r>
                    <w:rPr>
                      <w:rFonts w:hint="eastAsia" w:ascii="Times New Roman" w:hAnsi="Times New Roman" w:cs="宋体"/>
                      <w:szCs w:val="21"/>
                      <w:lang w:bidi="ar"/>
                    </w:rPr>
                    <w:t>本项目不属于重点排污企业</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1CE8F4CA">
                  <w:pPr>
                    <w:adjustRightInd w:val="0"/>
                    <w:snapToGrid w:val="0"/>
                    <w:jc w:val="center"/>
                    <w:rPr>
                      <w:rFonts w:hint="eastAsia" w:ascii="Times New Roman" w:hAnsi="Times New Roman" w:eastAsia="宋体" w:cs="宋体"/>
                      <w:szCs w:val="21"/>
                      <w:lang w:val="en-US" w:eastAsia="zh-CN" w:bidi="ar"/>
                    </w:rPr>
                  </w:pPr>
                  <w:r>
                    <w:rPr>
                      <w:rFonts w:hint="eastAsia" w:ascii="Times New Roman" w:hAnsi="Times New Roman" w:cs="宋体"/>
                      <w:szCs w:val="21"/>
                      <w:lang w:val="en-US" w:eastAsia="zh-CN" w:bidi="ar"/>
                    </w:rPr>
                    <w:t>符合</w:t>
                  </w:r>
                </w:p>
              </w:tc>
            </w:tr>
          </w:tbl>
          <w:p w14:paraId="42E68FC7">
            <w:pPr>
              <w:pStyle w:val="100"/>
              <w:rPr>
                <w:color w:val="000000"/>
              </w:rPr>
            </w:pPr>
            <w:r>
              <w:rPr>
                <w:color w:val="000000"/>
              </w:rPr>
              <w:t>由以上分析可知，项目建设符合</w:t>
            </w:r>
            <w:r>
              <w:rPr>
                <w:rFonts w:ascii="宋体" w:hAnsi="宋体"/>
                <w:color w:val="000000"/>
              </w:rPr>
              <w:t>“通用行业”中</w:t>
            </w:r>
            <w:r>
              <w:rPr>
                <w:rFonts w:hint="eastAsia"/>
                <w:bCs/>
                <w:color w:val="000000"/>
              </w:rPr>
              <w:t>企业通用</w:t>
            </w:r>
            <w:r>
              <w:rPr>
                <w:rStyle w:val="254"/>
                <w:rFonts w:hint="eastAsia"/>
              </w:rPr>
              <w:t>涉</w:t>
            </w:r>
            <w:r>
              <w:rPr>
                <w:rStyle w:val="254"/>
                <w:rFonts w:hint="eastAsia"/>
                <w:lang w:val="en-US" w:eastAsia="zh-CN"/>
              </w:rPr>
              <w:t>锅炉/炉窑</w:t>
            </w:r>
            <w:r>
              <w:rPr>
                <w:rStyle w:val="254"/>
                <w:rFonts w:hint="eastAsia"/>
              </w:rPr>
              <w:t>企业</w:t>
            </w:r>
            <w:r>
              <w:rPr>
                <w:rFonts w:hint="eastAsia"/>
                <w:bCs/>
                <w:color w:val="000000"/>
              </w:rPr>
              <w:t>绩效</w:t>
            </w:r>
            <w:r>
              <w:rPr>
                <w:rFonts w:hint="eastAsia"/>
                <w:bCs/>
                <w:color w:val="000000"/>
                <w:lang w:val="en-US" w:eastAsia="zh-CN"/>
              </w:rPr>
              <w:t>A级</w:t>
            </w:r>
            <w:r>
              <w:rPr>
                <w:rFonts w:hint="eastAsia"/>
                <w:bCs/>
                <w:color w:val="000000"/>
              </w:rPr>
              <w:t>要求</w:t>
            </w:r>
            <w:r>
              <w:rPr>
                <w:color w:val="000000"/>
              </w:rPr>
              <w:t>。</w:t>
            </w:r>
          </w:p>
          <w:p w14:paraId="555FA5DD">
            <w:pPr>
              <w:pStyle w:val="102"/>
              <w:spacing w:before="120" w:after="120"/>
              <w:ind w:firstLine="240"/>
              <w:rPr>
                <w:color w:val="000000"/>
              </w:rPr>
            </w:pPr>
            <w:r>
              <w:rPr>
                <w:color w:val="000000"/>
              </w:rPr>
              <w:t>5.3</w:t>
            </w:r>
            <w:r>
              <w:rPr>
                <w:rFonts w:hint="eastAsia"/>
                <w:color w:val="000000"/>
              </w:rPr>
              <w:t>与</w:t>
            </w:r>
            <w:r>
              <w:rPr>
                <w:color w:val="000000"/>
              </w:rPr>
              <w:t>“</w:t>
            </w:r>
            <w:r>
              <w:rPr>
                <w:rFonts w:hint="eastAsia"/>
                <w:color w:val="000000"/>
              </w:rPr>
              <w:t>安环文〔2024〕</w:t>
            </w:r>
            <w:r>
              <w:rPr>
                <w:color w:val="000000"/>
              </w:rPr>
              <w:t>62</w:t>
            </w:r>
            <w:r>
              <w:rPr>
                <w:rFonts w:hint="eastAsia"/>
                <w:color w:val="000000"/>
              </w:rPr>
              <w:t>号</w:t>
            </w:r>
            <w:r>
              <w:rPr>
                <w:color w:val="000000"/>
              </w:rPr>
              <w:t>”</w:t>
            </w:r>
            <w:r>
              <w:rPr>
                <w:rFonts w:hint="eastAsia"/>
                <w:color w:val="000000"/>
              </w:rPr>
              <w:t>相符性</w:t>
            </w:r>
            <w:r>
              <w:rPr>
                <w:color w:val="000000"/>
              </w:rPr>
              <w:t>分析</w:t>
            </w:r>
          </w:p>
          <w:p w14:paraId="242407A8">
            <w:pPr>
              <w:pStyle w:val="100"/>
              <w:rPr>
                <w:rFonts w:ascii="宋体" w:hAnsi="宋体" w:cs="宋体"/>
                <w:color w:val="000000"/>
              </w:rPr>
            </w:pPr>
            <w:r>
              <w:rPr>
                <w:rFonts w:hint="eastAsia" w:ascii="宋体" w:hAnsi="宋体" w:cs="宋体"/>
                <w:color w:val="000000"/>
              </w:rPr>
              <w:t>本项目与安阳市生态环境局关于印发《生态环境系统安全生产治本攻坚三年行动方案（</w:t>
            </w:r>
            <w:r>
              <w:rPr>
                <w:color w:val="000000"/>
              </w:rPr>
              <w:t>2024-2026</w:t>
            </w:r>
            <w:r>
              <w:rPr>
                <w:rFonts w:hint="eastAsia" w:ascii="宋体" w:hAnsi="宋体" w:cs="宋体"/>
                <w:color w:val="000000"/>
              </w:rPr>
              <w:t>）》的通知（安环文〔</w:t>
            </w:r>
            <w:r>
              <w:rPr>
                <w:rFonts w:hint="eastAsia"/>
                <w:color w:val="000000"/>
              </w:rPr>
              <w:t>2024</w:t>
            </w:r>
            <w:r>
              <w:rPr>
                <w:rFonts w:hint="eastAsia" w:ascii="宋体" w:hAnsi="宋体" w:cs="宋体"/>
                <w:color w:val="000000"/>
              </w:rPr>
              <w:t>〕</w:t>
            </w:r>
            <w:r>
              <w:rPr>
                <w:color w:val="000000"/>
              </w:rPr>
              <w:t>62</w:t>
            </w:r>
            <w:r>
              <w:rPr>
                <w:rFonts w:hint="eastAsia" w:ascii="宋体" w:hAnsi="宋体" w:cs="宋体"/>
                <w:color w:val="000000"/>
              </w:rPr>
              <w:t>号）相符性分析</w:t>
            </w:r>
          </w:p>
          <w:p w14:paraId="384C9BC0">
            <w:pPr>
              <w:pStyle w:val="56"/>
              <w:bidi w:val="0"/>
              <w:ind w:left="1050" w:leftChars="0" w:firstLineChars="0"/>
              <w:jc w:val="center"/>
            </w:pPr>
            <w:r>
              <w:rPr>
                <w:rFonts w:hint="eastAsia"/>
              </w:rPr>
              <w:t>与“安环文〔2024〕</w:t>
            </w:r>
            <w:r>
              <w:t>62</w:t>
            </w:r>
            <w:r>
              <w:rPr>
                <w:rFonts w:hint="eastAsia"/>
              </w:rPr>
              <w:t>号”相符性分析一览表</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48"/>
              <w:gridCol w:w="2816"/>
              <w:gridCol w:w="2413"/>
              <w:gridCol w:w="733"/>
            </w:tblGrid>
            <w:tr w14:paraId="35A8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69" w:type="pct"/>
                  <w:vAlign w:val="center"/>
                </w:tcPr>
                <w:p w14:paraId="588B36C2">
                  <w:pPr>
                    <w:jc w:val="center"/>
                    <w:rPr>
                      <w:color w:val="000000"/>
                      <w:szCs w:val="21"/>
                    </w:rPr>
                  </w:pPr>
                  <w:r>
                    <w:rPr>
                      <w:rFonts w:hint="eastAsia" w:ascii="宋体" w:hAnsi="宋体" w:cs="宋体"/>
                      <w:color w:val="000000"/>
                      <w:szCs w:val="21"/>
                    </w:rPr>
                    <w:t>内容</w:t>
                  </w:r>
                </w:p>
              </w:tc>
              <w:tc>
                <w:tcPr>
                  <w:tcW w:w="1714" w:type="pct"/>
                  <w:vAlign w:val="center"/>
                </w:tcPr>
                <w:p w14:paraId="72116F53">
                  <w:pPr>
                    <w:jc w:val="center"/>
                    <w:rPr>
                      <w:color w:val="000000"/>
                      <w:szCs w:val="21"/>
                    </w:rPr>
                  </w:pPr>
                  <w:r>
                    <w:rPr>
                      <w:rFonts w:hint="eastAsia" w:ascii="宋体" w:hAnsi="宋体" w:cs="宋体"/>
                      <w:color w:val="000000"/>
                      <w:szCs w:val="21"/>
                    </w:rPr>
                    <w:t>要求</w:t>
                  </w:r>
                </w:p>
              </w:tc>
              <w:tc>
                <w:tcPr>
                  <w:tcW w:w="1469" w:type="pct"/>
                  <w:vAlign w:val="center"/>
                </w:tcPr>
                <w:p w14:paraId="6ED42170">
                  <w:pPr>
                    <w:jc w:val="center"/>
                    <w:rPr>
                      <w:color w:val="000000"/>
                      <w:szCs w:val="21"/>
                    </w:rPr>
                  </w:pPr>
                  <w:r>
                    <w:rPr>
                      <w:rFonts w:hint="eastAsia" w:ascii="宋体" w:hAnsi="宋体" w:cs="宋体"/>
                      <w:color w:val="000000"/>
                      <w:szCs w:val="21"/>
                    </w:rPr>
                    <w:t>本项目建设情况</w:t>
                  </w:r>
                </w:p>
              </w:tc>
              <w:tc>
                <w:tcPr>
                  <w:tcW w:w="446" w:type="pct"/>
                  <w:vAlign w:val="center"/>
                </w:tcPr>
                <w:p w14:paraId="542C0055">
                  <w:pPr>
                    <w:jc w:val="center"/>
                    <w:rPr>
                      <w:color w:val="000000"/>
                      <w:szCs w:val="21"/>
                    </w:rPr>
                  </w:pPr>
                  <w:r>
                    <w:rPr>
                      <w:rFonts w:hint="eastAsia" w:ascii="宋体" w:hAnsi="宋体" w:cs="宋体"/>
                      <w:color w:val="000000"/>
                      <w:szCs w:val="21"/>
                    </w:rPr>
                    <w:t>相符性</w:t>
                  </w:r>
                </w:p>
              </w:tc>
            </w:tr>
            <w:tr w14:paraId="65B6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69" w:type="pct"/>
                  <w:vAlign w:val="center"/>
                </w:tcPr>
                <w:p w14:paraId="164538F9">
                  <w:pPr>
                    <w:jc w:val="center"/>
                    <w:rPr>
                      <w:color w:val="000000"/>
                      <w:szCs w:val="21"/>
                    </w:rPr>
                  </w:pPr>
                  <w:r>
                    <w:rPr>
                      <w:rFonts w:hint="eastAsia" w:ascii="宋体" w:hAnsi="宋体" w:cs="宋体"/>
                      <w:color w:val="000000"/>
                      <w:szCs w:val="21"/>
                    </w:rPr>
                    <w:t>（一）认真落实环境保护和安全生产相关要求</w:t>
                  </w:r>
                </w:p>
              </w:tc>
              <w:tc>
                <w:tcPr>
                  <w:tcW w:w="1714" w:type="pct"/>
                  <w:vAlign w:val="center"/>
                </w:tcPr>
                <w:p w14:paraId="7F504B98">
                  <w:pPr>
                    <w:jc w:val="center"/>
                    <w:rPr>
                      <w:color w:val="000000"/>
                      <w:szCs w:val="21"/>
                    </w:rPr>
                  </w:pPr>
                  <w:r>
                    <w:rPr>
                      <w:color w:val="000000"/>
                      <w:szCs w:val="21"/>
                    </w:rPr>
                    <w:t>1.</w:t>
                  </w:r>
                  <w:r>
                    <w:rPr>
                      <w:rFonts w:hint="eastAsia" w:ascii="宋体" w:hAnsi="宋体" w:cs="宋体"/>
                      <w:color w:val="000000"/>
                      <w:szCs w:val="21"/>
                    </w:rPr>
                    <w:t>强化安全生产工作认识</w:t>
                  </w:r>
                </w:p>
              </w:tc>
              <w:tc>
                <w:tcPr>
                  <w:tcW w:w="1469" w:type="pct"/>
                  <w:vAlign w:val="center"/>
                </w:tcPr>
                <w:p w14:paraId="6BE0978A">
                  <w:pPr>
                    <w:jc w:val="center"/>
                    <w:rPr>
                      <w:color w:val="000000"/>
                      <w:szCs w:val="21"/>
                    </w:rPr>
                  </w:pPr>
                  <w:r>
                    <w:rPr>
                      <w:rFonts w:hint="eastAsia" w:ascii="宋体" w:hAnsi="宋体" w:cs="宋体"/>
                      <w:color w:val="000000"/>
                      <w:szCs w:val="21"/>
                    </w:rPr>
                    <w:t>本项目将定期开展安全生产培训，强化员工安全作业的意识。</w:t>
                  </w:r>
                </w:p>
              </w:tc>
              <w:tc>
                <w:tcPr>
                  <w:tcW w:w="446" w:type="pct"/>
                  <w:vAlign w:val="center"/>
                </w:tcPr>
                <w:p w14:paraId="2ECC7963">
                  <w:pPr>
                    <w:jc w:val="center"/>
                    <w:rPr>
                      <w:color w:val="000000"/>
                      <w:szCs w:val="21"/>
                    </w:rPr>
                  </w:pPr>
                  <w:r>
                    <w:rPr>
                      <w:rFonts w:hint="eastAsia" w:ascii="宋体" w:hAnsi="宋体" w:cs="宋体"/>
                      <w:color w:val="000000"/>
                      <w:szCs w:val="21"/>
                    </w:rPr>
                    <w:t>相符</w:t>
                  </w:r>
                </w:p>
              </w:tc>
            </w:tr>
            <w:tr w14:paraId="338B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69" w:type="pct"/>
                  <w:vMerge w:val="restart"/>
                  <w:vAlign w:val="center"/>
                </w:tcPr>
                <w:p w14:paraId="1AB55507">
                  <w:pPr>
                    <w:jc w:val="center"/>
                    <w:rPr>
                      <w:color w:val="000000"/>
                      <w:szCs w:val="21"/>
                    </w:rPr>
                  </w:pPr>
                  <w:r>
                    <w:rPr>
                      <w:rFonts w:hint="eastAsia" w:ascii="宋体" w:hAnsi="宋体" w:cs="宋体"/>
                      <w:color w:val="000000"/>
                      <w:szCs w:val="21"/>
                    </w:rPr>
                    <w:t>（四）强化重点环保设施设备环境风险监管</w:t>
                  </w:r>
                </w:p>
              </w:tc>
              <w:tc>
                <w:tcPr>
                  <w:tcW w:w="1714" w:type="pct"/>
                  <w:vAlign w:val="center"/>
                </w:tcPr>
                <w:p w14:paraId="0A077FDD">
                  <w:pPr>
                    <w:jc w:val="center"/>
                    <w:rPr>
                      <w:color w:val="000000"/>
                      <w:szCs w:val="21"/>
                    </w:rPr>
                  </w:pPr>
                  <w:r>
                    <w:rPr>
                      <w:color w:val="000000"/>
                      <w:szCs w:val="21"/>
                    </w:rPr>
                    <w:t>12.</w:t>
                  </w:r>
                  <w:r>
                    <w:rPr>
                      <w:rFonts w:hint="eastAsia" w:ascii="宋体" w:hAnsi="宋体" w:cs="宋体"/>
                      <w:color w:val="000000"/>
                      <w:szCs w:val="21"/>
                    </w:rPr>
                    <w:t>强化重点环保设施、项目环境风险评估和隐患排查工作</w:t>
                  </w:r>
                </w:p>
              </w:tc>
              <w:tc>
                <w:tcPr>
                  <w:tcW w:w="1469" w:type="pct"/>
                  <w:vAlign w:val="center"/>
                </w:tcPr>
                <w:p w14:paraId="769E1F7C">
                  <w:pPr>
                    <w:jc w:val="center"/>
                    <w:rPr>
                      <w:color w:val="000000"/>
                      <w:szCs w:val="21"/>
                    </w:rPr>
                  </w:pPr>
                  <w:r>
                    <w:rPr>
                      <w:rFonts w:hint="eastAsia" w:ascii="宋体" w:hAnsi="宋体" w:cs="宋体"/>
                      <w:color w:val="000000"/>
                      <w:szCs w:val="21"/>
                    </w:rPr>
                    <w:t>本项目将按照环评要求，严格落实环保设施的建设；定期开展环境风险评估和隐患排查工作。</w:t>
                  </w:r>
                </w:p>
              </w:tc>
              <w:tc>
                <w:tcPr>
                  <w:tcW w:w="446" w:type="pct"/>
                  <w:vAlign w:val="center"/>
                </w:tcPr>
                <w:p w14:paraId="503FDE29">
                  <w:pPr>
                    <w:jc w:val="center"/>
                    <w:rPr>
                      <w:color w:val="000000"/>
                      <w:szCs w:val="21"/>
                    </w:rPr>
                  </w:pPr>
                  <w:r>
                    <w:rPr>
                      <w:rFonts w:hint="eastAsia" w:ascii="宋体" w:hAnsi="宋体" w:cs="宋体"/>
                      <w:color w:val="000000"/>
                      <w:szCs w:val="21"/>
                    </w:rPr>
                    <w:t>相符</w:t>
                  </w:r>
                </w:p>
              </w:tc>
            </w:tr>
            <w:tr w14:paraId="40E3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69" w:type="pct"/>
                  <w:vMerge w:val="continue"/>
                  <w:vAlign w:val="center"/>
                </w:tcPr>
                <w:p w14:paraId="33F90C74">
                  <w:pPr>
                    <w:jc w:val="center"/>
                    <w:rPr>
                      <w:rFonts w:hint="eastAsia" w:ascii="宋体" w:hAnsi="宋体" w:cs="宋体"/>
                      <w:color w:val="000000"/>
                      <w:szCs w:val="21"/>
                    </w:rPr>
                  </w:pPr>
                </w:p>
              </w:tc>
              <w:tc>
                <w:tcPr>
                  <w:tcW w:w="1714" w:type="pct"/>
                  <w:vAlign w:val="center"/>
                </w:tcPr>
                <w:p w14:paraId="4AB07A4A">
                  <w:pPr>
                    <w:jc w:val="center"/>
                    <w:rPr>
                      <w:color w:val="000000"/>
                      <w:szCs w:val="21"/>
                    </w:rPr>
                  </w:pPr>
                  <w:r>
                    <w:rPr>
                      <w:rFonts w:hint="eastAsia"/>
                      <w:color w:val="000000"/>
                      <w:szCs w:val="21"/>
                    </w:rPr>
                    <w:t>13.坚决把严把牢生态环境准入关，推动各类产业园区依法依规开展规划环评，指导督促建设项目环评提出落实环保设施安全生产的工作要求和环境风险防范措施，强化源头防控，防范环境风险。</w:t>
                  </w:r>
                </w:p>
              </w:tc>
              <w:tc>
                <w:tcPr>
                  <w:tcW w:w="1469" w:type="pct"/>
                  <w:vAlign w:val="center"/>
                </w:tcPr>
                <w:p w14:paraId="3B77FCC2">
                  <w:pPr>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本项目位于古贤新材料产业园区，本项目将按照环评要求，</w:t>
                  </w:r>
                  <w:r>
                    <w:rPr>
                      <w:rFonts w:hint="eastAsia"/>
                      <w:color w:val="000000"/>
                      <w:szCs w:val="21"/>
                    </w:rPr>
                    <w:t>落实环保设施安全生产的工作要求和环境风险防范措施</w:t>
                  </w:r>
                  <w:r>
                    <w:rPr>
                      <w:rFonts w:hint="eastAsia"/>
                      <w:color w:val="000000"/>
                      <w:szCs w:val="21"/>
                      <w:lang w:eastAsia="zh-CN"/>
                    </w:rPr>
                    <w:t>。</w:t>
                  </w:r>
                </w:p>
              </w:tc>
              <w:tc>
                <w:tcPr>
                  <w:tcW w:w="446" w:type="pct"/>
                  <w:vAlign w:val="center"/>
                </w:tcPr>
                <w:p w14:paraId="71D5ADB2">
                  <w:pPr>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相符</w:t>
                  </w:r>
                </w:p>
              </w:tc>
            </w:tr>
          </w:tbl>
          <w:p w14:paraId="40A38CAC">
            <w:pPr>
              <w:pStyle w:val="100"/>
              <w:rPr>
                <w:color w:val="000000"/>
              </w:rPr>
            </w:pPr>
            <w:r>
              <w:rPr>
                <w:rFonts w:hint="eastAsia" w:ascii="宋体" w:hAnsi="宋体" w:cs="宋体"/>
                <w:color w:val="000000"/>
              </w:rPr>
              <w:t>由以上分析可知，项目建设符合</w:t>
            </w:r>
            <w:r>
              <w:rPr>
                <w:color w:val="000000"/>
              </w:rPr>
              <w:t>“</w:t>
            </w:r>
            <w:r>
              <w:rPr>
                <w:rFonts w:hint="eastAsia" w:ascii="宋体" w:hAnsi="宋体" w:cs="宋体"/>
                <w:color w:val="000000"/>
              </w:rPr>
              <w:t>安环文〔</w:t>
            </w:r>
            <w:r>
              <w:rPr>
                <w:rFonts w:hint="eastAsia"/>
                <w:color w:val="000000"/>
              </w:rPr>
              <w:t>2024</w:t>
            </w:r>
            <w:r>
              <w:rPr>
                <w:rFonts w:hint="eastAsia" w:ascii="宋体" w:hAnsi="宋体" w:cs="宋体"/>
                <w:color w:val="000000"/>
              </w:rPr>
              <w:t>〕</w:t>
            </w:r>
            <w:r>
              <w:rPr>
                <w:rFonts w:hint="eastAsia"/>
                <w:color w:val="000000"/>
              </w:rPr>
              <w:t>62</w:t>
            </w:r>
            <w:r>
              <w:rPr>
                <w:rFonts w:hint="eastAsia" w:ascii="宋体" w:hAnsi="宋体" w:cs="宋体"/>
                <w:color w:val="000000"/>
              </w:rPr>
              <w:t>号</w:t>
            </w:r>
            <w:r>
              <w:rPr>
                <w:color w:val="000000"/>
              </w:rPr>
              <w:t>”</w:t>
            </w:r>
            <w:r>
              <w:rPr>
                <w:rFonts w:hint="eastAsia" w:ascii="宋体" w:hAnsi="宋体" w:cs="宋体"/>
                <w:color w:val="000000"/>
              </w:rPr>
              <w:t>中的相关规定。</w:t>
            </w:r>
          </w:p>
          <w:p w14:paraId="073CED93">
            <w:pPr>
              <w:pStyle w:val="259"/>
              <w:spacing w:before="120" w:after="120"/>
            </w:pPr>
            <w:r>
              <w:rPr>
                <w:rFonts w:hint="eastAsia"/>
              </w:rPr>
              <w:t>6、</w:t>
            </w:r>
            <w:r>
              <w:t>备案一致性分析</w:t>
            </w:r>
          </w:p>
          <w:p w14:paraId="1994C95D">
            <w:pPr>
              <w:pStyle w:val="144"/>
            </w:pPr>
            <w:r>
              <w:rPr>
                <w:rFonts w:hint="eastAsia"/>
              </w:rPr>
              <w:t>本项目</w:t>
            </w:r>
            <w:r>
              <w:t>与</w:t>
            </w:r>
            <w:r>
              <w:rPr>
                <w:rFonts w:hint="eastAsia"/>
              </w:rPr>
              <w:t>投资</w:t>
            </w:r>
            <w:r>
              <w:t>项目备案一致性分析如下：</w:t>
            </w:r>
          </w:p>
          <w:p w14:paraId="64319F0B">
            <w:pPr>
              <w:pStyle w:val="56"/>
              <w:bidi w:val="0"/>
              <w:ind w:left="1050" w:leftChars="0" w:firstLineChars="0"/>
            </w:pPr>
            <w:r>
              <w:rPr>
                <w:rFonts w:hint="eastAsia"/>
              </w:rPr>
              <w:t xml:space="preserve">  </w:t>
            </w:r>
            <w:r>
              <w:t>备案一致性分析</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84"/>
              <w:gridCol w:w="3063"/>
              <w:gridCol w:w="3048"/>
              <w:gridCol w:w="917"/>
            </w:tblGrid>
            <w:tr w14:paraId="7E1E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4" w:type="dxa"/>
                  <w:vAlign w:val="center"/>
                </w:tcPr>
                <w:p w14:paraId="6B1B72B8">
                  <w:pPr>
                    <w:pStyle w:val="104"/>
                    <w:rPr>
                      <w:color w:val="000000"/>
                    </w:rPr>
                  </w:pPr>
                  <w:r>
                    <w:rPr>
                      <w:color w:val="000000"/>
                    </w:rPr>
                    <w:t>名称</w:t>
                  </w:r>
                </w:p>
              </w:tc>
              <w:tc>
                <w:tcPr>
                  <w:tcW w:w="3064" w:type="dxa"/>
                  <w:vAlign w:val="center"/>
                </w:tcPr>
                <w:p w14:paraId="572AF5CD">
                  <w:pPr>
                    <w:pStyle w:val="104"/>
                    <w:rPr>
                      <w:color w:val="000000"/>
                    </w:rPr>
                  </w:pPr>
                  <w:r>
                    <w:rPr>
                      <w:color w:val="000000"/>
                    </w:rPr>
                    <w:t>备案建设内容</w:t>
                  </w:r>
                </w:p>
              </w:tc>
              <w:tc>
                <w:tcPr>
                  <w:tcW w:w="3049" w:type="dxa"/>
                  <w:vAlign w:val="center"/>
                </w:tcPr>
                <w:p w14:paraId="0F944AA1">
                  <w:pPr>
                    <w:pStyle w:val="104"/>
                    <w:rPr>
                      <w:color w:val="000000"/>
                    </w:rPr>
                  </w:pPr>
                  <w:r>
                    <w:rPr>
                      <w:color w:val="000000"/>
                    </w:rPr>
                    <w:t>实际建设内容</w:t>
                  </w:r>
                </w:p>
              </w:tc>
              <w:tc>
                <w:tcPr>
                  <w:tcW w:w="917" w:type="dxa"/>
                  <w:vAlign w:val="center"/>
                </w:tcPr>
                <w:p w14:paraId="62DD5DA2">
                  <w:pPr>
                    <w:pStyle w:val="104"/>
                    <w:rPr>
                      <w:color w:val="000000"/>
                    </w:rPr>
                  </w:pPr>
                  <w:r>
                    <w:rPr>
                      <w:color w:val="000000"/>
                    </w:rPr>
                    <w:t>相符性</w:t>
                  </w:r>
                </w:p>
              </w:tc>
            </w:tr>
            <w:tr w14:paraId="7C11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4" w:type="dxa"/>
                  <w:vAlign w:val="center"/>
                </w:tcPr>
                <w:p w14:paraId="1940A777">
                  <w:pPr>
                    <w:pStyle w:val="104"/>
                    <w:rPr>
                      <w:color w:val="000000"/>
                    </w:rPr>
                  </w:pPr>
                  <w:r>
                    <w:rPr>
                      <w:color w:val="000000"/>
                    </w:rPr>
                    <w:t>项目名称</w:t>
                  </w:r>
                </w:p>
              </w:tc>
              <w:tc>
                <w:tcPr>
                  <w:tcW w:w="3064" w:type="dxa"/>
                  <w:vAlign w:val="center"/>
                </w:tcPr>
                <w:p w14:paraId="389B2280">
                  <w:pPr>
                    <w:pStyle w:val="104"/>
                    <w:rPr>
                      <w:rFonts w:hint="default"/>
                      <w:lang w:val="en-US"/>
                    </w:rPr>
                  </w:pPr>
                  <w:r>
                    <w:rPr>
                      <w:rFonts w:hint="eastAsia"/>
                      <w:lang w:val="en-US" w:eastAsia="zh-CN"/>
                    </w:rPr>
                    <w:t>豆制品深加工项目</w:t>
                  </w:r>
                </w:p>
              </w:tc>
              <w:tc>
                <w:tcPr>
                  <w:tcW w:w="3049" w:type="dxa"/>
                  <w:vAlign w:val="center"/>
                </w:tcPr>
                <w:p w14:paraId="2ADC4859">
                  <w:pPr>
                    <w:pStyle w:val="104"/>
                    <w:rPr>
                      <w:rFonts w:hint="default"/>
                      <w:lang w:val="en-US"/>
                    </w:rPr>
                  </w:pPr>
                  <w:r>
                    <w:rPr>
                      <w:rFonts w:hint="eastAsia"/>
                      <w:lang w:val="en-US" w:eastAsia="zh-CN"/>
                    </w:rPr>
                    <w:t>豆制品深加工项目</w:t>
                  </w:r>
                </w:p>
              </w:tc>
              <w:tc>
                <w:tcPr>
                  <w:tcW w:w="917" w:type="dxa"/>
                  <w:vAlign w:val="center"/>
                </w:tcPr>
                <w:p w14:paraId="6AC549AC">
                  <w:pPr>
                    <w:pStyle w:val="104"/>
                    <w:rPr>
                      <w:color w:val="000000"/>
                    </w:rPr>
                  </w:pPr>
                  <w:r>
                    <w:rPr>
                      <w:color w:val="000000"/>
                    </w:rPr>
                    <w:t>相符</w:t>
                  </w:r>
                </w:p>
              </w:tc>
            </w:tr>
            <w:tr w14:paraId="59B9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4" w:type="dxa"/>
                  <w:vAlign w:val="center"/>
                </w:tcPr>
                <w:p w14:paraId="16AB615E">
                  <w:pPr>
                    <w:pStyle w:val="104"/>
                    <w:rPr>
                      <w:color w:val="000000"/>
                    </w:rPr>
                  </w:pPr>
                  <w:r>
                    <w:rPr>
                      <w:color w:val="000000"/>
                    </w:rPr>
                    <w:t>建设单位</w:t>
                  </w:r>
                </w:p>
              </w:tc>
              <w:tc>
                <w:tcPr>
                  <w:tcW w:w="3064" w:type="dxa"/>
                  <w:vAlign w:val="center"/>
                </w:tcPr>
                <w:p w14:paraId="3A0B306C">
                  <w:pPr>
                    <w:pStyle w:val="104"/>
                  </w:pPr>
                  <w:r>
                    <w:rPr>
                      <w:rFonts w:hint="eastAsia"/>
                      <w:lang w:val="en-US" w:eastAsia="zh-CN"/>
                    </w:rPr>
                    <w:t>安阳市岳家酱食品有限公司</w:t>
                  </w:r>
                </w:p>
              </w:tc>
              <w:tc>
                <w:tcPr>
                  <w:tcW w:w="3049" w:type="dxa"/>
                  <w:vAlign w:val="center"/>
                </w:tcPr>
                <w:p w14:paraId="3B096F9D">
                  <w:pPr>
                    <w:pStyle w:val="104"/>
                  </w:pPr>
                  <w:r>
                    <w:rPr>
                      <w:rFonts w:hint="eastAsia"/>
                      <w:lang w:val="en-US" w:eastAsia="zh-CN"/>
                    </w:rPr>
                    <w:t>安阳市岳家酱食品有限公司</w:t>
                  </w:r>
                </w:p>
              </w:tc>
              <w:tc>
                <w:tcPr>
                  <w:tcW w:w="917" w:type="dxa"/>
                  <w:vAlign w:val="center"/>
                </w:tcPr>
                <w:p w14:paraId="40FDFD84">
                  <w:pPr>
                    <w:pStyle w:val="104"/>
                    <w:rPr>
                      <w:color w:val="000000"/>
                    </w:rPr>
                  </w:pPr>
                  <w:r>
                    <w:rPr>
                      <w:color w:val="000000"/>
                    </w:rPr>
                    <w:t>相符</w:t>
                  </w:r>
                </w:p>
              </w:tc>
            </w:tr>
            <w:tr w14:paraId="1682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4" w:type="dxa"/>
                  <w:vAlign w:val="center"/>
                </w:tcPr>
                <w:p w14:paraId="041638A2">
                  <w:pPr>
                    <w:pStyle w:val="104"/>
                    <w:rPr>
                      <w:color w:val="000000"/>
                    </w:rPr>
                  </w:pPr>
                  <w:r>
                    <w:rPr>
                      <w:color w:val="000000"/>
                    </w:rPr>
                    <w:t>建设地点</w:t>
                  </w:r>
                </w:p>
              </w:tc>
              <w:tc>
                <w:tcPr>
                  <w:tcW w:w="3064" w:type="dxa"/>
                  <w:vAlign w:val="center"/>
                </w:tcPr>
                <w:p w14:paraId="1671AC46">
                  <w:pPr>
                    <w:pStyle w:val="104"/>
                    <w:rPr>
                      <w:rFonts w:hint="default" w:eastAsia="宋体"/>
                      <w:lang w:val="en-US" w:eastAsia="zh-CN"/>
                    </w:rPr>
                  </w:pPr>
                  <w:r>
                    <w:rPr>
                      <w:rFonts w:hint="eastAsia"/>
                    </w:rPr>
                    <w:t>安阳市</w:t>
                  </w:r>
                  <w:r>
                    <w:rPr>
                      <w:rFonts w:hint="eastAsia"/>
                      <w:lang w:val="en-US" w:eastAsia="zh-CN"/>
                    </w:rPr>
                    <w:t>汤阴县古贤镇材料园区腾飞路东侧8号</w:t>
                  </w:r>
                </w:p>
              </w:tc>
              <w:tc>
                <w:tcPr>
                  <w:tcW w:w="3049" w:type="dxa"/>
                  <w:vAlign w:val="center"/>
                </w:tcPr>
                <w:p w14:paraId="47CF77A8">
                  <w:pPr>
                    <w:pStyle w:val="104"/>
                    <w:rPr>
                      <w:rFonts w:hint="default" w:eastAsia="宋体"/>
                      <w:lang w:val="en-US" w:eastAsia="zh-CN"/>
                    </w:rPr>
                  </w:pPr>
                  <w:r>
                    <w:rPr>
                      <w:rFonts w:hint="eastAsia"/>
                    </w:rPr>
                    <w:t>安阳市</w:t>
                  </w:r>
                  <w:r>
                    <w:rPr>
                      <w:rFonts w:hint="eastAsia"/>
                      <w:lang w:val="en-US" w:eastAsia="zh-CN"/>
                    </w:rPr>
                    <w:t>汤阴县古贤镇材料园区腾飞路东侧8号</w:t>
                  </w:r>
                </w:p>
              </w:tc>
              <w:tc>
                <w:tcPr>
                  <w:tcW w:w="917" w:type="dxa"/>
                  <w:vAlign w:val="center"/>
                </w:tcPr>
                <w:p w14:paraId="632BD18F">
                  <w:pPr>
                    <w:pStyle w:val="104"/>
                    <w:rPr>
                      <w:color w:val="000000"/>
                    </w:rPr>
                  </w:pPr>
                  <w:r>
                    <w:rPr>
                      <w:color w:val="000000"/>
                    </w:rPr>
                    <w:t>相符</w:t>
                  </w:r>
                </w:p>
              </w:tc>
            </w:tr>
            <w:tr w14:paraId="6F45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4" w:type="dxa"/>
                  <w:vAlign w:val="center"/>
                </w:tcPr>
                <w:p w14:paraId="56F54A12">
                  <w:pPr>
                    <w:pStyle w:val="104"/>
                    <w:rPr>
                      <w:color w:val="000000"/>
                    </w:rPr>
                  </w:pPr>
                  <w:r>
                    <w:rPr>
                      <w:rFonts w:hint="eastAsia"/>
                      <w:color w:val="000000"/>
                    </w:rPr>
                    <w:t>建设性质</w:t>
                  </w:r>
                </w:p>
              </w:tc>
              <w:tc>
                <w:tcPr>
                  <w:tcW w:w="3064" w:type="dxa"/>
                  <w:vAlign w:val="center"/>
                </w:tcPr>
                <w:p w14:paraId="7F1926AB">
                  <w:pPr>
                    <w:pStyle w:val="104"/>
                  </w:pPr>
                  <w:r>
                    <w:rPr>
                      <w:rFonts w:hint="eastAsia"/>
                    </w:rPr>
                    <w:t>新建</w:t>
                  </w:r>
                </w:p>
              </w:tc>
              <w:tc>
                <w:tcPr>
                  <w:tcW w:w="3049" w:type="dxa"/>
                  <w:vAlign w:val="center"/>
                </w:tcPr>
                <w:p w14:paraId="0605FFE7">
                  <w:pPr>
                    <w:pStyle w:val="104"/>
                  </w:pPr>
                  <w:r>
                    <w:rPr>
                      <w:rFonts w:hint="eastAsia"/>
                    </w:rPr>
                    <w:t>新建</w:t>
                  </w:r>
                </w:p>
              </w:tc>
              <w:tc>
                <w:tcPr>
                  <w:tcW w:w="917" w:type="dxa"/>
                  <w:vAlign w:val="center"/>
                </w:tcPr>
                <w:p w14:paraId="02CE8CBC">
                  <w:pPr>
                    <w:pStyle w:val="104"/>
                    <w:rPr>
                      <w:color w:val="000000"/>
                    </w:rPr>
                  </w:pPr>
                  <w:r>
                    <w:rPr>
                      <w:color w:val="000000"/>
                    </w:rPr>
                    <w:t>相符</w:t>
                  </w:r>
                </w:p>
              </w:tc>
            </w:tr>
            <w:tr w14:paraId="72BB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184" w:type="dxa"/>
                  <w:vAlign w:val="center"/>
                </w:tcPr>
                <w:p w14:paraId="57E5B267">
                  <w:pPr>
                    <w:pStyle w:val="104"/>
                    <w:rPr>
                      <w:color w:val="000000"/>
                    </w:rPr>
                  </w:pPr>
                  <w:r>
                    <w:rPr>
                      <w:rFonts w:hint="eastAsia"/>
                      <w:color w:val="000000"/>
                    </w:rPr>
                    <w:t>建设规模及内容</w:t>
                  </w:r>
                </w:p>
              </w:tc>
              <w:tc>
                <w:tcPr>
                  <w:tcW w:w="3064" w:type="dxa"/>
                </w:tcPr>
                <w:p w14:paraId="00302545">
                  <w:pPr>
                    <w:pStyle w:val="104"/>
                  </w:pPr>
                  <w:r>
                    <w:rPr>
                      <w:rFonts w:hint="eastAsia"/>
                      <w:lang w:val="en-US" w:eastAsia="zh-CN"/>
                    </w:rPr>
                    <w:t>建设内容包括厂房装修、办公设备、豆制品深加工、调味酱2条生产线和1条分装线，项目建设规模为3000m</w:t>
                  </w:r>
                  <w:r>
                    <w:rPr>
                      <w:rFonts w:hint="eastAsia"/>
                      <w:vertAlign w:val="superscript"/>
                      <w:lang w:val="en-US" w:eastAsia="zh-CN"/>
                    </w:rPr>
                    <w:t>2</w:t>
                  </w:r>
                  <w:r>
                    <w:rPr>
                      <w:rFonts w:hint="eastAsia"/>
                      <w:vertAlign w:val="baseline"/>
                      <w:lang w:val="en-US" w:eastAsia="zh-CN"/>
                    </w:rPr>
                    <w:t>。</w:t>
                  </w:r>
                  <w:r>
                    <w:rPr>
                      <w:rFonts w:hint="eastAsia"/>
                      <w:lang w:val="en-US" w:eastAsia="zh-CN"/>
                    </w:rPr>
                    <w:t>项目采用炒制、杀菌工艺，流程为原料-前处理-炒（蒸）制-包装--杀菌。主要装备有炒制锅、灌装间、杀菌线等。主要产品为复合调味料和豆腐干，产业主要用于食用。</w:t>
                  </w:r>
                </w:p>
              </w:tc>
              <w:tc>
                <w:tcPr>
                  <w:tcW w:w="3049" w:type="dxa"/>
                </w:tcPr>
                <w:p w14:paraId="2C0DF91D">
                  <w:pPr>
                    <w:pStyle w:val="104"/>
                  </w:pPr>
                  <w:r>
                    <w:rPr>
                      <w:rFonts w:hint="eastAsia"/>
                      <w:lang w:val="en-US" w:eastAsia="zh-CN"/>
                    </w:rPr>
                    <w:t>建设内容包括厂房装修、办公设备、豆制品深加工、调味酱2条生产线和1条分装线，项目建设规模为3000m</w:t>
                  </w:r>
                  <w:r>
                    <w:rPr>
                      <w:rFonts w:hint="eastAsia"/>
                      <w:vertAlign w:val="superscript"/>
                      <w:lang w:val="en-US" w:eastAsia="zh-CN"/>
                    </w:rPr>
                    <w:t>2</w:t>
                  </w:r>
                  <w:r>
                    <w:rPr>
                      <w:rFonts w:hint="eastAsia"/>
                      <w:vertAlign w:val="baseline"/>
                      <w:lang w:val="en-US" w:eastAsia="zh-CN"/>
                    </w:rPr>
                    <w:t>。</w:t>
                  </w:r>
                  <w:r>
                    <w:rPr>
                      <w:rFonts w:hint="eastAsia"/>
                      <w:lang w:val="en-US" w:eastAsia="zh-CN"/>
                    </w:rPr>
                    <w:t>项目采用炒制、杀菌工艺，流程为原料-前处理-炒（蒸）制-包装--杀菌。主要装备有炒制锅、灌装间、杀菌线等。主要产品为复合调味料和豆腐干，产业主要用于食用。</w:t>
                  </w:r>
                </w:p>
              </w:tc>
              <w:tc>
                <w:tcPr>
                  <w:tcW w:w="917" w:type="dxa"/>
                  <w:vAlign w:val="center"/>
                </w:tcPr>
                <w:p w14:paraId="76935629">
                  <w:pPr>
                    <w:pStyle w:val="104"/>
                    <w:rPr>
                      <w:color w:val="000000"/>
                    </w:rPr>
                  </w:pPr>
                  <w:r>
                    <w:rPr>
                      <w:rFonts w:hint="eastAsia"/>
                      <w:color w:val="000000"/>
                    </w:rPr>
                    <w:t>相符</w:t>
                  </w:r>
                </w:p>
              </w:tc>
            </w:tr>
          </w:tbl>
          <w:p w14:paraId="36F06291">
            <w:pPr>
              <w:pStyle w:val="144"/>
            </w:pPr>
            <w:r>
              <w:rPr>
                <w:rFonts w:hint="eastAsia"/>
              </w:rPr>
              <w:t>本项目</w:t>
            </w:r>
            <w:r>
              <w:t>实际建设内容与</w:t>
            </w:r>
            <w:r>
              <w:rPr>
                <w:rFonts w:hint="eastAsia"/>
              </w:rPr>
              <w:t>备案内容</w:t>
            </w:r>
            <w:r>
              <w:t>一致。</w:t>
            </w:r>
          </w:p>
        </w:tc>
      </w:tr>
    </w:tbl>
    <w:p w14:paraId="3FF1845A">
      <w:pPr>
        <w:adjustRightInd w:val="0"/>
        <w:snapToGrid w:val="0"/>
        <w:spacing w:line="360" w:lineRule="auto"/>
        <w:outlineLvl w:val="0"/>
        <w:rPr>
          <w:rFonts w:eastAsia="黑体"/>
          <w:sz w:val="30"/>
        </w:rPr>
        <w:sectPr>
          <w:footerReference r:id="rId3" w:type="default"/>
          <w:pgSz w:w="11906" w:h="16838"/>
          <w:pgMar w:top="1701" w:right="1531" w:bottom="1701" w:left="1531" w:header="851" w:footer="1077" w:gutter="0"/>
          <w:pgNumType w:start="1"/>
          <w:cols w:space="720" w:num="1"/>
          <w:docGrid w:linePitch="312" w:charSpace="0"/>
        </w:sectPr>
      </w:pPr>
    </w:p>
    <w:p w14:paraId="6452258F">
      <w:pPr>
        <w:pStyle w:val="263"/>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snapToGrid w:val="0"/>
        </w:rPr>
      </w:pPr>
      <w:bookmarkStart w:id="14" w:name="_Toc197848423"/>
      <w:r>
        <w:rPr>
          <w:snapToGrid w:val="0"/>
        </w:rPr>
        <w:t>二、建设项目工程分析</w:t>
      </w:r>
      <w:bookmarkEnd w:id="14"/>
    </w:p>
    <w:tbl>
      <w:tblPr>
        <w:tblStyle w:val="4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634"/>
      </w:tblGrid>
      <w:tr w14:paraId="0938B4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1" w:hRule="atLeast"/>
          <w:jc w:val="center"/>
        </w:trPr>
        <w:tc>
          <w:tcPr>
            <w:tcW w:w="534" w:type="dxa"/>
            <w:vAlign w:val="center"/>
          </w:tcPr>
          <w:p w14:paraId="3AE51C5F">
            <w:pPr>
              <w:pStyle w:val="42"/>
              <w:adjustRightInd w:val="0"/>
              <w:snapToGrid w:val="0"/>
              <w:spacing w:before="0" w:beforeAutospacing="0" w:after="0" w:afterAutospacing="0"/>
              <w:jc w:val="center"/>
              <w:rPr>
                <w:rFonts w:ascii="Times New Roman" w:hAnsi="Times New Roman"/>
                <w:sz w:val="21"/>
                <w:szCs w:val="21"/>
              </w:rPr>
            </w:pPr>
            <w:r>
              <w:rPr>
                <w:rFonts w:ascii="Times New Roman" w:hAnsi="Times New Roman"/>
                <w:sz w:val="21"/>
                <w:szCs w:val="21"/>
              </w:rPr>
              <w:t>建设内容</w:t>
            </w:r>
          </w:p>
        </w:tc>
        <w:tc>
          <w:tcPr>
            <w:tcW w:w="8526" w:type="dxa"/>
          </w:tcPr>
          <w:p w14:paraId="593B7942">
            <w:pPr>
              <w:pStyle w:val="259"/>
              <w:spacing w:before="120" w:after="120"/>
            </w:pPr>
            <w:bookmarkStart w:id="15" w:name="_Toc197848424"/>
            <w:r>
              <w:t>1、项目由来</w:t>
            </w:r>
            <w:bookmarkEnd w:id="15"/>
          </w:p>
          <w:p w14:paraId="1DD8E438">
            <w:pPr>
              <w:pStyle w:val="144"/>
            </w:pPr>
            <w:r>
              <w:rPr>
                <w:rFonts w:hint="eastAsia"/>
                <w:lang w:val="en-US" w:eastAsia="zh-CN"/>
              </w:rPr>
              <w:t>安阳市岳家酱食品有限公司</w:t>
            </w:r>
            <w:r>
              <w:t>拟投资</w:t>
            </w:r>
            <w:r>
              <w:rPr>
                <w:rFonts w:hint="eastAsia"/>
                <w:lang w:val="en-US" w:eastAsia="zh-CN"/>
              </w:rPr>
              <w:t>20</w:t>
            </w:r>
            <w:r>
              <w:rPr>
                <w:rFonts w:hint="eastAsia"/>
              </w:rPr>
              <w:t>00万</w:t>
            </w:r>
            <w:r>
              <w:t>元</w:t>
            </w:r>
            <w:r>
              <w:rPr>
                <w:rFonts w:hint="eastAsia"/>
                <w:lang w:eastAsia="zh-CN"/>
              </w:rPr>
              <w:t>在</w:t>
            </w:r>
            <w:r>
              <w:rPr>
                <w:rFonts w:hint="eastAsia"/>
                <w:lang w:val="en-US" w:eastAsia="zh-CN"/>
              </w:rPr>
              <w:t>安阳市汤阴县古贤镇材料园区腾飞路东侧8号</w:t>
            </w:r>
            <w:r>
              <w:rPr>
                <w:rFonts w:hint="eastAsia"/>
              </w:rPr>
              <w:t>建设</w:t>
            </w:r>
            <w:r>
              <w:rPr>
                <w:rFonts w:hint="eastAsia"/>
                <w:lang w:val="en-US" w:eastAsia="zh-CN"/>
              </w:rPr>
              <w:t>安阳市岳家酱食品有限公司豆制品深加工</w:t>
            </w:r>
            <w:r>
              <w:rPr>
                <w:rFonts w:hint="eastAsia"/>
              </w:rPr>
              <w:t>项目</w:t>
            </w:r>
            <w:r>
              <w:t>。</w:t>
            </w:r>
            <w:bookmarkStart w:id="16" w:name="OLE_LINK142"/>
            <w:r>
              <w:rPr>
                <w:rFonts w:hint="eastAsia"/>
              </w:rPr>
              <w:t>该</w:t>
            </w:r>
            <w:r>
              <w:t>项目于202</w:t>
            </w:r>
            <w:r>
              <w:rPr>
                <w:rFonts w:hint="eastAsia"/>
                <w:lang w:val="en-US" w:eastAsia="zh-CN"/>
              </w:rPr>
              <w:t>6</w:t>
            </w:r>
            <w:r>
              <w:t>年</w:t>
            </w:r>
            <w:r>
              <w:rPr>
                <w:rFonts w:hint="eastAsia"/>
                <w:lang w:val="en-US" w:eastAsia="zh-CN"/>
              </w:rPr>
              <w:t>1</w:t>
            </w:r>
            <w:r>
              <w:t>月</w:t>
            </w:r>
            <w:r>
              <w:rPr>
                <w:rFonts w:hint="eastAsia"/>
                <w:lang w:val="en-US" w:eastAsia="zh-CN"/>
              </w:rPr>
              <w:t>29</w:t>
            </w:r>
            <w:r>
              <w:t>日经</w:t>
            </w:r>
            <w:r>
              <w:rPr>
                <w:rFonts w:hint="eastAsia"/>
                <w:lang w:val="en-US" w:eastAsia="zh-CN"/>
              </w:rPr>
              <w:t>汤阴</w:t>
            </w:r>
            <w:r>
              <w:rPr>
                <w:rFonts w:hint="eastAsia"/>
              </w:rPr>
              <w:t>县发展和改革委员会</w:t>
            </w:r>
            <w:r>
              <w:t>备案</w:t>
            </w:r>
            <w:r>
              <w:rPr>
                <w:rFonts w:hint="eastAsia"/>
              </w:rPr>
              <w:t>，</w:t>
            </w:r>
            <w:r>
              <w:t>备案项目代码为</w:t>
            </w:r>
            <w:r>
              <w:rPr>
                <w:rFonts w:hint="eastAsia"/>
              </w:rPr>
              <w:t>2</w:t>
            </w:r>
            <w:r>
              <w:rPr>
                <w:rFonts w:hint="eastAsia"/>
                <w:lang w:val="en-US" w:eastAsia="zh-CN"/>
              </w:rPr>
              <w:t>601</w:t>
            </w:r>
            <w:r>
              <w:rPr>
                <w:rFonts w:hint="eastAsia"/>
              </w:rPr>
              <w:t>-41052</w:t>
            </w:r>
            <w:r>
              <w:rPr>
                <w:rFonts w:hint="eastAsia"/>
                <w:lang w:val="en-US" w:eastAsia="zh-CN"/>
              </w:rPr>
              <w:t>3</w:t>
            </w:r>
            <w:r>
              <w:rPr>
                <w:rFonts w:hint="eastAsia"/>
              </w:rPr>
              <w:t>-04-0</w:t>
            </w:r>
            <w:r>
              <w:rPr>
                <w:rFonts w:hint="eastAsia"/>
                <w:lang w:val="en-US" w:eastAsia="zh-CN"/>
              </w:rPr>
              <w:t>1</w:t>
            </w:r>
            <w:r>
              <w:rPr>
                <w:rFonts w:hint="eastAsia"/>
              </w:rPr>
              <w:t>-</w:t>
            </w:r>
            <w:r>
              <w:rPr>
                <w:rFonts w:hint="eastAsia"/>
                <w:lang w:val="en-US" w:eastAsia="zh-CN"/>
              </w:rPr>
              <w:t>515366</w:t>
            </w:r>
            <w:r>
              <w:t>。</w:t>
            </w:r>
            <w:bookmarkEnd w:id="16"/>
          </w:p>
          <w:p w14:paraId="7297E4D0">
            <w:pPr>
              <w:pStyle w:val="144"/>
            </w:pPr>
            <w:r>
              <w:t>依据</w:t>
            </w:r>
            <w:r>
              <w:rPr>
                <w:rFonts w:hint="eastAsia"/>
              </w:rPr>
              <w:t>《</w:t>
            </w:r>
            <w:r>
              <w:t>建设项目环境影响评价分类管理名录</w:t>
            </w:r>
            <w:r>
              <w:rPr>
                <w:rFonts w:hint="eastAsia"/>
              </w:rPr>
              <w:t>》</w:t>
            </w:r>
            <w:r>
              <w:t>（2021年版）</w:t>
            </w:r>
            <w:r>
              <w:rPr>
                <w:rFonts w:hint="eastAsia"/>
              </w:rPr>
              <w:t>，</w:t>
            </w:r>
            <w:r>
              <w:t>项目属于</w:t>
            </w:r>
            <w:r>
              <w:rPr>
                <w:rFonts w:hint="eastAsia"/>
              </w:rPr>
              <w:t>“十</w:t>
            </w:r>
            <w:r>
              <w:rPr>
                <w:rFonts w:hint="eastAsia"/>
                <w:lang w:eastAsia="zh-CN"/>
              </w:rPr>
              <w:t>、</w:t>
            </w:r>
            <w:r>
              <w:rPr>
                <w:rFonts w:hint="eastAsia"/>
                <w:lang w:val="en-US" w:eastAsia="zh-CN"/>
              </w:rPr>
              <w:t>农副食品加工业13</w:t>
            </w:r>
            <w:r>
              <w:rPr>
                <w:rFonts w:hint="eastAsia"/>
              </w:rPr>
              <w:t>；2</w:t>
            </w:r>
            <w:r>
              <w:rPr>
                <w:rFonts w:hint="eastAsia"/>
                <w:lang w:val="en-US" w:eastAsia="zh-CN"/>
              </w:rPr>
              <w:t>0</w:t>
            </w:r>
            <w:r>
              <w:rPr>
                <w:rFonts w:hint="eastAsia"/>
              </w:rPr>
              <w:t>、</w:t>
            </w:r>
            <w:r>
              <w:rPr>
                <w:rFonts w:hint="eastAsia"/>
                <w:lang w:val="en-US" w:eastAsia="zh-CN"/>
              </w:rPr>
              <w:t>其他农副食品加工139</w:t>
            </w:r>
            <w:r>
              <w:rPr>
                <w:rFonts w:hint="eastAsia"/>
              </w:rPr>
              <w:t>*</w:t>
            </w:r>
            <w:r>
              <w:rPr>
                <w:rFonts w:hint="eastAsia"/>
                <w:lang w:val="en-US" w:eastAsia="zh-CN"/>
              </w:rPr>
              <w:t>中豆制品制造及十一、食品制造业14；23调味品、发酵制品制造146</w:t>
            </w:r>
            <w:r>
              <w:rPr>
                <w:rFonts w:hint="eastAsia"/>
              </w:rPr>
              <w:t>*</w:t>
            </w:r>
            <w:r>
              <w:rPr>
                <w:rFonts w:hint="eastAsia"/>
                <w:lang w:val="en-US" w:eastAsia="zh-CN"/>
              </w:rPr>
              <w:t>中其他（单纯混合、分装外的）</w:t>
            </w:r>
            <w:r>
              <w:rPr>
                <w:rFonts w:hint="eastAsia"/>
              </w:rPr>
              <w:t>”</w:t>
            </w:r>
            <w:r>
              <w:rPr>
                <w:rFonts w:hint="eastAsia"/>
                <w:lang w:eastAsia="zh-CN"/>
              </w:rPr>
              <w:t>，</w:t>
            </w:r>
            <w:r>
              <w:rPr>
                <w:rFonts w:hint="eastAsia"/>
              </w:rPr>
              <w:t>本项目</w:t>
            </w:r>
            <w:r>
              <w:rPr>
                <w:lang w:val="zh-CN"/>
              </w:rPr>
              <w:t>应编制环境影响报告表</w:t>
            </w:r>
            <w:r>
              <w:rPr>
                <w:rFonts w:hint="eastAsia"/>
                <w:lang w:val="zh-CN"/>
              </w:rPr>
              <w:t>。受</w:t>
            </w:r>
            <w:r>
              <w:rPr>
                <w:lang w:val="zh-CN"/>
              </w:rPr>
              <w:t>建设单位委托，我公司</w:t>
            </w:r>
            <w:r>
              <w:t>在现场勘察、资料分析和专家咨询的基础上</w:t>
            </w:r>
            <w:r>
              <w:rPr>
                <w:rFonts w:hint="eastAsia"/>
              </w:rPr>
              <w:t>，</w:t>
            </w:r>
            <w:r>
              <w:t>遵照国家环境保护法规</w:t>
            </w:r>
            <w:r>
              <w:rPr>
                <w:rFonts w:hint="eastAsia"/>
              </w:rPr>
              <w:t>，</w:t>
            </w:r>
            <w:r>
              <w:t>贯彻执行清洁生产、达标排放、总量控制的原则</w:t>
            </w:r>
            <w:r>
              <w:rPr>
                <w:rFonts w:hint="eastAsia"/>
              </w:rPr>
              <w:t>，</w:t>
            </w:r>
            <w:r>
              <w:t>本着客观、公正、科学、规范的要求</w:t>
            </w:r>
            <w:r>
              <w:rPr>
                <w:rFonts w:hint="eastAsia"/>
              </w:rPr>
              <w:t>，</w:t>
            </w:r>
            <w:r>
              <w:t>编制完成了</w:t>
            </w:r>
            <w:r>
              <w:rPr>
                <w:rFonts w:hint="eastAsia"/>
              </w:rPr>
              <w:t>《</w:t>
            </w:r>
            <w:r>
              <w:rPr>
                <w:rFonts w:hint="eastAsia"/>
                <w:lang w:val="en-US" w:eastAsia="zh-CN"/>
              </w:rPr>
              <w:t>安阳市岳家酱食品有限公司豆制品深加工项目</w:t>
            </w:r>
            <w:r>
              <w:t>环境影响报告表</w:t>
            </w:r>
            <w:r>
              <w:rPr>
                <w:rFonts w:hint="eastAsia"/>
              </w:rPr>
              <w:t>》</w:t>
            </w:r>
            <w:r>
              <w:t>。</w:t>
            </w:r>
          </w:p>
          <w:p w14:paraId="194482AE">
            <w:pPr>
              <w:pStyle w:val="259"/>
              <w:spacing w:before="120" w:after="120"/>
            </w:pPr>
            <w:bookmarkStart w:id="17" w:name="_Toc197848425"/>
            <w:r>
              <w:t>2、项目概况</w:t>
            </w:r>
            <w:bookmarkEnd w:id="17"/>
          </w:p>
          <w:p w14:paraId="4715D707">
            <w:pPr>
              <w:pStyle w:val="144"/>
            </w:pPr>
            <w:r>
              <w:rPr>
                <w:rFonts w:hint="eastAsia"/>
              </w:rPr>
              <w:t>本项目建设</w:t>
            </w:r>
            <w:r>
              <w:t>基本情况一览表</w:t>
            </w:r>
            <w:r>
              <w:rPr>
                <w:rFonts w:hint="eastAsia"/>
              </w:rPr>
              <w:t>如下：</w:t>
            </w:r>
          </w:p>
          <w:p w14:paraId="47E800FA">
            <w:pPr>
              <w:pStyle w:val="56"/>
              <w:numPr>
                <w:ilvl w:val="0"/>
                <w:numId w:val="0"/>
              </w:numPr>
              <w:bidi w:val="0"/>
              <w:ind w:leftChars="0" w:firstLine="2209" w:firstLineChars="1000"/>
              <w:jc w:val="both"/>
            </w:pPr>
            <w:r>
              <w:rPr>
                <w:rFonts w:hint="eastAsia"/>
                <w:lang w:val="en-US" w:eastAsia="zh-CN"/>
              </w:rPr>
              <w:t xml:space="preserve">表10 </w:t>
            </w:r>
            <w:r>
              <w:t>项目</w:t>
            </w:r>
            <w:r>
              <w:rPr>
                <w:rFonts w:hint="eastAsia"/>
              </w:rPr>
              <w:t>建设</w:t>
            </w:r>
            <w:r>
              <w:t>基本情况一览表</w:t>
            </w:r>
          </w:p>
          <w:tbl>
            <w:tblPr>
              <w:tblStyle w:val="47"/>
              <w:tblW w:w="8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767"/>
              <w:gridCol w:w="1366"/>
              <w:gridCol w:w="5493"/>
            </w:tblGrid>
            <w:tr w14:paraId="0D9A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vAlign w:val="center"/>
                </w:tcPr>
                <w:p w14:paraId="1F705938">
                  <w:pPr>
                    <w:pStyle w:val="104"/>
                  </w:pPr>
                  <w:r>
                    <w:rPr>
                      <w:rFonts w:hint="eastAsia"/>
                    </w:rPr>
                    <w:t>序号</w:t>
                  </w:r>
                </w:p>
              </w:tc>
              <w:tc>
                <w:tcPr>
                  <w:tcW w:w="2133" w:type="dxa"/>
                  <w:gridSpan w:val="2"/>
                  <w:vAlign w:val="center"/>
                </w:tcPr>
                <w:p w14:paraId="441E1B25">
                  <w:pPr>
                    <w:pStyle w:val="104"/>
                  </w:pPr>
                  <w:r>
                    <w:rPr>
                      <w:rFonts w:hint="eastAsia"/>
                    </w:rPr>
                    <w:t>名称</w:t>
                  </w:r>
                </w:p>
              </w:tc>
              <w:tc>
                <w:tcPr>
                  <w:tcW w:w="5493" w:type="dxa"/>
                  <w:vAlign w:val="center"/>
                </w:tcPr>
                <w:p w14:paraId="62459535">
                  <w:pPr>
                    <w:pStyle w:val="104"/>
                  </w:pPr>
                  <w:r>
                    <w:rPr>
                      <w:rFonts w:hint="eastAsia"/>
                    </w:rPr>
                    <w:t>内容</w:t>
                  </w:r>
                </w:p>
              </w:tc>
            </w:tr>
            <w:tr w14:paraId="069E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vAlign w:val="center"/>
                </w:tcPr>
                <w:p w14:paraId="60DE56F1">
                  <w:pPr>
                    <w:pStyle w:val="104"/>
                    <w:rPr>
                      <w:rFonts w:hAnsi="Times New Roman"/>
                    </w:rPr>
                  </w:pPr>
                  <w:r>
                    <w:rPr>
                      <w:rFonts w:hAnsi="Times New Roman"/>
                    </w:rPr>
                    <w:t>1</w:t>
                  </w:r>
                </w:p>
              </w:tc>
              <w:tc>
                <w:tcPr>
                  <w:tcW w:w="2133" w:type="dxa"/>
                  <w:gridSpan w:val="2"/>
                  <w:vAlign w:val="center"/>
                </w:tcPr>
                <w:p w14:paraId="45EF0621">
                  <w:pPr>
                    <w:pStyle w:val="104"/>
                    <w:rPr>
                      <w:rFonts w:hAnsi="Times New Roman"/>
                    </w:rPr>
                  </w:pPr>
                  <w:r>
                    <w:rPr>
                      <w:rFonts w:hAnsi="Times New Roman"/>
                    </w:rPr>
                    <w:t>建设单位</w:t>
                  </w:r>
                </w:p>
              </w:tc>
              <w:tc>
                <w:tcPr>
                  <w:tcW w:w="5493" w:type="dxa"/>
                  <w:vAlign w:val="center"/>
                </w:tcPr>
                <w:p w14:paraId="494D2D29">
                  <w:pPr>
                    <w:pStyle w:val="104"/>
                    <w:rPr>
                      <w:rFonts w:hAnsi="Times New Roman"/>
                    </w:rPr>
                  </w:pPr>
                  <w:r>
                    <w:rPr>
                      <w:rFonts w:hint="eastAsia"/>
                      <w:lang w:val="en-US" w:eastAsia="zh-CN"/>
                    </w:rPr>
                    <w:t>安阳市岳家酱食品有限公司</w:t>
                  </w:r>
                </w:p>
              </w:tc>
            </w:tr>
            <w:tr w14:paraId="75FE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vAlign w:val="center"/>
                </w:tcPr>
                <w:p w14:paraId="46FF7A9B">
                  <w:pPr>
                    <w:pStyle w:val="104"/>
                    <w:rPr>
                      <w:rFonts w:hAnsi="Times New Roman"/>
                    </w:rPr>
                  </w:pPr>
                  <w:r>
                    <w:rPr>
                      <w:rFonts w:hAnsi="Times New Roman"/>
                    </w:rPr>
                    <w:t>2</w:t>
                  </w:r>
                </w:p>
              </w:tc>
              <w:tc>
                <w:tcPr>
                  <w:tcW w:w="2133" w:type="dxa"/>
                  <w:gridSpan w:val="2"/>
                  <w:vAlign w:val="center"/>
                </w:tcPr>
                <w:p w14:paraId="44484039">
                  <w:pPr>
                    <w:pStyle w:val="104"/>
                    <w:rPr>
                      <w:rFonts w:hAnsi="Times New Roman"/>
                    </w:rPr>
                  </w:pPr>
                  <w:r>
                    <w:rPr>
                      <w:rFonts w:hAnsi="Times New Roman"/>
                    </w:rPr>
                    <w:t>建设地点</w:t>
                  </w:r>
                </w:p>
              </w:tc>
              <w:tc>
                <w:tcPr>
                  <w:tcW w:w="5493" w:type="dxa"/>
                  <w:vAlign w:val="center"/>
                </w:tcPr>
                <w:p w14:paraId="5FBF24A2">
                  <w:pPr>
                    <w:pStyle w:val="104"/>
                    <w:rPr>
                      <w:rFonts w:hint="default" w:hAnsi="Times New Roman" w:eastAsia="宋体"/>
                      <w:lang w:val="en-US" w:eastAsia="zh-CN"/>
                    </w:rPr>
                  </w:pPr>
                  <w:r>
                    <w:rPr>
                      <w:rFonts w:hint="eastAsia"/>
                      <w:lang w:val="en-US" w:eastAsia="zh-CN"/>
                    </w:rPr>
                    <w:t>安阳市汤阴县古贤镇材料园区腾飞路东侧8号</w:t>
                  </w:r>
                </w:p>
              </w:tc>
            </w:tr>
            <w:tr w14:paraId="12CD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vAlign w:val="center"/>
                </w:tcPr>
                <w:p w14:paraId="6C61FC38">
                  <w:pPr>
                    <w:pStyle w:val="104"/>
                    <w:rPr>
                      <w:rFonts w:hAnsi="Times New Roman"/>
                    </w:rPr>
                  </w:pPr>
                  <w:r>
                    <w:rPr>
                      <w:rFonts w:hAnsi="Times New Roman"/>
                    </w:rPr>
                    <w:t>3</w:t>
                  </w:r>
                </w:p>
              </w:tc>
              <w:tc>
                <w:tcPr>
                  <w:tcW w:w="2133" w:type="dxa"/>
                  <w:gridSpan w:val="2"/>
                  <w:vAlign w:val="center"/>
                </w:tcPr>
                <w:p w14:paraId="6C957746">
                  <w:pPr>
                    <w:pStyle w:val="104"/>
                    <w:rPr>
                      <w:rFonts w:hAnsi="Times New Roman"/>
                    </w:rPr>
                  </w:pPr>
                  <w:r>
                    <w:rPr>
                      <w:rFonts w:hAnsi="Times New Roman"/>
                    </w:rPr>
                    <w:t>项目名称</w:t>
                  </w:r>
                </w:p>
              </w:tc>
              <w:tc>
                <w:tcPr>
                  <w:tcW w:w="5493" w:type="dxa"/>
                  <w:vAlign w:val="center"/>
                </w:tcPr>
                <w:p w14:paraId="421B1C58">
                  <w:pPr>
                    <w:pStyle w:val="104"/>
                    <w:rPr>
                      <w:rFonts w:hAnsi="Times New Roman"/>
                    </w:rPr>
                  </w:pPr>
                  <w:r>
                    <w:rPr>
                      <w:rFonts w:hint="eastAsia"/>
                      <w:lang w:val="en-US" w:eastAsia="zh-CN"/>
                    </w:rPr>
                    <w:t>豆制品深加工</w:t>
                  </w:r>
                  <w:r>
                    <w:rPr>
                      <w:rFonts w:hint="eastAsia"/>
                    </w:rPr>
                    <w:t>项目</w:t>
                  </w:r>
                </w:p>
              </w:tc>
            </w:tr>
            <w:tr w14:paraId="5874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vAlign w:val="center"/>
                </w:tcPr>
                <w:p w14:paraId="1B35A0BA">
                  <w:pPr>
                    <w:pStyle w:val="104"/>
                    <w:rPr>
                      <w:rFonts w:hAnsi="Times New Roman"/>
                    </w:rPr>
                  </w:pPr>
                  <w:r>
                    <w:rPr>
                      <w:rFonts w:hAnsi="Times New Roman"/>
                    </w:rPr>
                    <w:t>4</w:t>
                  </w:r>
                </w:p>
              </w:tc>
              <w:tc>
                <w:tcPr>
                  <w:tcW w:w="2133" w:type="dxa"/>
                  <w:gridSpan w:val="2"/>
                  <w:vAlign w:val="center"/>
                </w:tcPr>
                <w:p w14:paraId="4D454C25">
                  <w:pPr>
                    <w:pStyle w:val="104"/>
                    <w:rPr>
                      <w:rFonts w:hAnsi="Times New Roman"/>
                    </w:rPr>
                  </w:pPr>
                  <w:r>
                    <w:rPr>
                      <w:rFonts w:hAnsi="Times New Roman"/>
                    </w:rPr>
                    <w:t>投资总额</w:t>
                  </w:r>
                </w:p>
              </w:tc>
              <w:tc>
                <w:tcPr>
                  <w:tcW w:w="5493" w:type="dxa"/>
                  <w:vAlign w:val="center"/>
                </w:tcPr>
                <w:p w14:paraId="51E78061">
                  <w:pPr>
                    <w:pStyle w:val="104"/>
                    <w:rPr>
                      <w:rFonts w:hint="default" w:hAnsi="Times New Roman" w:eastAsia="宋体"/>
                      <w:lang w:val="en-US" w:eastAsia="zh-CN"/>
                    </w:rPr>
                  </w:pPr>
                  <w:r>
                    <w:rPr>
                      <w:rFonts w:hint="eastAsia" w:hAnsi="Times New Roman"/>
                      <w:lang w:val="en-US" w:eastAsia="zh-CN"/>
                    </w:rPr>
                    <w:t>2000万元</w:t>
                  </w:r>
                </w:p>
              </w:tc>
            </w:tr>
            <w:tr w14:paraId="1D72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vAlign w:val="center"/>
                </w:tcPr>
                <w:p w14:paraId="327F66B1">
                  <w:pPr>
                    <w:pStyle w:val="104"/>
                    <w:rPr>
                      <w:rFonts w:hAnsi="Times New Roman"/>
                    </w:rPr>
                  </w:pPr>
                  <w:r>
                    <w:rPr>
                      <w:rFonts w:hAnsi="Times New Roman"/>
                    </w:rPr>
                    <w:t>5</w:t>
                  </w:r>
                </w:p>
              </w:tc>
              <w:tc>
                <w:tcPr>
                  <w:tcW w:w="2133" w:type="dxa"/>
                  <w:gridSpan w:val="2"/>
                  <w:vAlign w:val="center"/>
                </w:tcPr>
                <w:p w14:paraId="31FD5469">
                  <w:pPr>
                    <w:pStyle w:val="104"/>
                    <w:rPr>
                      <w:rFonts w:hAnsi="Times New Roman"/>
                    </w:rPr>
                  </w:pPr>
                  <w:r>
                    <w:rPr>
                      <w:rFonts w:hAnsi="Times New Roman"/>
                    </w:rPr>
                    <w:t>生产规模</w:t>
                  </w:r>
                </w:p>
              </w:tc>
              <w:tc>
                <w:tcPr>
                  <w:tcW w:w="5493" w:type="dxa"/>
                  <w:vAlign w:val="center"/>
                </w:tcPr>
                <w:p w14:paraId="494995A7">
                  <w:pPr>
                    <w:pStyle w:val="104"/>
                    <w:rPr>
                      <w:rFonts w:hint="default" w:hAnsi="Times New Roman" w:eastAsia="宋体"/>
                      <w:lang w:val="en-US" w:eastAsia="zh-CN"/>
                    </w:rPr>
                  </w:pPr>
                  <w:r>
                    <w:rPr>
                      <w:rFonts w:hint="eastAsia" w:hAnsi="Times New Roman"/>
                    </w:rPr>
                    <w:t>年产</w:t>
                  </w:r>
                  <w:r>
                    <w:rPr>
                      <w:rFonts w:hint="eastAsia" w:hAnsi="Times New Roman"/>
                      <w:lang w:val="en-US" w:eastAsia="zh-CN"/>
                    </w:rPr>
                    <w:t>黄豆酱480吨、灰培豆腐260吨</w:t>
                  </w:r>
                </w:p>
              </w:tc>
            </w:tr>
            <w:tr w14:paraId="02E8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84" w:type="dxa"/>
                  <w:vAlign w:val="center"/>
                </w:tcPr>
                <w:p w14:paraId="4B782046">
                  <w:pPr>
                    <w:pStyle w:val="104"/>
                    <w:rPr>
                      <w:rFonts w:hAnsi="Times New Roman"/>
                    </w:rPr>
                  </w:pPr>
                  <w:r>
                    <w:rPr>
                      <w:rFonts w:hAnsi="Times New Roman"/>
                    </w:rPr>
                    <w:t>7</w:t>
                  </w:r>
                </w:p>
              </w:tc>
              <w:tc>
                <w:tcPr>
                  <w:tcW w:w="2133" w:type="dxa"/>
                  <w:gridSpan w:val="2"/>
                  <w:vAlign w:val="center"/>
                </w:tcPr>
                <w:p w14:paraId="3B2C4330">
                  <w:pPr>
                    <w:pStyle w:val="104"/>
                    <w:rPr>
                      <w:rFonts w:hAnsi="Times New Roman"/>
                    </w:rPr>
                  </w:pPr>
                  <w:r>
                    <w:rPr>
                      <w:rFonts w:hAnsi="Times New Roman"/>
                    </w:rPr>
                    <w:t>面积</w:t>
                  </w:r>
                </w:p>
              </w:tc>
              <w:tc>
                <w:tcPr>
                  <w:tcW w:w="5493" w:type="dxa"/>
                  <w:vAlign w:val="center"/>
                </w:tcPr>
                <w:p w14:paraId="54AAB649">
                  <w:pPr>
                    <w:pStyle w:val="104"/>
                    <w:rPr>
                      <w:rFonts w:hAnsi="Times New Roman"/>
                    </w:rPr>
                  </w:pPr>
                  <w:r>
                    <w:rPr>
                      <w:rFonts w:hAnsi="Times New Roman"/>
                    </w:rPr>
                    <w:t>建筑面积</w:t>
                  </w:r>
                  <w:r>
                    <w:rPr>
                      <w:rFonts w:hint="eastAsia" w:hAnsi="Times New Roman"/>
                      <w:lang w:val="en-US" w:eastAsia="zh-CN"/>
                    </w:rPr>
                    <w:t>3000</w:t>
                  </w:r>
                  <w:r>
                    <w:rPr>
                      <w:rFonts w:hint="eastAsia" w:hAnsi="Times New Roman"/>
                    </w:rPr>
                    <w:t>m</w:t>
                  </w:r>
                  <w:r>
                    <w:rPr>
                      <w:rFonts w:hint="eastAsia" w:hAnsi="Times New Roman"/>
                      <w:vertAlign w:val="superscript"/>
                    </w:rPr>
                    <w:t>2</w:t>
                  </w:r>
                </w:p>
              </w:tc>
            </w:tr>
            <w:tr w14:paraId="7390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vAlign w:val="center"/>
                </w:tcPr>
                <w:p w14:paraId="64A00605">
                  <w:pPr>
                    <w:pStyle w:val="104"/>
                    <w:rPr>
                      <w:rFonts w:hAnsi="Times New Roman"/>
                    </w:rPr>
                  </w:pPr>
                  <w:r>
                    <w:rPr>
                      <w:rFonts w:hAnsi="Times New Roman"/>
                    </w:rPr>
                    <w:t>8</w:t>
                  </w:r>
                </w:p>
              </w:tc>
              <w:tc>
                <w:tcPr>
                  <w:tcW w:w="2133" w:type="dxa"/>
                  <w:gridSpan w:val="2"/>
                  <w:vAlign w:val="center"/>
                </w:tcPr>
                <w:p w14:paraId="4138217E">
                  <w:pPr>
                    <w:pStyle w:val="104"/>
                    <w:rPr>
                      <w:rFonts w:hAnsi="Times New Roman"/>
                    </w:rPr>
                  </w:pPr>
                  <w:r>
                    <w:rPr>
                      <w:rFonts w:hAnsi="Times New Roman"/>
                    </w:rPr>
                    <w:t>工作制度</w:t>
                  </w:r>
                </w:p>
              </w:tc>
              <w:tc>
                <w:tcPr>
                  <w:tcW w:w="5493" w:type="dxa"/>
                  <w:vAlign w:val="center"/>
                </w:tcPr>
                <w:p w14:paraId="072DB898">
                  <w:pPr>
                    <w:pStyle w:val="104"/>
                    <w:rPr>
                      <w:rFonts w:hAnsi="Times New Roman"/>
                    </w:rPr>
                  </w:pPr>
                  <w:r>
                    <w:rPr>
                      <w:rFonts w:hAnsi="Times New Roman"/>
                    </w:rPr>
                    <w:t>年工作300天，每</w:t>
                  </w:r>
                  <w:r>
                    <w:rPr>
                      <w:rFonts w:hint="eastAsia" w:hAnsi="Times New Roman"/>
                    </w:rPr>
                    <w:t>1</w:t>
                  </w:r>
                  <w:r>
                    <w:rPr>
                      <w:rFonts w:hAnsi="Times New Roman"/>
                    </w:rPr>
                    <w:t>班制，每班</w:t>
                  </w:r>
                  <w:r>
                    <w:rPr>
                      <w:rFonts w:hint="eastAsia" w:hAnsi="Times New Roman"/>
                    </w:rPr>
                    <w:t xml:space="preserve"> </w:t>
                  </w:r>
                  <w:r>
                    <w:rPr>
                      <w:rFonts w:hint="eastAsia" w:hAnsi="Times New Roman"/>
                      <w:lang w:val="en-US" w:eastAsia="zh-CN"/>
                    </w:rPr>
                    <w:t>10</w:t>
                  </w:r>
                  <w:r>
                    <w:rPr>
                      <w:rFonts w:hAnsi="Times New Roman"/>
                    </w:rPr>
                    <w:t>小时</w:t>
                  </w:r>
                </w:p>
              </w:tc>
            </w:tr>
            <w:tr w14:paraId="288A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vAlign w:val="center"/>
                </w:tcPr>
                <w:p w14:paraId="73B6AC54">
                  <w:pPr>
                    <w:pStyle w:val="104"/>
                    <w:rPr>
                      <w:rFonts w:hAnsi="Times New Roman"/>
                    </w:rPr>
                  </w:pPr>
                  <w:r>
                    <w:rPr>
                      <w:rFonts w:hAnsi="Times New Roman"/>
                    </w:rPr>
                    <w:t>9</w:t>
                  </w:r>
                </w:p>
              </w:tc>
              <w:tc>
                <w:tcPr>
                  <w:tcW w:w="2133" w:type="dxa"/>
                  <w:gridSpan w:val="2"/>
                  <w:vAlign w:val="center"/>
                </w:tcPr>
                <w:p w14:paraId="3B342798">
                  <w:pPr>
                    <w:pStyle w:val="104"/>
                    <w:rPr>
                      <w:rFonts w:hAnsi="Times New Roman"/>
                    </w:rPr>
                  </w:pPr>
                  <w:r>
                    <w:rPr>
                      <w:rFonts w:hAnsi="Times New Roman"/>
                    </w:rPr>
                    <w:t>劳动定员</w:t>
                  </w:r>
                </w:p>
              </w:tc>
              <w:tc>
                <w:tcPr>
                  <w:tcW w:w="5493" w:type="dxa"/>
                  <w:vAlign w:val="center"/>
                </w:tcPr>
                <w:p w14:paraId="30BC8E49">
                  <w:pPr>
                    <w:pStyle w:val="104"/>
                    <w:rPr>
                      <w:rFonts w:hAnsi="Times New Roman"/>
                    </w:rPr>
                  </w:pPr>
                  <w:r>
                    <w:rPr>
                      <w:rFonts w:hAnsi="Times New Roman"/>
                    </w:rPr>
                    <w:t>劳动定员</w:t>
                  </w:r>
                  <w:r>
                    <w:rPr>
                      <w:rFonts w:hint="eastAsia" w:hAnsi="Times New Roman"/>
                      <w:lang w:val="en-US" w:eastAsia="zh-CN"/>
                    </w:rPr>
                    <w:t>10</w:t>
                  </w:r>
                  <w:r>
                    <w:rPr>
                      <w:rFonts w:hAnsi="Times New Roman"/>
                    </w:rPr>
                    <w:t>人</w:t>
                  </w:r>
                  <w:r>
                    <w:rPr>
                      <w:rFonts w:hint="eastAsia" w:hAnsi="Times New Roman"/>
                    </w:rPr>
                    <w:t>，不在厂区内</w:t>
                  </w:r>
                  <w:r>
                    <w:rPr>
                      <w:rFonts w:hAnsi="Times New Roman"/>
                    </w:rPr>
                    <w:t>食宿</w:t>
                  </w:r>
                </w:p>
              </w:tc>
            </w:tr>
            <w:tr w14:paraId="0DAC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vAlign w:val="center"/>
                </w:tcPr>
                <w:p w14:paraId="2AD3E120">
                  <w:pPr>
                    <w:pStyle w:val="104"/>
                    <w:rPr>
                      <w:rFonts w:hAnsi="Times New Roman"/>
                    </w:rPr>
                  </w:pPr>
                  <w:r>
                    <w:rPr>
                      <w:rFonts w:hAnsi="Times New Roman"/>
                    </w:rPr>
                    <w:t>10</w:t>
                  </w:r>
                </w:p>
              </w:tc>
              <w:tc>
                <w:tcPr>
                  <w:tcW w:w="2133" w:type="dxa"/>
                  <w:gridSpan w:val="2"/>
                  <w:vAlign w:val="center"/>
                </w:tcPr>
                <w:p w14:paraId="02BC82E0">
                  <w:pPr>
                    <w:pStyle w:val="104"/>
                    <w:rPr>
                      <w:rFonts w:hAnsi="Times New Roman"/>
                    </w:rPr>
                  </w:pPr>
                  <w:r>
                    <w:rPr>
                      <w:rFonts w:hAnsi="Times New Roman"/>
                    </w:rPr>
                    <w:t>主体工程</w:t>
                  </w:r>
                </w:p>
              </w:tc>
              <w:tc>
                <w:tcPr>
                  <w:tcW w:w="5493" w:type="dxa"/>
                  <w:vAlign w:val="center"/>
                </w:tcPr>
                <w:p w14:paraId="72CDE4B9">
                  <w:pPr>
                    <w:pStyle w:val="104"/>
                    <w:rPr>
                      <w:rFonts w:hint="default" w:hAnsi="Times New Roman" w:eastAsia="宋体"/>
                      <w:lang w:val="en-US" w:eastAsia="zh-CN"/>
                    </w:rPr>
                  </w:pPr>
                  <w:r>
                    <w:rPr>
                      <w:rFonts w:hint="eastAsia" w:hAnsi="Times New Roman"/>
                      <w:lang w:val="en-US" w:eastAsia="zh-CN"/>
                    </w:rPr>
                    <w:t>钢</w:t>
                  </w:r>
                  <w:r>
                    <w:rPr>
                      <w:rFonts w:hint="eastAsia" w:hAnsi="Times New Roman"/>
                    </w:rPr>
                    <w:t>结构厂房1栋（现有）</w:t>
                  </w:r>
                  <w:r>
                    <w:rPr>
                      <w:rFonts w:hAnsi="Times New Roman"/>
                    </w:rPr>
                    <w:t>，面积</w:t>
                  </w:r>
                  <w:r>
                    <w:rPr>
                      <w:rFonts w:hint="eastAsia" w:hAnsi="Times New Roman"/>
                      <w:lang w:val="en-US" w:eastAsia="zh-CN"/>
                    </w:rPr>
                    <w:t>3000</w:t>
                  </w:r>
                  <w:r>
                    <w:rPr>
                      <w:rFonts w:hint="eastAsia" w:hAnsi="Times New Roman"/>
                    </w:rPr>
                    <w:t>m</w:t>
                  </w:r>
                  <w:r>
                    <w:rPr>
                      <w:rFonts w:hint="eastAsia" w:hAnsi="Times New Roman"/>
                      <w:vertAlign w:val="superscript"/>
                    </w:rPr>
                    <w:t>2</w:t>
                  </w:r>
                  <w:r>
                    <w:rPr>
                      <w:rFonts w:hint="eastAsia" w:hAnsi="Times New Roman"/>
                    </w:rPr>
                    <w:t>，</w:t>
                  </w:r>
                  <w:r>
                    <w:rPr>
                      <w:rFonts w:hAnsi="Times New Roman"/>
                    </w:rPr>
                    <w:t>布置</w:t>
                  </w:r>
                  <w:r>
                    <w:rPr>
                      <w:rFonts w:hint="eastAsia" w:hAnsi="Times New Roman"/>
                      <w:lang w:val="en-US" w:eastAsia="zh-CN"/>
                    </w:rPr>
                    <w:t>1台煮锅、2台炒锅、1台灌装机、1台灭菌烘箱、1台洗瓶机、杀菌机等</w:t>
                  </w:r>
                  <w:r>
                    <w:rPr>
                      <w:rFonts w:hAnsi="Times New Roman"/>
                    </w:rPr>
                    <w:t>，年产</w:t>
                  </w:r>
                  <w:r>
                    <w:rPr>
                      <w:rFonts w:hint="eastAsia" w:hAnsi="Times New Roman"/>
                      <w:lang w:val="en-US" w:eastAsia="zh-CN"/>
                    </w:rPr>
                    <w:t>黄豆酱480吨、灰培豆腐260吨</w:t>
                  </w:r>
                </w:p>
              </w:tc>
            </w:tr>
            <w:tr w14:paraId="5F41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vAlign w:val="center"/>
                </w:tcPr>
                <w:p w14:paraId="66E639B0">
                  <w:pPr>
                    <w:pStyle w:val="104"/>
                    <w:rPr>
                      <w:rFonts w:hAnsi="Times New Roman"/>
                    </w:rPr>
                  </w:pPr>
                  <w:r>
                    <w:rPr>
                      <w:rFonts w:hAnsi="Times New Roman"/>
                    </w:rPr>
                    <w:t>12</w:t>
                  </w:r>
                </w:p>
              </w:tc>
              <w:tc>
                <w:tcPr>
                  <w:tcW w:w="2133" w:type="dxa"/>
                  <w:gridSpan w:val="2"/>
                  <w:vAlign w:val="center"/>
                </w:tcPr>
                <w:p w14:paraId="7D958ED6">
                  <w:pPr>
                    <w:pStyle w:val="104"/>
                    <w:rPr>
                      <w:rFonts w:hAnsi="Times New Roman"/>
                    </w:rPr>
                  </w:pPr>
                  <w:r>
                    <w:rPr>
                      <w:rFonts w:hAnsi="Times New Roman"/>
                    </w:rPr>
                    <w:t>办公生活设施</w:t>
                  </w:r>
                </w:p>
              </w:tc>
              <w:tc>
                <w:tcPr>
                  <w:tcW w:w="5493" w:type="dxa"/>
                  <w:vAlign w:val="center"/>
                </w:tcPr>
                <w:p w14:paraId="15ABB104">
                  <w:pPr>
                    <w:pStyle w:val="104"/>
                    <w:rPr>
                      <w:rFonts w:hint="default" w:hAnsi="Times New Roman" w:eastAsia="宋体"/>
                      <w:lang w:val="en-US" w:eastAsia="zh-CN"/>
                    </w:rPr>
                  </w:pPr>
                  <w:r>
                    <w:rPr>
                      <w:rFonts w:hint="eastAsia" w:hAnsi="Times New Roman"/>
                    </w:rPr>
                    <w:t>车间</w:t>
                  </w:r>
                  <w:r>
                    <w:rPr>
                      <w:rFonts w:hint="eastAsia" w:hAnsi="Times New Roman"/>
                      <w:lang w:val="en-US" w:eastAsia="zh-CN"/>
                    </w:rPr>
                    <w:t>西</w:t>
                  </w:r>
                  <w:r>
                    <w:rPr>
                      <w:rFonts w:hint="eastAsia" w:hAnsi="Times New Roman"/>
                    </w:rPr>
                    <w:t>侧</w:t>
                  </w:r>
                  <w:r>
                    <w:rPr>
                      <w:rFonts w:hAnsi="Times New Roman"/>
                    </w:rPr>
                    <w:t>，1F</w:t>
                  </w:r>
                  <w:r>
                    <w:rPr>
                      <w:rFonts w:hint="eastAsia" w:hAnsi="Times New Roman"/>
                      <w:lang w:eastAsia="zh-CN"/>
                    </w:rPr>
                    <w:t>，</w:t>
                  </w:r>
                  <w:r>
                    <w:rPr>
                      <w:rFonts w:hint="eastAsia" w:hAnsi="Times New Roman"/>
                      <w:lang w:val="en-US" w:eastAsia="zh-CN"/>
                    </w:rPr>
                    <w:t>面积50m</w:t>
                  </w:r>
                  <w:r>
                    <w:rPr>
                      <w:rFonts w:hint="eastAsia" w:hAnsi="Times New Roman"/>
                      <w:vertAlign w:val="superscript"/>
                      <w:lang w:val="en-US" w:eastAsia="zh-CN"/>
                    </w:rPr>
                    <w:t>2</w:t>
                  </w:r>
                </w:p>
              </w:tc>
            </w:tr>
            <w:tr w14:paraId="52A5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vMerge w:val="restart"/>
                  <w:vAlign w:val="center"/>
                </w:tcPr>
                <w:p w14:paraId="76D99C0A">
                  <w:pPr>
                    <w:pStyle w:val="104"/>
                    <w:rPr>
                      <w:rFonts w:hAnsi="Times New Roman"/>
                    </w:rPr>
                  </w:pPr>
                  <w:r>
                    <w:rPr>
                      <w:rFonts w:hint="eastAsia" w:hAnsi="Times New Roman"/>
                    </w:rPr>
                    <w:t>13</w:t>
                  </w:r>
                </w:p>
              </w:tc>
              <w:tc>
                <w:tcPr>
                  <w:tcW w:w="767" w:type="dxa"/>
                  <w:vMerge w:val="restart"/>
                  <w:vAlign w:val="center"/>
                </w:tcPr>
                <w:p w14:paraId="3CCB6E03">
                  <w:pPr>
                    <w:pStyle w:val="104"/>
                    <w:rPr>
                      <w:rFonts w:hAnsi="Times New Roman"/>
                    </w:rPr>
                  </w:pPr>
                  <w:r>
                    <w:rPr>
                      <w:rFonts w:hAnsi="Times New Roman"/>
                    </w:rPr>
                    <w:t>公用工程</w:t>
                  </w:r>
                </w:p>
              </w:tc>
              <w:tc>
                <w:tcPr>
                  <w:tcW w:w="1366" w:type="dxa"/>
                  <w:vAlign w:val="center"/>
                </w:tcPr>
                <w:p w14:paraId="5F54F904">
                  <w:pPr>
                    <w:pStyle w:val="104"/>
                    <w:rPr>
                      <w:rFonts w:hAnsi="Times New Roman"/>
                    </w:rPr>
                  </w:pPr>
                  <w:r>
                    <w:rPr>
                      <w:rFonts w:hAnsi="Times New Roman"/>
                    </w:rPr>
                    <w:t>供水系统</w:t>
                  </w:r>
                </w:p>
              </w:tc>
              <w:tc>
                <w:tcPr>
                  <w:tcW w:w="5493" w:type="dxa"/>
                  <w:vAlign w:val="center"/>
                </w:tcPr>
                <w:p w14:paraId="56AF9359">
                  <w:pPr>
                    <w:pStyle w:val="104"/>
                    <w:rPr>
                      <w:rFonts w:hAnsi="Times New Roman"/>
                    </w:rPr>
                  </w:pPr>
                  <w:r>
                    <w:rPr>
                      <w:rFonts w:hAnsi="Times New Roman"/>
                    </w:rPr>
                    <w:t>由</w:t>
                  </w:r>
                  <w:bookmarkStart w:id="18" w:name="OLE_LINK28"/>
                  <w:r>
                    <w:rPr>
                      <w:rFonts w:hAnsi="Times New Roman"/>
                    </w:rPr>
                    <w:t>园区</w:t>
                  </w:r>
                  <w:bookmarkEnd w:id="18"/>
                  <w:r>
                    <w:rPr>
                      <w:rFonts w:hAnsi="Times New Roman"/>
                    </w:rPr>
                    <w:t>管网直接供应</w:t>
                  </w:r>
                  <w:r>
                    <w:rPr>
                      <w:rFonts w:hint="eastAsia" w:hAnsi="Times New Roman"/>
                    </w:rPr>
                    <w:t>，</w:t>
                  </w:r>
                  <w:r>
                    <w:rPr>
                      <w:rFonts w:hAnsi="Times New Roman"/>
                    </w:rPr>
                    <w:t>供水系统包括</w:t>
                  </w:r>
                  <w:r>
                    <w:rPr>
                      <w:rFonts w:hint="eastAsia" w:hAnsi="Times New Roman"/>
                    </w:rPr>
                    <w:t>生产</w:t>
                  </w:r>
                  <w:r>
                    <w:rPr>
                      <w:rFonts w:hAnsi="Times New Roman"/>
                    </w:rPr>
                    <w:t>生活、消防给水系统</w:t>
                  </w:r>
                  <w:r>
                    <w:rPr>
                      <w:rFonts w:hint="eastAsia" w:hAnsi="Times New Roman"/>
                    </w:rPr>
                    <w:t>等</w:t>
                  </w:r>
                  <w:r>
                    <w:rPr>
                      <w:rFonts w:hAnsi="Times New Roman"/>
                    </w:rPr>
                    <w:t>。</w:t>
                  </w:r>
                </w:p>
              </w:tc>
            </w:tr>
            <w:tr w14:paraId="7D90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684" w:type="dxa"/>
                  <w:vMerge w:val="continue"/>
                  <w:vAlign w:val="center"/>
                </w:tcPr>
                <w:p w14:paraId="4B5330B4">
                  <w:pPr>
                    <w:pStyle w:val="104"/>
                    <w:rPr>
                      <w:rFonts w:hAnsi="Times New Roman"/>
                    </w:rPr>
                  </w:pPr>
                </w:p>
              </w:tc>
              <w:tc>
                <w:tcPr>
                  <w:tcW w:w="767" w:type="dxa"/>
                  <w:vMerge w:val="continue"/>
                  <w:vAlign w:val="center"/>
                </w:tcPr>
                <w:p w14:paraId="131746D0">
                  <w:pPr>
                    <w:pStyle w:val="104"/>
                    <w:rPr>
                      <w:rFonts w:hAnsi="Times New Roman"/>
                    </w:rPr>
                  </w:pPr>
                </w:p>
              </w:tc>
              <w:tc>
                <w:tcPr>
                  <w:tcW w:w="1366" w:type="dxa"/>
                  <w:vAlign w:val="center"/>
                </w:tcPr>
                <w:p w14:paraId="3F000172">
                  <w:pPr>
                    <w:pStyle w:val="104"/>
                    <w:rPr>
                      <w:rFonts w:hAnsi="Times New Roman"/>
                    </w:rPr>
                  </w:pPr>
                  <w:r>
                    <w:rPr>
                      <w:rFonts w:hAnsi="Times New Roman"/>
                    </w:rPr>
                    <w:t>排水系统</w:t>
                  </w:r>
                </w:p>
              </w:tc>
              <w:tc>
                <w:tcPr>
                  <w:tcW w:w="5493" w:type="dxa"/>
                  <w:vAlign w:val="center"/>
                </w:tcPr>
                <w:p w14:paraId="21C07582">
                  <w:pPr>
                    <w:pStyle w:val="104"/>
                    <w:rPr>
                      <w:rFonts w:hAnsi="Times New Roman"/>
                    </w:rPr>
                  </w:pPr>
                  <w:r>
                    <w:rPr>
                      <w:rFonts w:hAnsi="Times New Roman"/>
                      <w:b w:val="0"/>
                      <w:bCs w:val="0"/>
                      <w:u w:val="none"/>
                    </w:rPr>
                    <w:t>采取雨污分流</w:t>
                  </w:r>
                  <w:r>
                    <w:rPr>
                      <w:rFonts w:hint="eastAsia" w:hAnsi="Times New Roman"/>
                      <w:b w:val="0"/>
                      <w:bCs w:val="0"/>
                      <w:u w:val="none"/>
                    </w:rPr>
                    <w:t>，</w:t>
                  </w:r>
                  <w:r>
                    <w:rPr>
                      <w:rFonts w:hAnsi="Times New Roman"/>
                      <w:b w:val="0"/>
                      <w:bCs w:val="0"/>
                      <w:u w:val="none"/>
                    </w:rPr>
                    <w:t>雨水进入雨水管网</w:t>
                  </w:r>
                  <w:r>
                    <w:rPr>
                      <w:rFonts w:hint="eastAsia" w:hAnsi="Times New Roman"/>
                      <w:b w:val="0"/>
                      <w:bCs w:val="0"/>
                      <w:u w:val="none"/>
                    </w:rPr>
                    <w:t>，废水</w:t>
                  </w:r>
                  <w:r>
                    <w:rPr>
                      <w:rFonts w:hAnsi="Times New Roman"/>
                      <w:b w:val="0"/>
                      <w:bCs w:val="0"/>
                      <w:u w:val="none"/>
                    </w:rPr>
                    <w:t>经污水管网进入</w:t>
                  </w:r>
                  <w:r>
                    <w:rPr>
                      <w:rFonts w:hint="eastAsia" w:ascii="Times New Roman" w:hAnsi="Times New Roman" w:eastAsia="Times New Roman" w:cs="Times New Roman"/>
                      <w:color w:val="000000" w:themeColor="text1"/>
                      <w:kern w:val="0"/>
                      <w:szCs w:val="21"/>
                      <w:highlight w:val="none"/>
                      <w:lang w:eastAsia="zh-CN"/>
                      <w14:textFill>
                        <w14:solidFill>
                          <w14:schemeClr w14:val="tx1"/>
                        </w14:solidFill>
                      </w14:textFill>
                    </w:rPr>
                    <w:t>汤阴固现污水处理有限公司</w:t>
                  </w:r>
                  <w:r>
                    <w:rPr>
                      <w:rFonts w:hAnsi="Times New Roman"/>
                      <w:b w:val="0"/>
                      <w:bCs w:val="0"/>
                      <w:u w:val="none"/>
                    </w:rPr>
                    <w:t>。</w:t>
                  </w:r>
                </w:p>
              </w:tc>
            </w:tr>
            <w:tr w14:paraId="3BD6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vMerge w:val="continue"/>
                  <w:vAlign w:val="center"/>
                </w:tcPr>
                <w:p w14:paraId="009C54A5">
                  <w:pPr>
                    <w:pStyle w:val="104"/>
                    <w:rPr>
                      <w:rFonts w:hAnsi="Times New Roman"/>
                    </w:rPr>
                  </w:pPr>
                </w:p>
              </w:tc>
              <w:tc>
                <w:tcPr>
                  <w:tcW w:w="767" w:type="dxa"/>
                  <w:vMerge w:val="continue"/>
                  <w:vAlign w:val="center"/>
                </w:tcPr>
                <w:p w14:paraId="2A4A3298">
                  <w:pPr>
                    <w:pStyle w:val="104"/>
                    <w:rPr>
                      <w:rFonts w:hAnsi="Times New Roman"/>
                    </w:rPr>
                  </w:pPr>
                </w:p>
              </w:tc>
              <w:tc>
                <w:tcPr>
                  <w:tcW w:w="1366" w:type="dxa"/>
                  <w:vAlign w:val="center"/>
                </w:tcPr>
                <w:p w14:paraId="4877213D">
                  <w:pPr>
                    <w:pStyle w:val="104"/>
                    <w:rPr>
                      <w:rFonts w:hAnsi="Times New Roman"/>
                    </w:rPr>
                  </w:pPr>
                  <w:r>
                    <w:rPr>
                      <w:rFonts w:hAnsi="Times New Roman"/>
                    </w:rPr>
                    <w:t>供电系统</w:t>
                  </w:r>
                </w:p>
              </w:tc>
              <w:tc>
                <w:tcPr>
                  <w:tcW w:w="5493" w:type="dxa"/>
                  <w:vAlign w:val="center"/>
                </w:tcPr>
                <w:p w14:paraId="256D5709">
                  <w:pPr>
                    <w:pStyle w:val="104"/>
                    <w:rPr>
                      <w:rFonts w:hAnsi="Times New Roman"/>
                    </w:rPr>
                  </w:pPr>
                  <w:r>
                    <w:rPr>
                      <w:rFonts w:hAnsi="Times New Roman"/>
                    </w:rPr>
                    <w:t>由园区</w:t>
                  </w:r>
                  <w:r>
                    <w:rPr>
                      <w:rFonts w:hint="eastAsia" w:hAnsi="Times New Roman"/>
                    </w:rPr>
                    <w:t>电网</w:t>
                  </w:r>
                  <w:r>
                    <w:rPr>
                      <w:rFonts w:hAnsi="Times New Roman"/>
                    </w:rPr>
                    <w:t>供电</w:t>
                  </w:r>
                  <w:r>
                    <w:rPr>
                      <w:rFonts w:hint="eastAsia" w:hAnsi="Times New Roman"/>
                    </w:rPr>
                    <w:t>。</w:t>
                  </w:r>
                </w:p>
              </w:tc>
            </w:tr>
            <w:tr w14:paraId="6D17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vMerge w:val="continue"/>
                  <w:vAlign w:val="center"/>
                </w:tcPr>
                <w:p w14:paraId="368BC2F9">
                  <w:pPr>
                    <w:pStyle w:val="104"/>
                    <w:rPr>
                      <w:rFonts w:hAnsi="Times New Roman"/>
                    </w:rPr>
                  </w:pPr>
                </w:p>
              </w:tc>
              <w:tc>
                <w:tcPr>
                  <w:tcW w:w="767" w:type="dxa"/>
                  <w:vMerge w:val="restart"/>
                  <w:vAlign w:val="center"/>
                </w:tcPr>
                <w:p w14:paraId="3D720E92">
                  <w:pPr>
                    <w:pStyle w:val="104"/>
                    <w:rPr>
                      <w:rFonts w:hAnsi="Times New Roman"/>
                    </w:rPr>
                  </w:pPr>
                  <w:r>
                    <w:rPr>
                      <w:rFonts w:hAnsi="Times New Roman"/>
                    </w:rPr>
                    <w:t>储运工程</w:t>
                  </w:r>
                </w:p>
              </w:tc>
              <w:tc>
                <w:tcPr>
                  <w:tcW w:w="1366" w:type="dxa"/>
                  <w:vAlign w:val="center"/>
                </w:tcPr>
                <w:p w14:paraId="5172238A">
                  <w:pPr>
                    <w:jc w:val="center"/>
                    <w:rPr>
                      <w:szCs w:val="21"/>
                    </w:rPr>
                  </w:pPr>
                  <w:r>
                    <w:rPr>
                      <w:szCs w:val="21"/>
                    </w:rPr>
                    <w:t>原料库</w:t>
                  </w:r>
                </w:p>
              </w:tc>
              <w:tc>
                <w:tcPr>
                  <w:tcW w:w="5493" w:type="dxa"/>
                  <w:vAlign w:val="center"/>
                </w:tcPr>
                <w:p w14:paraId="65B35308">
                  <w:pPr>
                    <w:jc w:val="center"/>
                    <w:rPr>
                      <w:rFonts w:hint="default" w:eastAsia="宋体"/>
                      <w:szCs w:val="21"/>
                      <w:lang w:val="en-US" w:eastAsia="zh-CN"/>
                    </w:rPr>
                  </w:pPr>
                  <w:r>
                    <w:rPr>
                      <w:rFonts w:hint="eastAsia"/>
                      <w:szCs w:val="21"/>
                      <w:lang w:val="en-US" w:eastAsia="zh-CN"/>
                    </w:rPr>
                    <w:t>依托现有车间，车间西侧</w:t>
                  </w:r>
                </w:p>
              </w:tc>
            </w:tr>
            <w:tr w14:paraId="4EEC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vMerge w:val="continue"/>
                  <w:vAlign w:val="center"/>
                </w:tcPr>
                <w:p w14:paraId="2F4C9B99">
                  <w:pPr>
                    <w:pStyle w:val="104"/>
                    <w:rPr>
                      <w:rFonts w:hAnsi="Times New Roman"/>
                    </w:rPr>
                  </w:pPr>
                </w:p>
              </w:tc>
              <w:tc>
                <w:tcPr>
                  <w:tcW w:w="767" w:type="dxa"/>
                  <w:vMerge w:val="continue"/>
                  <w:vAlign w:val="center"/>
                </w:tcPr>
                <w:p w14:paraId="229A52A9">
                  <w:pPr>
                    <w:pStyle w:val="104"/>
                    <w:rPr>
                      <w:rFonts w:hAnsi="Times New Roman"/>
                    </w:rPr>
                  </w:pPr>
                </w:p>
              </w:tc>
              <w:tc>
                <w:tcPr>
                  <w:tcW w:w="1366" w:type="dxa"/>
                  <w:vAlign w:val="center"/>
                </w:tcPr>
                <w:p w14:paraId="007E1E57">
                  <w:pPr>
                    <w:jc w:val="center"/>
                    <w:rPr>
                      <w:szCs w:val="21"/>
                    </w:rPr>
                  </w:pPr>
                  <w:r>
                    <w:rPr>
                      <w:szCs w:val="21"/>
                    </w:rPr>
                    <w:t>成品库</w:t>
                  </w:r>
                </w:p>
              </w:tc>
              <w:tc>
                <w:tcPr>
                  <w:tcW w:w="5493" w:type="dxa"/>
                  <w:vAlign w:val="center"/>
                </w:tcPr>
                <w:p w14:paraId="7856A948">
                  <w:pPr>
                    <w:pStyle w:val="46"/>
                    <w:spacing w:after="0"/>
                    <w:ind w:left="0" w:leftChars="0" w:firstLine="0" w:firstLineChars="0"/>
                    <w:jc w:val="center"/>
                    <w:rPr>
                      <w:rFonts w:hint="default" w:eastAsia="宋体"/>
                      <w:szCs w:val="21"/>
                      <w:lang w:val="en-US" w:eastAsia="zh-CN"/>
                    </w:rPr>
                  </w:pPr>
                  <w:r>
                    <w:rPr>
                      <w:szCs w:val="21"/>
                    </w:rPr>
                    <w:t>依托</w:t>
                  </w:r>
                  <w:r>
                    <w:rPr>
                      <w:rFonts w:hint="eastAsia"/>
                      <w:kern w:val="0"/>
                      <w:szCs w:val="21"/>
                      <w:lang w:val="en-US" w:eastAsia="zh-CN" w:bidi="ar"/>
                    </w:rPr>
                    <w:t>现有车间，车间东侧</w:t>
                  </w:r>
                </w:p>
              </w:tc>
            </w:tr>
            <w:tr w14:paraId="07C7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vMerge w:val="continue"/>
                  <w:vAlign w:val="center"/>
                </w:tcPr>
                <w:p w14:paraId="06ABCBC5">
                  <w:pPr>
                    <w:pStyle w:val="104"/>
                    <w:rPr>
                      <w:rFonts w:hAnsi="Times New Roman"/>
                    </w:rPr>
                  </w:pPr>
                </w:p>
              </w:tc>
              <w:tc>
                <w:tcPr>
                  <w:tcW w:w="767" w:type="dxa"/>
                  <w:vMerge w:val="continue"/>
                  <w:vAlign w:val="center"/>
                </w:tcPr>
                <w:p w14:paraId="78EA1496">
                  <w:pPr>
                    <w:pStyle w:val="104"/>
                    <w:rPr>
                      <w:rFonts w:hAnsi="Times New Roman"/>
                    </w:rPr>
                  </w:pPr>
                </w:p>
              </w:tc>
              <w:tc>
                <w:tcPr>
                  <w:tcW w:w="1366" w:type="dxa"/>
                  <w:vAlign w:val="center"/>
                </w:tcPr>
                <w:p w14:paraId="4FADE986">
                  <w:pPr>
                    <w:jc w:val="center"/>
                    <w:rPr>
                      <w:rFonts w:hint="eastAsia" w:eastAsia="宋体"/>
                      <w:szCs w:val="21"/>
                      <w:lang w:val="en-US" w:eastAsia="zh-CN"/>
                    </w:rPr>
                  </w:pPr>
                  <w:r>
                    <w:rPr>
                      <w:rFonts w:hint="eastAsia"/>
                      <w:szCs w:val="21"/>
                      <w:lang w:val="en-US" w:eastAsia="zh-CN"/>
                    </w:rPr>
                    <w:t>冷库</w:t>
                  </w:r>
                </w:p>
              </w:tc>
              <w:tc>
                <w:tcPr>
                  <w:tcW w:w="5493" w:type="dxa"/>
                  <w:vAlign w:val="center"/>
                </w:tcPr>
                <w:p w14:paraId="12FDF130">
                  <w:pPr>
                    <w:pStyle w:val="46"/>
                    <w:spacing w:after="0"/>
                    <w:ind w:left="0" w:leftChars="0" w:firstLine="0" w:firstLineChars="0"/>
                    <w:jc w:val="center"/>
                    <w:rPr>
                      <w:rFonts w:hint="default" w:eastAsia="宋体"/>
                      <w:szCs w:val="21"/>
                      <w:lang w:val="en-US" w:eastAsia="zh-CN"/>
                    </w:rPr>
                  </w:pPr>
                  <w:r>
                    <w:rPr>
                      <w:rFonts w:hint="eastAsia"/>
                      <w:szCs w:val="21"/>
                      <w:lang w:val="en-US" w:eastAsia="zh-CN"/>
                    </w:rPr>
                    <w:t>依托现有车间，车间东南侧</w:t>
                  </w:r>
                </w:p>
              </w:tc>
            </w:tr>
            <w:tr w14:paraId="1CCC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vMerge w:val="restart"/>
                  <w:vAlign w:val="center"/>
                </w:tcPr>
                <w:p w14:paraId="78E895A6">
                  <w:pPr>
                    <w:pStyle w:val="104"/>
                    <w:rPr>
                      <w:rFonts w:hAnsi="Times New Roman"/>
                    </w:rPr>
                  </w:pPr>
                  <w:r>
                    <w:rPr>
                      <w:rFonts w:hint="eastAsia" w:hAnsi="Times New Roman"/>
                    </w:rPr>
                    <w:t>14</w:t>
                  </w:r>
                </w:p>
              </w:tc>
              <w:tc>
                <w:tcPr>
                  <w:tcW w:w="767" w:type="dxa"/>
                  <w:vMerge w:val="restart"/>
                  <w:vAlign w:val="center"/>
                </w:tcPr>
                <w:p w14:paraId="7A816FDD">
                  <w:pPr>
                    <w:pStyle w:val="104"/>
                    <w:rPr>
                      <w:rFonts w:hAnsi="Times New Roman"/>
                    </w:rPr>
                  </w:pPr>
                  <w:r>
                    <w:rPr>
                      <w:rFonts w:hint="eastAsia" w:hAnsi="Times New Roman"/>
                    </w:rPr>
                    <w:t>废气</w:t>
                  </w:r>
                  <w:r>
                    <w:rPr>
                      <w:rFonts w:hAnsi="Times New Roman"/>
                    </w:rPr>
                    <w:t>处理</w:t>
                  </w:r>
                </w:p>
              </w:tc>
              <w:tc>
                <w:tcPr>
                  <w:tcW w:w="1366" w:type="dxa"/>
                  <w:vAlign w:val="center"/>
                </w:tcPr>
                <w:p w14:paraId="5F629926">
                  <w:pPr>
                    <w:pStyle w:val="104"/>
                    <w:rPr>
                      <w:rFonts w:hint="default" w:hAnsi="Times New Roman" w:eastAsia="宋体"/>
                      <w:lang w:val="en-US" w:eastAsia="zh-CN"/>
                    </w:rPr>
                  </w:pPr>
                  <w:r>
                    <w:rPr>
                      <w:rFonts w:hint="eastAsia" w:hAnsi="Times New Roman"/>
                      <w:lang w:val="en-US" w:eastAsia="zh-CN"/>
                    </w:rPr>
                    <w:t>燃气废气、油烟废气</w:t>
                  </w:r>
                </w:p>
              </w:tc>
              <w:tc>
                <w:tcPr>
                  <w:tcW w:w="5493" w:type="dxa"/>
                  <w:vAlign w:val="center"/>
                </w:tcPr>
                <w:p w14:paraId="23688C07">
                  <w:pPr>
                    <w:pStyle w:val="104"/>
                    <w:rPr>
                      <w:rFonts w:hint="default" w:hAnsi="Times New Roman" w:eastAsia="宋体"/>
                      <w:lang w:val="en-US" w:eastAsia="zh-CN"/>
                    </w:rPr>
                  </w:pPr>
                  <w:r>
                    <w:rPr>
                      <w:rFonts w:hint="eastAsia" w:hAnsi="Times New Roman"/>
                      <w:lang w:val="en-US" w:eastAsia="zh-CN"/>
                    </w:rPr>
                    <w:t>集气罩+油烟净化器+活性炭吸附+15m高排气筒（DA001）</w:t>
                  </w:r>
                </w:p>
              </w:tc>
            </w:tr>
            <w:tr w14:paraId="3A2E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vMerge w:val="continue"/>
                  <w:vAlign w:val="center"/>
                </w:tcPr>
                <w:p w14:paraId="6A9EFDA5">
                  <w:pPr>
                    <w:pStyle w:val="104"/>
                    <w:rPr>
                      <w:rFonts w:hint="eastAsia" w:hAnsi="Times New Roman"/>
                    </w:rPr>
                  </w:pPr>
                </w:p>
              </w:tc>
              <w:tc>
                <w:tcPr>
                  <w:tcW w:w="767" w:type="dxa"/>
                  <w:vMerge w:val="continue"/>
                  <w:vAlign w:val="center"/>
                </w:tcPr>
                <w:p w14:paraId="09CEC69F">
                  <w:pPr>
                    <w:pStyle w:val="104"/>
                    <w:rPr>
                      <w:rFonts w:hint="eastAsia" w:hAnsi="Times New Roman"/>
                    </w:rPr>
                  </w:pPr>
                </w:p>
              </w:tc>
              <w:tc>
                <w:tcPr>
                  <w:tcW w:w="1366" w:type="dxa"/>
                  <w:vAlign w:val="center"/>
                </w:tcPr>
                <w:p w14:paraId="5DBC7C41">
                  <w:pPr>
                    <w:pStyle w:val="104"/>
                    <w:rPr>
                      <w:rFonts w:hint="default" w:hAnsi="Times New Roman"/>
                      <w:lang w:val="en-US" w:eastAsia="zh-CN"/>
                    </w:rPr>
                  </w:pPr>
                  <w:r>
                    <w:rPr>
                      <w:rFonts w:hint="eastAsia" w:hAnsi="Times New Roman"/>
                      <w:lang w:val="en-US" w:eastAsia="zh-CN"/>
                    </w:rPr>
                    <w:t>蒸汽发生器废气</w:t>
                  </w:r>
                </w:p>
              </w:tc>
              <w:tc>
                <w:tcPr>
                  <w:tcW w:w="5493" w:type="dxa"/>
                  <w:vAlign w:val="center"/>
                </w:tcPr>
                <w:p w14:paraId="25D53F77">
                  <w:pPr>
                    <w:pStyle w:val="104"/>
                    <w:rPr>
                      <w:rFonts w:hint="eastAsia" w:hAnsi="Times New Roman"/>
                      <w:lang w:val="en-US" w:eastAsia="zh-CN"/>
                    </w:rPr>
                  </w:pPr>
                  <w:r>
                    <w:rPr>
                      <w:rFonts w:hint="eastAsia" w:hAnsi="Times New Roman"/>
                      <w:lang w:val="en-US" w:eastAsia="zh-CN"/>
                    </w:rPr>
                    <w:t>低氮燃烧+8m高排气筒（DA002）</w:t>
                  </w:r>
                </w:p>
              </w:tc>
            </w:tr>
            <w:tr w14:paraId="5068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vMerge w:val="continue"/>
                  <w:vAlign w:val="center"/>
                </w:tcPr>
                <w:p w14:paraId="4F190782">
                  <w:pPr>
                    <w:pStyle w:val="104"/>
                    <w:rPr>
                      <w:rFonts w:hAnsi="Times New Roman"/>
                    </w:rPr>
                  </w:pPr>
                </w:p>
              </w:tc>
              <w:tc>
                <w:tcPr>
                  <w:tcW w:w="767" w:type="dxa"/>
                  <w:vMerge w:val="continue"/>
                  <w:vAlign w:val="center"/>
                </w:tcPr>
                <w:p w14:paraId="33B77D28">
                  <w:pPr>
                    <w:pStyle w:val="104"/>
                    <w:rPr>
                      <w:rFonts w:hAnsi="Times New Roman"/>
                    </w:rPr>
                  </w:pPr>
                </w:p>
              </w:tc>
              <w:tc>
                <w:tcPr>
                  <w:tcW w:w="1366" w:type="dxa"/>
                  <w:vAlign w:val="center"/>
                </w:tcPr>
                <w:p w14:paraId="5544F39D">
                  <w:pPr>
                    <w:pStyle w:val="104"/>
                    <w:rPr>
                      <w:rFonts w:hint="default" w:hAnsi="Times New Roman" w:eastAsia="宋体"/>
                      <w:lang w:val="en-US" w:eastAsia="zh-CN"/>
                    </w:rPr>
                  </w:pPr>
                  <w:r>
                    <w:rPr>
                      <w:rFonts w:hint="eastAsia" w:hAnsi="Times New Roman"/>
                      <w:lang w:val="en-US" w:eastAsia="zh-CN"/>
                    </w:rPr>
                    <w:t>污水处理站恶臭</w:t>
                  </w:r>
                </w:p>
              </w:tc>
              <w:tc>
                <w:tcPr>
                  <w:tcW w:w="5493" w:type="dxa"/>
                  <w:vAlign w:val="center"/>
                </w:tcPr>
                <w:p w14:paraId="12A00482">
                  <w:pPr>
                    <w:pStyle w:val="104"/>
                    <w:rPr>
                      <w:rFonts w:hAnsi="Times New Roman"/>
                    </w:rPr>
                  </w:pPr>
                  <w:r>
                    <w:rPr>
                      <w:rFonts w:hint="eastAsia"/>
                    </w:rPr>
                    <w:t>构筑物加盖密封，投加除臭剂</w:t>
                  </w:r>
                </w:p>
              </w:tc>
            </w:tr>
            <w:tr w14:paraId="4D5C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vMerge w:val="continue"/>
                  <w:vAlign w:val="center"/>
                </w:tcPr>
                <w:p w14:paraId="0049C2FC">
                  <w:pPr>
                    <w:pStyle w:val="104"/>
                    <w:rPr>
                      <w:rFonts w:hAnsi="Times New Roman"/>
                    </w:rPr>
                  </w:pPr>
                </w:p>
              </w:tc>
              <w:tc>
                <w:tcPr>
                  <w:tcW w:w="767" w:type="dxa"/>
                  <w:vMerge w:val="restart"/>
                  <w:vAlign w:val="center"/>
                </w:tcPr>
                <w:p w14:paraId="63950BB2">
                  <w:pPr>
                    <w:pStyle w:val="104"/>
                    <w:rPr>
                      <w:rFonts w:hAnsi="Times New Roman"/>
                    </w:rPr>
                  </w:pPr>
                  <w:r>
                    <w:rPr>
                      <w:rFonts w:hint="eastAsia" w:hAnsi="Times New Roman"/>
                    </w:rPr>
                    <w:t>废水处理</w:t>
                  </w:r>
                </w:p>
              </w:tc>
              <w:tc>
                <w:tcPr>
                  <w:tcW w:w="1366" w:type="dxa"/>
                  <w:vAlign w:val="center"/>
                </w:tcPr>
                <w:p w14:paraId="41AEF788">
                  <w:pPr>
                    <w:pStyle w:val="104"/>
                    <w:rPr>
                      <w:rFonts w:hAnsi="Times New Roman"/>
                    </w:rPr>
                  </w:pPr>
                  <w:r>
                    <w:rPr>
                      <w:rFonts w:hint="eastAsia" w:hAnsi="Times New Roman"/>
                      <w:lang w:val="en-US" w:eastAsia="zh-CN"/>
                    </w:rPr>
                    <w:t>生产</w:t>
                  </w:r>
                  <w:r>
                    <w:rPr>
                      <w:rFonts w:hAnsi="Times New Roman"/>
                    </w:rPr>
                    <w:t>废水</w:t>
                  </w:r>
                </w:p>
              </w:tc>
              <w:tc>
                <w:tcPr>
                  <w:tcW w:w="5493" w:type="dxa"/>
                  <w:vAlign w:val="center"/>
                </w:tcPr>
                <w:p w14:paraId="02A52537">
                  <w:pPr>
                    <w:pStyle w:val="104"/>
                    <w:rPr>
                      <w:rFonts w:hint="eastAsia" w:hAnsi="Times New Roman" w:eastAsia="宋体"/>
                      <w:lang w:val="en-US" w:eastAsia="zh-CN"/>
                    </w:rPr>
                  </w:pPr>
                  <w:r>
                    <w:rPr>
                      <w:rFonts w:hint="eastAsia" w:hAnsi="Times New Roman"/>
                      <w:color w:val="000000" w:themeColor="text1"/>
                      <w14:textFill>
                        <w14:solidFill>
                          <w14:schemeClr w14:val="tx1"/>
                        </w14:solidFill>
                      </w14:textFill>
                    </w:rPr>
                    <w:t>经厂区污水处理站（规模</w:t>
                  </w:r>
                  <w:r>
                    <w:rPr>
                      <w:rFonts w:hint="eastAsia" w:hAnsi="Times New Roman"/>
                      <w:color w:val="000000" w:themeColor="text1"/>
                      <w:lang w:val="en-US" w:eastAsia="zh-CN"/>
                      <w14:textFill>
                        <w14:solidFill>
                          <w14:schemeClr w14:val="tx1"/>
                        </w14:solidFill>
                      </w14:textFill>
                    </w:rPr>
                    <w:t>6</w:t>
                  </w:r>
                  <w:r>
                    <w:rPr>
                      <w:rFonts w:hint="eastAsia" w:hAnsi="Times New Roman"/>
                      <w:color w:val="000000" w:themeColor="text1"/>
                      <w14:textFill>
                        <w14:solidFill>
                          <w14:schemeClr w14:val="tx1"/>
                        </w14:solidFill>
                      </w14:textFill>
                    </w:rPr>
                    <w:t>t/</w:t>
                  </w:r>
                  <w:r>
                    <w:rPr>
                      <w:rFonts w:hint="eastAsia" w:hAnsi="Times New Roman"/>
                      <w:color w:val="000000" w:themeColor="text1"/>
                      <w:lang w:val="en-US" w:eastAsia="zh-CN"/>
                      <w14:textFill>
                        <w14:solidFill>
                          <w14:schemeClr w14:val="tx1"/>
                        </w14:solidFill>
                      </w14:textFill>
                    </w:rPr>
                    <w:t>d</w:t>
                  </w:r>
                  <w:r>
                    <w:rPr>
                      <w:rFonts w:hint="eastAsia" w:hAnsi="Times New Roman"/>
                      <w:color w:val="000000" w:themeColor="text1"/>
                      <w14:textFill>
                        <w14:solidFill>
                          <w14:schemeClr w14:val="tx1"/>
                        </w14:solidFill>
                      </w14:textFill>
                    </w:rPr>
                    <w:t>）处理</w:t>
                  </w:r>
                  <w:r>
                    <w:rPr>
                      <w:rFonts w:hint="eastAsia" w:hAnsi="Times New Roman"/>
                    </w:rPr>
                    <w:t>后经污水管网进入</w:t>
                  </w:r>
                  <w:r>
                    <w:rPr>
                      <w:rFonts w:hint="eastAsia" w:ascii="Times New Roman" w:hAnsi="Times New Roman" w:eastAsia="Times New Roman" w:cs="Times New Roman"/>
                      <w:color w:val="000000" w:themeColor="text1"/>
                      <w:kern w:val="0"/>
                      <w:szCs w:val="21"/>
                      <w:highlight w:val="none"/>
                      <w:lang w:eastAsia="zh-CN"/>
                      <w14:textFill>
                        <w14:solidFill>
                          <w14:schemeClr w14:val="tx1"/>
                        </w14:solidFill>
                      </w14:textFill>
                    </w:rPr>
                    <w:t>汤阴固现污水处理有限公司</w:t>
                  </w:r>
                  <w:r>
                    <w:rPr>
                      <w:rFonts w:hint="eastAsia" w:hAnsi="Times New Roman"/>
                    </w:rPr>
                    <w:t>。</w:t>
                  </w:r>
                </w:p>
              </w:tc>
            </w:tr>
            <w:tr w14:paraId="0F4E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84" w:type="dxa"/>
                  <w:vMerge w:val="continue"/>
                  <w:vAlign w:val="center"/>
                </w:tcPr>
                <w:p w14:paraId="1167F3F7">
                  <w:pPr>
                    <w:pStyle w:val="104"/>
                    <w:rPr>
                      <w:rFonts w:hAnsi="Times New Roman"/>
                    </w:rPr>
                  </w:pPr>
                </w:p>
              </w:tc>
              <w:tc>
                <w:tcPr>
                  <w:tcW w:w="767" w:type="dxa"/>
                  <w:vMerge w:val="continue"/>
                  <w:vAlign w:val="center"/>
                </w:tcPr>
                <w:p w14:paraId="51001DCB">
                  <w:pPr>
                    <w:pStyle w:val="104"/>
                    <w:rPr>
                      <w:rFonts w:hAnsi="Times New Roman"/>
                    </w:rPr>
                  </w:pPr>
                </w:p>
              </w:tc>
              <w:tc>
                <w:tcPr>
                  <w:tcW w:w="1366" w:type="dxa"/>
                  <w:vAlign w:val="center"/>
                </w:tcPr>
                <w:p w14:paraId="7DD7D95A">
                  <w:pPr>
                    <w:pStyle w:val="104"/>
                    <w:rPr>
                      <w:rFonts w:hAnsi="Times New Roman"/>
                    </w:rPr>
                  </w:pPr>
                  <w:r>
                    <w:rPr>
                      <w:rFonts w:hint="eastAsia" w:hAnsi="Times New Roman"/>
                    </w:rPr>
                    <w:t>生活污水</w:t>
                  </w:r>
                </w:p>
              </w:tc>
              <w:tc>
                <w:tcPr>
                  <w:tcW w:w="5493" w:type="dxa"/>
                  <w:vAlign w:val="center"/>
                </w:tcPr>
                <w:p w14:paraId="662625B9">
                  <w:pPr>
                    <w:pStyle w:val="104"/>
                    <w:rPr>
                      <w:rFonts w:hAnsi="Times New Roman"/>
                    </w:rPr>
                  </w:pPr>
                  <w:r>
                    <w:rPr>
                      <w:rFonts w:hint="eastAsia" w:hAnsi="Times New Roman"/>
                    </w:rPr>
                    <w:t>经</w:t>
                  </w:r>
                  <w:r>
                    <w:rPr>
                      <w:rFonts w:hint="eastAsia" w:hAnsi="Times New Roman"/>
                      <w:lang w:val="en-US" w:eastAsia="zh-CN"/>
                    </w:rPr>
                    <w:t>化粪池</w:t>
                  </w:r>
                  <w:r>
                    <w:rPr>
                      <w:rFonts w:hint="eastAsia" w:hAnsi="Times New Roman"/>
                    </w:rPr>
                    <w:t>处理后经污水管网进入</w:t>
                  </w:r>
                  <w:r>
                    <w:rPr>
                      <w:rFonts w:hint="eastAsia" w:ascii="Times New Roman" w:hAnsi="Times New Roman" w:eastAsia="Times New Roman" w:cs="Times New Roman"/>
                      <w:color w:val="000000" w:themeColor="text1"/>
                      <w:kern w:val="0"/>
                      <w:szCs w:val="21"/>
                      <w:highlight w:val="none"/>
                      <w:lang w:eastAsia="zh-CN"/>
                      <w14:textFill>
                        <w14:solidFill>
                          <w14:schemeClr w14:val="tx1"/>
                        </w14:solidFill>
                      </w14:textFill>
                    </w:rPr>
                    <w:t>汤阴固现污水处理有限公司</w:t>
                  </w:r>
                  <w:r>
                    <w:rPr>
                      <w:rFonts w:hint="eastAsia" w:hAnsi="Times New Roman"/>
                    </w:rPr>
                    <w:t>。</w:t>
                  </w:r>
                </w:p>
              </w:tc>
            </w:tr>
            <w:tr w14:paraId="1608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vMerge w:val="continue"/>
                  <w:vAlign w:val="center"/>
                </w:tcPr>
                <w:p w14:paraId="14CA693C">
                  <w:pPr>
                    <w:pStyle w:val="104"/>
                    <w:rPr>
                      <w:rFonts w:hAnsi="Times New Roman"/>
                    </w:rPr>
                  </w:pPr>
                </w:p>
              </w:tc>
              <w:tc>
                <w:tcPr>
                  <w:tcW w:w="767" w:type="dxa"/>
                  <w:vAlign w:val="center"/>
                </w:tcPr>
                <w:p w14:paraId="2C507971">
                  <w:pPr>
                    <w:pStyle w:val="104"/>
                    <w:rPr>
                      <w:rFonts w:hAnsi="Times New Roman"/>
                    </w:rPr>
                  </w:pPr>
                  <w:r>
                    <w:rPr>
                      <w:rFonts w:hint="eastAsia" w:hAnsi="Times New Roman"/>
                    </w:rPr>
                    <w:t>噪声防治</w:t>
                  </w:r>
                </w:p>
              </w:tc>
              <w:tc>
                <w:tcPr>
                  <w:tcW w:w="1366" w:type="dxa"/>
                  <w:vAlign w:val="center"/>
                </w:tcPr>
                <w:p w14:paraId="0B477155">
                  <w:pPr>
                    <w:pStyle w:val="104"/>
                    <w:rPr>
                      <w:rFonts w:hAnsi="Times New Roman"/>
                    </w:rPr>
                  </w:pPr>
                  <w:r>
                    <w:rPr>
                      <w:rFonts w:hint="eastAsia" w:hAnsi="Times New Roman"/>
                    </w:rPr>
                    <w:t>厂区高噪声设备</w:t>
                  </w:r>
                </w:p>
              </w:tc>
              <w:tc>
                <w:tcPr>
                  <w:tcW w:w="5493" w:type="dxa"/>
                  <w:vAlign w:val="center"/>
                </w:tcPr>
                <w:p w14:paraId="16FFF3AE">
                  <w:pPr>
                    <w:pStyle w:val="104"/>
                    <w:rPr>
                      <w:rFonts w:hAnsi="Times New Roman"/>
                    </w:rPr>
                  </w:pPr>
                  <w:r>
                    <w:rPr>
                      <w:rFonts w:hint="eastAsia" w:hAnsi="Times New Roman"/>
                    </w:rPr>
                    <w:t>合理布局、置于室内，厂房隔声、减振、安装隔声罩等</w:t>
                  </w:r>
                </w:p>
              </w:tc>
            </w:tr>
            <w:tr w14:paraId="39D1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dxa"/>
                  <w:vMerge w:val="continue"/>
                  <w:vAlign w:val="center"/>
                </w:tcPr>
                <w:p w14:paraId="48210DC9">
                  <w:pPr>
                    <w:pStyle w:val="104"/>
                    <w:rPr>
                      <w:rFonts w:hAnsi="Times New Roman"/>
                    </w:rPr>
                  </w:pPr>
                </w:p>
              </w:tc>
              <w:tc>
                <w:tcPr>
                  <w:tcW w:w="767" w:type="dxa"/>
                  <w:vAlign w:val="center"/>
                </w:tcPr>
                <w:p w14:paraId="5BEB6B88">
                  <w:pPr>
                    <w:pStyle w:val="104"/>
                    <w:rPr>
                      <w:rFonts w:hAnsi="Times New Roman"/>
                    </w:rPr>
                  </w:pPr>
                  <w:r>
                    <w:rPr>
                      <w:rFonts w:hint="eastAsia" w:hAnsi="Times New Roman"/>
                    </w:rPr>
                    <w:t>固废处置</w:t>
                  </w:r>
                </w:p>
              </w:tc>
              <w:tc>
                <w:tcPr>
                  <w:tcW w:w="1366" w:type="dxa"/>
                  <w:vAlign w:val="center"/>
                </w:tcPr>
                <w:p w14:paraId="11BF7018">
                  <w:pPr>
                    <w:pStyle w:val="104"/>
                    <w:rPr>
                      <w:rFonts w:hAnsi="Times New Roman"/>
                    </w:rPr>
                  </w:pPr>
                  <w:r>
                    <w:rPr>
                      <w:rFonts w:hint="eastAsia" w:hAnsi="Times New Roman"/>
                    </w:rPr>
                    <w:t>一般固废暂存间</w:t>
                  </w:r>
                </w:p>
              </w:tc>
              <w:tc>
                <w:tcPr>
                  <w:tcW w:w="5493" w:type="dxa"/>
                  <w:vAlign w:val="center"/>
                </w:tcPr>
                <w:p w14:paraId="48759F53">
                  <w:pPr>
                    <w:pStyle w:val="104"/>
                    <w:rPr>
                      <w:rFonts w:hint="default" w:hAnsi="Times New Roman" w:eastAsia="宋体"/>
                      <w:lang w:val="en-US" w:eastAsia="zh-CN"/>
                    </w:rPr>
                  </w:pPr>
                  <w:r>
                    <w:rPr>
                      <w:rFonts w:hint="eastAsia" w:hAnsi="Times New Roman"/>
                      <w:lang w:val="en-US" w:eastAsia="zh-CN"/>
                    </w:rPr>
                    <w:t>位于车间东南侧（20m</w:t>
                  </w:r>
                  <w:r>
                    <w:rPr>
                      <w:rFonts w:hint="eastAsia" w:hAnsi="Times New Roman"/>
                      <w:vertAlign w:val="superscript"/>
                      <w:lang w:val="en-US" w:eastAsia="zh-CN"/>
                    </w:rPr>
                    <w:t>2</w:t>
                  </w:r>
                  <w:r>
                    <w:rPr>
                      <w:rFonts w:hint="eastAsia" w:hAnsi="Times New Roman"/>
                      <w:lang w:val="en-US" w:eastAsia="zh-CN"/>
                    </w:rPr>
                    <w:t>）</w:t>
                  </w:r>
                </w:p>
              </w:tc>
            </w:tr>
          </w:tbl>
          <w:p w14:paraId="6A7D6152">
            <w:pPr>
              <w:pStyle w:val="259"/>
              <w:spacing w:before="120" w:after="120"/>
            </w:pPr>
            <w:bookmarkStart w:id="19" w:name="_Toc197848426"/>
            <w:r>
              <w:t>3、产品及产能</w:t>
            </w:r>
            <w:bookmarkEnd w:id="19"/>
          </w:p>
          <w:p w14:paraId="654C3B1C">
            <w:pPr>
              <w:adjustRightInd w:val="0"/>
              <w:snapToGrid w:val="0"/>
              <w:spacing w:line="360" w:lineRule="auto"/>
              <w:ind w:firstLine="480" w:firstLineChars="200"/>
              <w:rPr>
                <w:sz w:val="24"/>
                <w:szCs w:val="20"/>
              </w:rPr>
            </w:pPr>
            <w:r>
              <w:rPr>
                <w:rFonts w:hint="eastAsia"/>
                <w:sz w:val="24"/>
              </w:rPr>
              <w:t>本</w:t>
            </w:r>
            <w:r>
              <w:rPr>
                <w:sz w:val="24"/>
              </w:rPr>
              <w:t>项目产品方案见下表</w:t>
            </w:r>
            <w:r>
              <w:rPr>
                <w:sz w:val="24"/>
                <w:szCs w:val="20"/>
              </w:rPr>
              <w:t>。</w:t>
            </w:r>
          </w:p>
          <w:p w14:paraId="64F36D35">
            <w:pPr>
              <w:pStyle w:val="56"/>
              <w:numPr>
                <w:ilvl w:val="0"/>
                <w:numId w:val="0"/>
              </w:numPr>
              <w:spacing w:before="120"/>
              <w:ind w:left="2520" w:leftChars="0"/>
              <w:jc w:val="both"/>
            </w:pPr>
            <w:r>
              <w:rPr>
                <w:rFonts w:hint="eastAsia"/>
                <w:lang w:val="en-US" w:eastAsia="zh-CN"/>
              </w:rPr>
              <w:t>表11</w:t>
            </w:r>
            <w:r>
              <w:t>项目产品方案一览表</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0" w:type="dxa"/>
                <w:bottom w:w="28" w:type="dxa"/>
                <w:right w:w="0" w:type="dxa"/>
              </w:tblCellMar>
            </w:tblPr>
            <w:tblGrid>
              <w:gridCol w:w="1610"/>
              <w:gridCol w:w="2870"/>
              <w:gridCol w:w="1198"/>
              <w:gridCol w:w="2730"/>
            </w:tblGrid>
            <w:tr w14:paraId="197D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252" w:hRule="atLeast"/>
                <w:jc w:val="center"/>
              </w:trPr>
              <w:tc>
                <w:tcPr>
                  <w:tcW w:w="957" w:type="pct"/>
                  <w:vAlign w:val="center"/>
                </w:tcPr>
                <w:p w14:paraId="557D7708">
                  <w:pPr>
                    <w:jc w:val="center"/>
                    <w:rPr>
                      <w:color w:val="000000"/>
                    </w:rPr>
                  </w:pPr>
                  <w:bookmarkStart w:id="20" w:name="_Toc197848427"/>
                  <w:r>
                    <w:rPr>
                      <w:color w:val="000000"/>
                    </w:rPr>
                    <w:t>序号</w:t>
                  </w:r>
                </w:p>
              </w:tc>
              <w:tc>
                <w:tcPr>
                  <w:tcW w:w="1706" w:type="pct"/>
                  <w:vAlign w:val="center"/>
                </w:tcPr>
                <w:p w14:paraId="431A9AA5">
                  <w:pPr>
                    <w:jc w:val="center"/>
                    <w:rPr>
                      <w:color w:val="000000"/>
                    </w:rPr>
                  </w:pPr>
                  <w:r>
                    <w:rPr>
                      <w:color w:val="000000"/>
                    </w:rPr>
                    <w:t>产品名称</w:t>
                  </w:r>
                </w:p>
              </w:tc>
              <w:tc>
                <w:tcPr>
                  <w:tcW w:w="712" w:type="pct"/>
                  <w:vAlign w:val="center"/>
                </w:tcPr>
                <w:p w14:paraId="2D61FB2D">
                  <w:pPr>
                    <w:jc w:val="center"/>
                    <w:rPr>
                      <w:color w:val="000000"/>
                    </w:rPr>
                  </w:pPr>
                  <w:r>
                    <w:rPr>
                      <w:color w:val="000000"/>
                    </w:rPr>
                    <w:t>单位</w:t>
                  </w:r>
                </w:p>
              </w:tc>
              <w:tc>
                <w:tcPr>
                  <w:tcW w:w="1623" w:type="pct"/>
                  <w:vAlign w:val="center"/>
                </w:tcPr>
                <w:p w14:paraId="22D9C558">
                  <w:pPr>
                    <w:jc w:val="center"/>
                    <w:rPr>
                      <w:color w:val="000000"/>
                    </w:rPr>
                  </w:pPr>
                  <w:r>
                    <w:rPr>
                      <w:color w:val="000000"/>
                    </w:rPr>
                    <w:t>设计年产量</w:t>
                  </w:r>
                </w:p>
              </w:tc>
            </w:tr>
            <w:tr w14:paraId="68E21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185" w:hRule="atLeast"/>
                <w:jc w:val="center"/>
              </w:trPr>
              <w:tc>
                <w:tcPr>
                  <w:tcW w:w="957" w:type="pct"/>
                  <w:vAlign w:val="center"/>
                </w:tcPr>
                <w:p w14:paraId="2FF6D636">
                  <w:pPr>
                    <w:jc w:val="center"/>
                    <w:rPr>
                      <w:color w:val="000000"/>
                    </w:rPr>
                  </w:pPr>
                  <w:r>
                    <w:rPr>
                      <w:color w:val="000000"/>
                    </w:rPr>
                    <w:t>1</w:t>
                  </w:r>
                </w:p>
              </w:tc>
              <w:tc>
                <w:tcPr>
                  <w:tcW w:w="1706" w:type="pct"/>
                  <w:vAlign w:val="center"/>
                </w:tcPr>
                <w:p w14:paraId="40CD05D9">
                  <w:pPr>
                    <w:jc w:val="center"/>
                    <w:rPr>
                      <w:rFonts w:hint="default" w:eastAsia="宋体"/>
                      <w:color w:val="000000"/>
                      <w:lang w:val="en-US" w:eastAsia="zh-CN"/>
                    </w:rPr>
                  </w:pPr>
                  <w:r>
                    <w:rPr>
                      <w:rFonts w:hint="eastAsia"/>
                      <w:color w:val="000000"/>
                      <w:lang w:val="en-US" w:eastAsia="zh-CN"/>
                    </w:rPr>
                    <w:t>黄豆酱</w:t>
                  </w:r>
                </w:p>
              </w:tc>
              <w:tc>
                <w:tcPr>
                  <w:tcW w:w="712" w:type="pct"/>
                  <w:vAlign w:val="center"/>
                </w:tcPr>
                <w:p w14:paraId="059F5792">
                  <w:pPr>
                    <w:jc w:val="center"/>
                    <w:rPr>
                      <w:color w:val="000000"/>
                    </w:rPr>
                  </w:pPr>
                  <w:r>
                    <w:rPr>
                      <w:color w:val="000000"/>
                    </w:rPr>
                    <w:t>吨</w:t>
                  </w:r>
                </w:p>
              </w:tc>
              <w:tc>
                <w:tcPr>
                  <w:tcW w:w="1623" w:type="pct"/>
                  <w:vAlign w:val="center"/>
                </w:tcPr>
                <w:p w14:paraId="60CC50EE">
                  <w:pPr>
                    <w:jc w:val="center"/>
                    <w:rPr>
                      <w:rFonts w:hint="default" w:eastAsia="宋体"/>
                      <w:color w:val="000000"/>
                      <w:lang w:val="en-US" w:eastAsia="zh-CN"/>
                    </w:rPr>
                  </w:pPr>
                  <w:r>
                    <w:rPr>
                      <w:rFonts w:hint="eastAsia"/>
                      <w:color w:val="000000"/>
                      <w:lang w:val="en-US" w:eastAsia="zh-CN"/>
                    </w:rPr>
                    <w:t>480</w:t>
                  </w:r>
                </w:p>
              </w:tc>
            </w:tr>
            <w:tr w14:paraId="4741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279" w:hRule="atLeast"/>
                <w:jc w:val="center"/>
              </w:trPr>
              <w:tc>
                <w:tcPr>
                  <w:tcW w:w="957" w:type="pct"/>
                  <w:vAlign w:val="center"/>
                </w:tcPr>
                <w:p w14:paraId="1EB86FB6">
                  <w:pPr>
                    <w:jc w:val="center"/>
                    <w:rPr>
                      <w:rFonts w:hint="eastAsia" w:eastAsia="宋体"/>
                      <w:color w:val="000000"/>
                      <w:lang w:val="en-US" w:eastAsia="zh-CN"/>
                    </w:rPr>
                  </w:pPr>
                  <w:r>
                    <w:rPr>
                      <w:rFonts w:hint="eastAsia"/>
                      <w:color w:val="000000"/>
                      <w:lang w:val="en-US" w:eastAsia="zh-CN"/>
                    </w:rPr>
                    <w:t>2</w:t>
                  </w:r>
                </w:p>
              </w:tc>
              <w:tc>
                <w:tcPr>
                  <w:tcW w:w="1706" w:type="pct"/>
                  <w:vAlign w:val="center"/>
                </w:tcPr>
                <w:p w14:paraId="717BC31D">
                  <w:pPr>
                    <w:jc w:val="center"/>
                    <w:rPr>
                      <w:rFonts w:hint="default"/>
                      <w:color w:val="000000"/>
                      <w:lang w:val="en-US" w:eastAsia="zh-CN"/>
                    </w:rPr>
                  </w:pPr>
                  <w:r>
                    <w:rPr>
                      <w:rFonts w:hint="eastAsia"/>
                      <w:color w:val="000000"/>
                      <w:lang w:val="en-US" w:eastAsia="zh-CN"/>
                    </w:rPr>
                    <w:t>灰培豆腐</w:t>
                  </w:r>
                </w:p>
              </w:tc>
              <w:tc>
                <w:tcPr>
                  <w:tcW w:w="712" w:type="pct"/>
                  <w:vAlign w:val="center"/>
                </w:tcPr>
                <w:p w14:paraId="197DEE74">
                  <w:pPr>
                    <w:jc w:val="center"/>
                    <w:rPr>
                      <w:rFonts w:hint="default" w:eastAsia="宋体"/>
                      <w:color w:val="000000"/>
                      <w:lang w:val="en-US" w:eastAsia="zh-CN"/>
                    </w:rPr>
                  </w:pPr>
                  <w:r>
                    <w:rPr>
                      <w:rFonts w:hint="eastAsia"/>
                      <w:color w:val="000000"/>
                      <w:lang w:val="en-US" w:eastAsia="zh-CN"/>
                    </w:rPr>
                    <w:t>吨</w:t>
                  </w:r>
                </w:p>
              </w:tc>
              <w:tc>
                <w:tcPr>
                  <w:tcW w:w="1623" w:type="pct"/>
                  <w:vAlign w:val="center"/>
                </w:tcPr>
                <w:p w14:paraId="2677A281">
                  <w:pPr>
                    <w:jc w:val="center"/>
                    <w:rPr>
                      <w:rFonts w:hint="default"/>
                      <w:color w:val="000000"/>
                      <w:lang w:val="en-US" w:eastAsia="zh-CN"/>
                    </w:rPr>
                  </w:pPr>
                  <w:r>
                    <w:rPr>
                      <w:rFonts w:hint="eastAsia"/>
                      <w:color w:val="000000"/>
                      <w:lang w:val="en-US" w:eastAsia="zh-CN"/>
                    </w:rPr>
                    <w:t>260</w:t>
                  </w:r>
                </w:p>
              </w:tc>
            </w:tr>
          </w:tbl>
          <w:p w14:paraId="6BE81D94">
            <w:pPr>
              <w:pStyle w:val="259"/>
              <w:spacing w:before="120" w:after="120"/>
            </w:pPr>
            <w:r>
              <w:t>4、主要生产设施</w:t>
            </w:r>
            <w:bookmarkEnd w:id="20"/>
          </w:p>
          <w:p w14:paraId="032100A5">
            <w:pPr>
              <w:adjustRightInd w:val="0"/>
              <w:snapToGrid w:val="0"/>
              <w:spacing w:line="360" w:lineRule="auto"/>
              <w:ind w:left="23" w:leftChars="11" w:firstLine="480" w:firstLineChars="200"/>
              <w:rPr>
                <w:sz w:val="24"/>
              </w:rPr>
            </w:pPr>
            <w:r>
              <w:rPr>
                <w:sz w:val="24"/>
              </w:rPr>
              <w:t>项目主要生产设备见下表。</w:t>
            </w:r>
          </w:p>
          <w:p w14:paraId="618E4C49">
            <w:pPr>
              <w:pStyle w:val="56"/>
              <w:numPr>
                <w:ilvl w:val="0"/>
                <w:numId w:val="0"/>
              </w:numPr>
              <w:spacing w:before="120"/>
              <w:ind w:left="2520" w:leftChars="0"/>
              <w:jc w:val="left"/>
            </w:pPr>
            <w:r>
              <w:rPr>
                <w:rFonts w:hint="eastAsia"/>
                <w:lang w:val="en-US" w:eastAsia="zh-CN"/>
              </w:rPr>
              <w:t>表12</w:t>
            </w:r>
            <w:r>
              <w:t>项目主要设备一览表</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0" w:type="dxa"/>
                <w:bottom w:w="28" w:type="dxa"/>
                <w:right w:w="0" w:type="dxa"/>
              </w:tblCellMar>
            </w:tblPr>
            <w:tblGrid>
              <w:gridCol w:w="971"/>
              <w:gridCol w:w="2898"/>
              <w:gridCol w:w="1181"/>
              <w:gridCol w:w="1181"/>
              <w:gridCol w:w="2177"/>
            </w:tblGrid>
            <w:tr w14:paraId="17F4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577" w:type="pct"/>
                  <w:shd w:val="clear" w:color="auto" w:fill="auto"/>
                  <w:vAlign w:val="center"/>
                </w:tcPr>
                <w:p w14:paraId="337A6436">
                  <w:pPr>
                    <w:pStyle w:val="257"/>
                  </w:pPr>
                  <w:bookmarkStart w:id="21" w:name="_Toc197848428"/>
                  <w:r>
                    <w:rPr>
                      <w:rFonts w:hint="eastAsia"/>
                    </w:rPr>
                    <w:t>序号</w:t>
                  </w:r>
                </w:p>
              </w:tc>
              <w:tc>
                <w:tcPr>
                  <w:tcW w:w="1723" w:type="pct"/>
                  <w:shd w:val="clear" w:color="auto" w:fill="auto"/>
                  <w:vAlign w:val="center"/>
                </w:tcPr>
                <w:p w14:paraId="1D1E04FE">
                  <w:pPr>
                    <w:pStyle w:val="257"/>
                  </w:pPr>
                  <w:r>
                    <w:rPr>
                      <w:rFonts w:hint="eastAsia"/>
                    </w:rPr>
                    <w:t>设备</w:t>
                  </w:r>
                </w:p>
              </w:tc>
              <w:tc>
                <w:tcPr>
                  <w:tcW w:w="702" w:type="pct"/>
                  <w:shd w:val="clear" w:color="auto" w:fill="auto"/>
                  <w:vAlign w:val="center"/>
                </w:tcPr>
                <w:p w14:paraId="1F97F34E">
                  <w:pPr>
                    <w:pStyle w:val="257"/>
                  </w:pPr>
                  <w:r>
                    <w:rPr>
                      <w:rFonts w:hint="eastAsia"/>
                    </w:rPr>
                    <w:t>数量</w:t>
                  </w:r>
                </w:p>
              </w:tc>
              <w:tc>
                <w:tcPr>
                  <w:tcW w:w="702" w:type="pct"/>
                  <w:shd w:val="clear" w:color="auto" w:fill="auto"/>
                  <w:vAlign w:val="center"/>
                </w:tcPr>
                <w:p w14:paraId="296BC101">
                  <w:pPr>
                    <w:pStyle w:val="257"/>
                  </w:pPr>
                  <w:r>
                    <w:rPr>
                      <w:rFonts w:hint="eastAsia"/>
                    </w:rPr>
                    <w:t>单位</w:t>
                  </w:r>
                </w:p>
              </w:tc>
              <w:tc>
                <w:tcPr>
                  <w:tcW w:w="1294" w:type="pct"/>
                  <w:shd w:val="clear" w:color="auto" w:fill="auto"/>
                  <w:vAlign w:val="center"/>
                </w:tcPr>
                <w:p w14:paraId="4D5F9098">
                  <w:pPr>
                    <w:pStyle w:val="257"/>
                  </w:pPr>
                  <w:r>
                    <w:rPr>
                      <w:rFonts w:hint="eastAsia"/>
                    </w:rPr>
                    <w:t>型号</w:t>
                  </w:r>
                </w:p>
              </w:tc>
            </w:tr>
            <w:tr w14:paraId="5A26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577" w:type="pct"/>
                  <w:vMerge w:val="restart"/>
                  <w:shd w:val="clear" w:color="auto" w:fill="auto"/>
                  <w:vAlign w:val="center"/>
                </w:tcPr>
                <w:p w14:paraId="2BFB308E">
                  <w:pPr>
                    <w:pStyle w:val="257"/>
                    <w:rPr>
                      <w:rFonts w:hint="default"/>
                      <w:lang w:val="en-US" w:eastAsia="zh-CN"/>
                    </w:rPr>
                  </w:pPr>
                  <w:r>
                    <w:rPr>
                      <w:rFonts w:hint="eastAsia"/>
                      <w:lang w:val="en-US" w:eastAsia="zh-CN"/>
                    </w:rPr>
                    <w:t>黄豆酱</w:t>
                  </w:r>
                </w:p>
              </w:tc>
              <w:tc>
                <w:tcPr>
                  <w:tcW w:w="1723" w:type="pct"/>
                  <w:shd w:val="clear" w:color="auto" w:fill="auto"/>
                  <w:vAlign w:val="center"/>
                </w:tcPr>
                <w:p w14:paraId="5AD4988B">
                  <w:pPr>
                    <w:pStyle w:val="257"/>
                    <w:rPr>
                      <w:rFonts w:hint="eastAsia" w:eastAsia="宋体"/>
                      <w:lang w:eastAsia="zh-CN"/>
                    </w:rPr>
                  </w:pPr>
                  <w:r>
                    <w:rPr>
                      <w:rFonts w:hint="eastAsia"/>
                      <w:lang w:val="en-US" w:eastAsia="zh-CN"/>
                    </w:rPr>
                    <w:t>煮锅</w:t>
                  </w:r>
                </w:p>
              </w:tc>
              <w:tc>
                <w:tcPr>
                  <w:tcW w:w="702" w:type="pct"/>
                  <w:shd w:val="clear" w:color="auto" w:fill="auto"/>
                  <w:vAlign w:val="center"/>
                </w:tcPr>
                <w:p w14:paraId="7B822A39">
                  <w:pPr>
                    <w:pStyle w:val="257"/>
                    <w:rPr>
                      <w:rFonts w:hint="eastAsia" w:eastAsia="宋体"/>
                      <w:lang w:val="en-US" w:eastAsia="zh-CN"/>
                    </w:rPr>
                  </w:pPr>
                  <w:r>
                    <w:rPr>
                      <w:rFonts w:hint="eastAsia"/>
                      <w:lang w:val="en-US" w:eastAsia="zh-CN"/>
                    </w:rPr>
                    <w:t>1</w:t>
                  </w:r>
                </w:p>
              </w:tc>
              <w:tc>
                <w:tcPr>
                  <w:tcW w:w="702" w:type="pct"/>
                  <w:shd w:val="clear" w:color="auto" w:fill="auto"/>
                  <w:vAlign w:val="center"/>
                </w:tcPr>
                <w:p w14:paraId="6CA2CD24">
                  <w:pPr>
                    <w:pStyle w:val="257"/>
                    <w:rPr>
                      <w:rFonts w:hint="eastAsia" w:eastAsia="宋体"/>
                      <w:lang w:val="en-US" w:eastAsia="zh-CN"/>
                    </w:rPr>
                  </w:pPr>
                  <w:r>
                    <w:rPr>
                      <w:rFonts w:hint="eastAsia"/>
                      <w:lang w:val="en-US" w:eastAsia="zh-CN"/>
                    </w:rPr>
                    <w:t>个</w:t>
                  </w:r>
                </w:p>
              </w:tc>
              <w:tc>
                <w:tcPr>
                  <w:tcW w:w="1294" w:type="pct"/>
                  <w:shd w:val="clear" w:color="auto" w:fill="auto"/>
                  <w:vAlign w:val="center"/>
                </w:tcPr>
                <w:p w14:paraId="245DBC0B">
                  <w:pPr>
                    <w:pStyle w:val="257"/>
                    <w:rPr>
                      <w:rFonts w:hint="default" w:eastAsia="宋体"/>
                      <w:lang w:val="en-US" w:eastAsia="zh-CN"/>
                    </w:rPr>
                  </w:pPr>
                  <w:r>
                    <w:rPr>
                      <w:rFonts w:hint="eastAsia"/>
                      <w:lang w:val="en-US" w:eastAsia="zh-CN"/>
                    </w:rPr>
                    <w:t>90L</w:t>
                  </w:r>
                </w:p>
              </w:tc>
            </w:tr>
            <w:tr w14:paraId="3AC7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577" w:type="pct"/>
                  <w:vMerge w:val="continue"/>
                  <w:shd w:val="clear" w:color="auto" w:fill="auto"/>
                  <w:vAlign w:val="center"/>
                </w:tcPr>
                <w:p w14:paraId="4C326CD7">
                  <w:pPr>
                    <w:pStyle w:val="257"/>
                  </w:pPr>
                </w:p>
              </w:tc>
              <w:tc>
                <w:tcPr>
                  <w:tcW w:w="1723" w:type="pct"/>
                  <w:shd w:val="clear" w:color="auto" w:fill="auto"/>
                  <w:vAlign w:val="center"/>
                </w:tcPr>
                <w:p w14:paraId="18D69F3C">
                  <w:pPr>
                    <w:pStyle w:val="257"/>
                    <w:rPr>
                      <w:rFonts w:hint="default" w:eastAsia="宋体"/>
                      <w:lang w:val="en-US" w:eastAsia="zh-CN"/>
                    </w:rPr>
                  </w:pPr>
                  <w:r>
                    <w:rPr>
                      <w:rFonts w:hint="eastAsia"/>
                      <w:lang w:val="en-US" w:eastAsia="zh-CN"/>
                    </w:rPr>
                    <w:t>自动铸铁炒锅</w:t>
                  </w:r>
                </w:p>
              </w:tc>
              <w:tc>
                <w:tcPr>
                  <w:tcW w:w="702" w:type="pct"/>
                  <w:shd w:val="clear" w:color="auto" w:fill="auto"/>
                  <w:vAlign w:val="center"/>
                </w:tcPr>
                <w:p w14:paraId="01BE2B97">
                  <w:pPr>
                    <w:pStyle w:val="257"/>
                    <w:rPr>
                      <w:rFonts w:hint="eastAsia" w:eastAsia="宋体"/>
                      <w:lang w:val="en-US" w:eastAsia="zh-CN"/>
                    </w:rPr>
                  </w:pPr>
                  <w:r>
                    <w:rPr>
                      <w:rFonts w:hint="eastAsia"/>
                      <w:lang w:val="en-US" w:eastAsia="zh-CN"/>
                    </w:rPr>
                    <w:t>1</w:t>
                  </w:r>
                </w:p>
              </w:tc>
              <w:tc>
                <w:tcPr>
                  <w:tcW w:w="702" w:type="pct"/>
                  <w:shd w:val="clear" w:color="auto" w:fill="auto"/>
                  <w:vAlign w:val="center"/>
                </w:tcPr>
                <w:p w14:paraId="38E15B80">
                  <w:pPr>
                    <w:pStyle w:val="257"/>
                    <w:rPr>
                      <w:rFonts w:hint="eastAsia" w:eastAsia="宋体"/>
                      <w:lang w:val="en-US" w:eastAsia="zh-CN"/>
                    </w:rPr>
                  </w:pPr>
                  <w:r>
                    <w:rPr>
                      <w:rFonts w:hint="eastAsia"/>
                      <w:lang w:val="en-US" w:eastAsia="zh-CN"/>
                    </w:rPr>
                    <w:t>个</w:t>
                  </w:r>
                </w:p>
              </w:tc>
              <w:tc>
                <w:tcPr>
                  <w:tcW w:w="1294" w:type="pct"/>
                  <w:shd w:val="clear" w:color="auto" w:fill="auto"/>
                  <w:vAlign w:val="center"/>
                </w:tcPr>
                <w:p w14:paraId="63013225">
                  <w:pPr>
                    <w:pStyle w:val="257"/>
                    <w:rPr>
                      <w:rFonts w:hint="default"/>
                      <w:lang w:val="en-US" w:eastAsia="zh-CN"/>
                    </w:rPr>
                  </w:pPr>
                  <w:r>
                    <w:rPr>
                      <w:rFonts w:hint="eastAsia"/>
                      <w:lang w:val="en-US" w:eastAsia="zh-CN"/>
                    </w:rPr>
                    <w:t>800L</w:t>
                  </w:r>
                </w:p>
              </w:tc>
            </w:tr>
            <w:tr w14:paraId="37E9B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577" w:type="pct"/>
                  <w:vMerge w:val="continue"/>
                  <w:shd w:val="clear" w:color="auto" w:fill="auto"/>
                  <w:vAlign w:val="center"/>
                </w:tcPr>
                <w:p w14:paraId="4E7007C5">
                  <w:pPr>
                    <w:pStyle w:val="257"/>
                    <w:rPr>
                      <w:rFonts w:hint="eastAsia" w:eastAsia="宋体"/>
                      <w:lang w:val="en-US" w:eastAsia="zh-CN"/>
                    </w:rPr>
                  </w:pPr>
                </w:p>
              </w:tc>
              <w:tc>
                <w:tcPr>
                  <w:tcW w:w="1723" w:type="pct"/>
                  <w:shd w:val="clear" w:color="auto" w:fill="auto"/>
                  <w:vAlign w:val="center"/>
                </w:tcPr>
                <w:p w14:paraId="3EA88C4F">
                  <w:pPr>
                    <w:pStyle w:val="257"/>
                    <w:rPr>
                      <w:rFonts w:hint="default"/>
                      <w:lang w:val="en-US" w:eastAsia="zh-CN"/>
                    </w:rPr>
                  </w:pPr>
                  <w:r>
                    <w:rPr>
                      <w:rFonts w:hint="eastAsia"/>
                      <w:lang w:val="en-US" w:eastAsia="zh-CN"/>
                    </w:rPr>
                    <w:t>理瓶机</w:t>
                  </w:r>
                </w:p>
              </w:tc>
              <w:tc>
                <w:tcPr>
                  <w:tcW w:w="702" w:type="pct"/>
                  <w:shd w:val="clear" w:color="auto" w:fill="auto"/>
                  <w:vAlign w:val="center"/>
                </w:tcPr>
                <w:p w14:paraId="1D98F519">
                  <w:pPr>
                    <w:pStyle w:val="257"/>
                    <w:rPr>
                      <w:rFonts w:hint="default"/>
                      <w:lang w:val="en-US" w:eastAsia="zh-CN"/>
                    </w:rPr>
                  </w:pPr>
                  <w:r>
                    <w:rPr>
                      <w:rFonts w:hint="eastAsia"/>
                      <w:lang w:val="en-US" w:eastAsia="zh-CN"/>
                    </w:rPr>
                    <w:t>1</w:t>
                  </w:r>
                </w:p>
              </w:tc>
              <w:tc>
                <w:tcPr>
                  <w:tcW w:w="702" w:type="pct"/>
                  <w:shd w:val="clear" w:color="auto" w:fill="auto"/>
                  <w:vAlign w:val="center"/>
                </w:tcPr>
                <w:p w14:paraId="38C04994">
                  <w:pPr>
                    <w:pStyle w:val="257"/>
                    <w:rPr>
                      <w:rFonts w:hint="default"/>
                      <w:lang w:val="en-US" w:eastAsia="zh-CN"/>
                    </w:rPr>
                  </w:pPr>
                  <w:r>
                    <w:rPr>
                      <w:rFonts w:hint="eastAsia"/>
                      <w:lang w:val="en-US" w:eastAsia="zh-CN"/>
                    </w:rPr>
                    <w:t>台</w:t>
                  </w:r>
                </w:p>
              </w:tc>
              <w:tc>
                <w:tcPr>
                  <w:tcW w:w="1294" w:type="pct"/>
                  <w:shd w:val="clear" w:color="auto" w:fill="auto"/>
                  <w:vAlign w:val="center"/>
                </w:tcPr>
                <w:p w14:paraId="4C928153">
                  <w:pPr>
                    <w:pStyle w:val="257"/>
                    <w:rPr>
                      <w:rFonts w:hint="default"/>
                      <w:lang w:val="en-US" w:eastAsia="zh-CN"/>
                    </w:rPr>
                  </w:pPr>
                  <w:r>
                    <w:rPr>
                      <w:rFonts w:hint="eastAsia"/>
                      <w:lang w:val="en-US" w:eastAsia="zh-CN"/>
                    </w:rPr>
                    <w:t>ST-LG</w:t>
                  </w:r>
                </w:p>
              </w:tc>
            </w:tr>
            <w:tr w14:paraId="3CFA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577" w:type="pct"/>
                  <w:vMerge w:val="continue"/>
                  <w:shd w:val="clear" w:color="auto" w:fill="auto"/>
                  <w:vAlign w:val="center"/>
                </w:tcPr>
                <w:p w14:paraId="0EEA964A">
                  <w:pPr>
                    <w:pStyle w:val="257"/>
                    <w:rPr>
                      <w:rFonts w:hint="eastAsia" w:eastAsia="宋体"/>
                      <w:lang w:eastAsia="zh-CN"/>
                    </w:rPr>
                  </w:pPr>
                </w:p>
              </w:tc>
              <w:tc>
                <w:tcPr>
                  <w:tcW w:w="1723" w:type="pct"/>
                  <w:shd w:val="clear" w:color="auto" w:fill="auto"/>
                  <w:vAlign w:val="center"/>
                </w:tcPr>
                <w:p w14:paraId="1EAD8278">
                  <w:pPr>
                    <w:pStyle w:val="257"/>
                    <w:rPr>
                      <w:rFonts w:hint="default" w:eastAsia="宋体"/>
                      <w:lang w:val="en-US" w:eastAsia="zh-CN"/>
                    </w:rPr>
                  </w:pPr>
                  <w:r>
                    <w:rPr>
                      <w:rFonts w:hint="eastAsia"/>
                      <w:lang w:val="en-US" w:eastAsia="zh-CN"/>
                    </w:rPr>
                    <w:t>直线式洗瓶机</w:t>
                  </w:r>
                </w:p>
              </w:tc>
              <w:tc>
                <w:tcPr>
                  <w:tcW w:w="702" w:type="pct"/>
                  <w:shd w:val="clear" w:color="auto" w:fill="auto"/>
                  <w:vAlign w:val="center"/>
                </w:tcPr>
                <w:p w14:paraId="23D09EFA">
                  <w:pPr>
                    <w:pStyle w:val="257"/>
                    <w:rPr>
                      <w:rFonts w:hint="default" w:eastAsia="宋体"/>
                      <w:lang w:val="en-US" w:eastAsia="zh-CN"/>
                    </w:rPr>
                  </w:pPr>
                  <w:r>
                    <w:rPr>
                      <w:rFonts w:hint="eastAsia"/>
                      <w:lang w:val="en-US" w:eastAsia="zh-CN"/>
                    </w:rPr>
                    <w:t>1</w:t>
                  </w:r>
                </w:p>
              </w:tc>
              <w:tc>
                <w:tcPr>
                  <w:tcW w:w="702" w:type="pct"/>
                  <w:shd w:val="clear" w:color="auto" w:fill="auto"/>
                  <w:vAlign w:val="center"/>
                </w:tcPr>
                <w:p w14:paraId="2339A69D">
                  <w:pPr>
                    <w:pStyle w:val="257"/>
                    <w:rPr>
                      <w:rFonts w:hint="eastAsia" w:eastAsia="宋体"/>
                      <w:lang w:val="en-US" w:eastAsia="zh-CN"/>
                    </w:rPr>
                  </w:pPr>
                  <w:r>
                    <w:rPr>
                      <w:rFonts w:hint="eastAsia"/>
                      <w:lang w:val="en-US" w:eastAsia="zh-CN"/>
                    </w:rPr>
                    <w:t>台</w:t>
                  </w:r>
                </w:p>
              </w:tc>
              <w:tc>
                <w:tcPr>
                  <w:tcW w:w="1294" w:type="pct"/>
                  <w:shd w:val="clear" w:color="auto" w:fill="auto"/>
                  <w:vAlign w:val="center"/>
                </w:tcPr>
                <w:p w14:paraId="636FF1B3">
                  <w:pPr>
                    <w:pStyle w:val="257"/>
                    <w:rPr>
                      <w:rFonts w:hint="default" w:eastAsia="宋体"/>
                      <w:lang w:val="en-US" w:eastAsia="zh-CN"/>
                    </w:rPr>
                  </w:pPr>
                  <w:r>
                    <w:rPr>
                      <w:rFonts w:hint="eastAsia"/>
                      <w:lang w:val="en-US" w:eastAsia="zh-CN"/>
                    </w:rPr>
                    <w:t>ST-XP</w:t>
                  </w:r>
                </w:p>
              </w:tc>
            </w:tr>
            <w:tr w14:paraId="3055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577" w:type="pct"/>
                  <w:vMerge w:val="continue"/>
                  <w:shd w:val="clear" w:color="auto" w:fill="auto"/>
                  <w:vAlign w:val="center"/>
                </w:tcPr>
                <w:p w14:paraId="16591B56">
                  <w:pPr>
                    <w:pStyle w:val="257"/>
                    <w:rPr>
                      <w:rFonts w:hint="eastAsia" w:ascii="Times New Roman" w:hAnsi="Times New Roman" w:eastAsia="宋体" w:cs="Times New Roman"/>
                      <w:kern w:val="2"/>
                      <w:sz w:val="21"/>
                      <w:szCs w:val="21"/>
                      <w:lang w:val="en-US" w:eastAsia="zh-CN" w:bidi="ar-SA"/>
                    </w:rPr>
                  </w:pPr>
                </w:p>
              </w:tc>
              <w:tc>
                <w:tcPr>
                  <w:tcW w:w="1723" w:type="pct"/>
                  <w:shd w:val="clear" w:color="auto" w:fill="auto"/>
                  <w:vAlign w:val="center"/>
                </w:tcPr>
                <w:p w14:paraId="12C34A8D">
                  <w:pPr>
                    <w:pStyle w:val="257"/>
                    <w:rPr>
                      <w:rFonts w:hint="default"/>
                      <w:lang w:val="en-US" w:eastAsia="zh-CN"/>
                    </w:rPr>
                  </w:pPr>
                  <w:r>
                    <w:rPr>
                      <w:rFonts w:hint="eastAsia"/>
                      <w:lang w:val="en-US" w:eastAsia="zh-CN"/>
                    </w:rPr>
                    <w:t>5米隧道灭菌烘箱</w:t>
                  </w:r>
                </w:p>
              </w:tc>
              <w:tc>
                <w:tcPr>
                  <w:tcW w:w="702" w:type="pct"/>
                  <w:shd w:val="clear" w:color="auto" w:fill="auto"/>
                  <w:vAlign w:val="center"/>
                </w:tcPr>
                <w:p w14:paraId="6E2C5D86">
                  <w:pPr>
                    <w:pStyle w:val="257"/>
                    <w:rPr>
                      <w:rFonts w:hint="default"/>
                      <w:lang w:val="en-US" w:eastAsia="zh-CN"/>
                    </w:rPr>
                  </w:pPr>
                  <w:r>
                    <w:rPr>
                      <w:rFonts w:hint="eastAsia"/>
                      <w:lang w:val="en-US" w:eastAsia="zh-CN"/>
                    </w:rPr>
                    <w:t>1</w:t>
                  </w:r>
                </w:p>
              </w:tc>
              <w:tc>
                <w:tcPr>
                  <w:tcW w:w="702" w:type="pct"/>
                  <w:shd w:val="clear" w:color="auto" w:fill="auto"/>
                  <w:vAlign w:val="center"/>
                </w:tcPr>
                <w:p w14:paraId="0D95E27B">
                  <w:pPr>
                    <w:pStyle w:val="257"/>
                    <w:rPr>
                      <w:rFonts w:hint="default"/>
                      <w:lang w:val="en-US" w:eastAsia="zh-CN"/>
                    </w:rPr>
                  </w:pPr>
                  <w:r>
                    <w:rPr>
                      <w:rFonts w:hint="eastAsia"/>
                      <w:lang w:val="en-US" w:eastAsia="zh-CN"/>
                    </w:rPr>
                    <w:t>台</w:t>
                  </w:r>
                </w:p>
              </w:tc>
              <w:tc>
                <w:tcPr>
                  <w:tcW w:w="1294" w:type="pct"/>
                  <w:shd w:val="clear" w:color="auto" w:fill="auto"/>
                  <w:vAlign w:val="center"/>
                </w:tcPr>
                <w:p w14:paraId="6E077940">
                  <w:pPr>
                    <w:pStyle w:val="257"/>
                    <w:rPr>
                      <w:rFonts w:hint="default"/>
                      <w:lang w:val="en-US" w:eastAsia="zh-CN"/>
                    </w:rPr>
                  </w:pPr>
                  <w:r>
                    <w:rPr>
                      <w:rFonts w:hint="eastAsia"/>
                      <w:lang w:val="en-US" w:eastAsia="zh-CN"/>
                    </w:rPr>
                    <w:t>ST-HX-5</w:t>
                  </w:r>
                </w:p>
              </w:tc>
            </w:tr>
            <w:tr w14:paraId="3E33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577" w:type="pct"/>
                  <w:vMerge w:val="continue"/>
                  <w:shd w:val="clear" w:color="auto" w:fill="auto"/>
                  <w:vAlign w:val="center"/>
                </w:tcPr>
                <w:p w14:paraId="1538F4AA">
                  <w:pPr>
                    <w:pStyle w:val="257"/>
                    <w:rPr>
                      <w:rFonts w:hint="eastAsia" w:ascii="Times New Roman" w:hAnsi="Times New Roman" w:eastAsia="宋体" w:cs="Times New Roman"/>
                      <w:kern w:val="2"/>
                      <w:sz w:val="21"/>
                      <w:szCs w:val="21"/>
                      <w:lang w:val="en-US" w:eastAsia="zh-CN" w:bidi="ar-SA"/>
                    </w:rPr>
                  </w:pPr>
                </w:p>
              </w:tc>
              <w:tc>
                <w:tcPr>
                  <w:tcW w:w="1723" w:type="pct"/>
                  <w:shd w:val="clear" w:color="auto" w:fill="auto"/>
                  <w:vAlign w:val="center"/>
                </w:tcPr>
                <w:p w14:paraId="6F300ABB">
                  <w:pPr>
                    <w:pStyle w:val="257"/>
                    <w:rPr>
                      <w:rFonts w:hint="default" w:eastAsia="宋体"/>
                      <w:lang w:val="en-US" w:eastAsia="zh-CN"/>
                    </w:rPr>
                  </w:pPr>
                  <w:r>
                    <w:rPr>
                      <w:rFonts w:hint="eastAsia"/>
                      <w:lang w:val="en-US" w:eastAsia="zh-CN"/>
                    </w:rPr>
                    <w:t>全自动4头直线式灌装机</w:t>
                  </w:r>
                </w:p>
              </w:tc>
              <w:tc>
                <w:tcPr>
                  <w:tcW w:w="702" w:type="pct"/>
                  <w:shd w:val="clear" w:color="auto" w:fill="auto"/>
                  <w:vAlign w:val="center"/>
                </w:tcPr>
                <w:p w14:paraId="1AAD3B22">
                  <w:pPr>
                    <w:pStyle w:val="257"/>
                    <w:rPr>
                      <w:rFonts w:hint="eastAsia" w:eastAsia="宋体"/>
                      <w:lang w:val="en-US" w:eastAsia="zh-CN"/>
                    </w:rPr>
                  </w:pPr>
                  <w:r>
                    <w:rPr>
                      <w:rFonts w:hint="eastAsia"/>
                      <w:lang w:val="en-US" w:eastAsia="zh-CN"/>
                    </w:rPr>
                    <w:t>1</w:t>
                  </w:r>
                </w:p>
              </w:tc>
              <w:tc>
                <w:tcPr>
                  <w:tcW w:w="702" w:type="pct"/>
                  <w:shd w:val="clear" w:color="auto" w:fill="auto"/>
                  <w:vAlign w:val="center"/>
                </w:tcPr>
                <w:p w14:paraId="509A4D51">
                  <w:pPr>
                    <w:pStyle w:val="257"/>
                    <w:rPr>
                      <w:rFonts w:hint="eastAsia" w:eastAsia="宋体"/>
                      <w:lang w:val="en-US" w:eastAsia="zh-CN"/>
                    </w:rPr>
                  </w:pPr>
                  <w:r>
                    <w:rPr>
                      <w:rFonts w:hint="eastAsia"/>
                      <w:lang w:val="en-US" w:eastAsia="zh-CN"/>
                    </w:rPr>
                    <w:t>台</w:t>
                  </w:r>
                </w:p>
              </w:tc>
              <w:tc>
                <w:tcPr>
                  <w:tcW w:w="1294" w:type="pct"/>
                  <w:shd w:val="clear" w:color="auto" w:fill="auto"/>
                  <w:vAlign w:val="center"/>
                </w:tcPr>
                <w:p w14:paraId="1878C942">
                  <w:pPr>
                    <w:pStyle w:val="257"/>
                    <w:rPr>
                      <w:rFonts w:hint="default" w:eastAsia="宋体"/>
                      <w:lang w:val="en-US" w:eastAsia="zh-CN"/>
                    </w:rPr>
                  </w:pPr>
                  <w:r>
                    <w:rPr>
                      <w:rFonts w:hint="eastAsia"/>
                      <w:lang w:val="en-US" w:eastAsia="zh-CN"/>
                    </w:rPr>
                    <w:t>ST-GZ-4</w:t>
                  </w:r>
                </w:p>
              </w:tc>
            </w:tr>
            <w:tr w14:paraId="089A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71" w:hRule="atLeast"/>
                <w:jc w:val="center"/>
              </w:trPr>
              <w:tc>
                <w:tcPr>
                  <w:tcW w:w="577" w:type="pct"/>
                  <w:vMerge w:val="continue"/>
                  <w:shd w:val="clear" w:color="auto" w:fill="auto"/>
                  <w:vAlign w:val="center"/>
                </w:tcPr>
                <w:p w14:paraId="11C259F4">
                  <w:pPr>
                    <w:pStyle w:val="257"/>
                    <w:rPr>
                      <w:rFonts w:hint="eastAsia" w:ascii="Times New Roman" w:hAnsi="Times New Roman" w:eastAsia="宋体" w:cs="Times New Roman"/>
                      <w:kern w:val="2"/>
                      <w:sz w:val="21"/>
                      <w:szCs w:val="21"/>
                      <w:lang w:val="en-US" w:eastAsia="zh-CN" w:bidi="ar-SA"/>
                    </w:rPr>
                  </w:pPr>
                </w:p>
              </w:tc>
              <w:tc>
                <w:tcPr>
                  <w:tcW w:w="1723" w:type="pct"/>
                  <w:shd w:val="clear" w:color="auto" w:fill="auto"/>
                  <w:noWrap/>
                  <w:vAlign w:val="center"/>
                </w:tcPr>
                <w:p w14:paraId="6E9162A9">
                  <w:pPr>
                    <w:pStyle w:val="257"/>
                    <w:rPr>
                      <w:rFonts w:hint="default" w:eastAsia="宋体"/>
                      <w:lang w:val="en-US" w:eastAsia="zh-CN"/>
                    </w:rPr>
                  </w:pPr>
                  <w:r>
                    <w:rPr>
                      <w:rFonts w:hint="eastAsia"/>
                      <w:lang w:val="en-US" w:eastAsia="zh-CN"/>
                    </w:rPr>
                    <w:t>上料车</w:t>
                  </w:r>
                </w:p>
              </w:tc>
              <w:tc>
                <w:tcPr>
                  <w:tcW w:w="702" w:type="pct"/>
                  <w:shd w:val="clear" w:color="auto" w:fill="auto"/>
                  <w:vAlign w:val="center"/>
                </w:tcPr>
                <w:p w14:paraId="7FB99C1F">
                  <w:pPr>
                    <w:pStyle w:val="257"/>
                    <w:rPr>
                      <w:rFonts w:hint="eastAsia" w:eastAsia="宋体"/>
                      <w:lang w:val="en-US" w:eastAsia="zh-CN"/>
                    </w:rPr>
                  </w:pPr>
                  <w:r>
                    <w:rPr>
                      <w:rFonts w:hint="eastAsia"/>
                      <w:lang w:val="en-US" w:eastAsia="zh-CN"/>
                    </w:rPr>
                    <w:t>1</w:t>
                  </w:r>
                </w:p>
              </w:tc>
              <w:tc>
                <w:tcPr>
                  <w:tcW w:w="702" w:type="pct"/>
                  <w:shd w:val="clear" w:color="auto" w:fill="auto"/>
                  <w:vAlign w:val="center"/>
                </w:tcPr>
                <w:p w14:paraId="49434762">
                  <w:pPr>
                    <w:pStyle w:val="257"/>
                    <w:rPr>
                      <w:rFonts w:hint="eastAsia" w:eastAsia="宋体"/>
                      <w:lang w:val="en-US" w:eastAsia="zh-CN"/>
                    </w:rPr>
                  </w:pPr>
                  <w:r>
                    <w:rPr>
                      <w:rFonts w:hint="eastAsia"/>
                      <w:lang w:val="en-US" w:eastAsia="zh-CN"/>
                    </w:rPr>
                    <w:t>台</w:t>
                  </w:r>
                </w:p>
              </w:tc>
              <w:tc>
                <w:tcPr>
                  <w:tcW w:w="1294" w:type="pct"/>
                  <w:shd w:val="clear" w:color="auto" w:fill="auto"/>
                  <w:vAlign w:val="center"/>
                </w:tcPr>
                <w:p w14:paraId="7FCBCECE">
                  <w:pPr>
                    <w:pStyle w:val="257"/>
                    <w:rPr>
                      <w:rFonts w:hint="default" w:eastAsia="宋体"/>
                      <w:lang w:val="en-US" w:eastAsia="zh-CN"/>
                    </w:rPr>
                  </w:pPr>
                  <w:r>
                    <w:rPr>
                      <w:rFonts w:hint="eastAsia"/>
                      <w:lang w:val="en-US" w:eastAsia="zh-CN"/>
                    </w:rPr>
                    <w:t>ST-SL</w:t>
                  </w:r>
                </w:p>
              </w:tc>
            </w:tr>
            <w:tr w14:paraId="64BA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577" w:type="pct"/>
                  <w:vMerge w:val="continue"/>
                  <w:shd w:val="clear" w:color="auto" w:fill="auto"/>
                  <w:vAlign w:val="center"/>
                </w:tcPr>
                <w:p w14:paraId="3C2AB062">
                  <w:pPr>
                    <w:pStyle w:val="257"/>
                    <w:rPr>
                      <w:rFonts w:hint="eastAsia" w:ascii="Times New Roman" w:hAnsi="Times New Roman" w:eastAsia="宋体" w:cs="Times New Roman"/>
                      <w:kern w:val="2"/>
                      <w:sz w:val="21"/>
                      <w:szCs w:val="21"/>
                      <w:lang w:val="en-US" w:eastAsia="zh-CN" w:bidi="ar-SA"/>
                    </w:rPr>
                  </w:pPr>
                </w:p>
              </w:tc>
              <w:tc>
                <w:tcPr>
                  <w:tcW w:w="1723" w:type="pct"/>
                  <w:shd w:val="clear" w:color="auto" w:fill="auto"/>
                  <w:vAlign w:val="center"/>
                </w:tcPr>
                <w:p w14:paraId="464E4BE1">
                  <w:pPr>
                    <w:pStyle w:val="257"/>
                    <w:rPr>
                      <w:rFonts w:hint="default" w:eastAsia="宋体"/>
                      <w:lang w:val="en-US" w:eastAsia="zh-CN"/>
                    </w:rPr>
                  </w:pPr>
                  <w:r>
                    <w:rPr>
                      <w:rFonts w:hint="eastAsia"/>
                      <w:lang w:val="en-US" w:eastAsia="zh-CN"/>
                    </w:rPr>
                    <w:t>自动理盖、抽真空旋盖机</w:t>
                  </w:r>
                </w:p>
              </w:tc>
              <w:tc>
                <w:tcPr>
                  <w:tcW w:w="702" w:type="pct"/>
                  <w:shd w:val="clear" w:color="auto" w:fill="auto"/>
                  <w:vAlign w:val="center"/>
                </w:tcPr>
                <w:p w14:paraId="0ECD9B44">
                  <w:pPr>
                    <w:pStyle w:val="257"/>
                    <w:rPr>
                      <w:rFonts w:hint="eastAsia" w:eastAsia="宋体"/>
                      <w:lang w:val="en-US" w:eastAsia="zh-CN"/>
                    </w:rPr>
                  </w:pPr>
                  <w:r>
                    <w:rPr>
                      <w:rFonts w:hint="eastAsia"/>
                      <w:lang w:val="en-US" w:eastAsia="zh-CN"/>
                    </w:rPr>
                    <w:t>1</w:t>
                  </w:r>
                </w:p>
              </w:tc>
              <w:tc>
                <w:tcPr>
                  <w:tcW w:w="702" w:type="pct"/>
                  <w:shd w:val="clear" w:color="auto" w:fill="auto"/>
                  <w:vAlign w:val="center"/>
                </w:tcPr>
                <w:p w14:paraId="2D0115DC">
                  <w:pPr>
                    <w:pStyle w:val="257"/>
                    <w:rPr>
                      <w:rFonts w:hint="default" w:eastAsia="宋体"/>
                      <w:lang w:val="en-US" w:eastAsia="zh-CN"/>
                    </w:rPr>
                  </w:pPr>
                  <w:r>
                    <w:rPr>
                      <w:rFonts w:hint="eastAsia"/>
                      <w:lang w:val="en-US" w:eastAsia="zh-CN"/>
                    </w:rPr>
                    <w:t>台</w:t>
                  </w:r>
                </w:p>
              </w:tc>
              <w:tc>
                <w:tcPr>
                  <w:tcW w:w="1294" w:type="pct"/>
                  <w:shd w:val="clear" w:color="auto" w:fill="auto"/>
                  <w:vAlign w:val="center"/>
                </w:tcPr>
                <w:p w14:paraId="54F26639">
                  <w:pPr>
                    <w:pStyle w:val="257"/>
                    <w:rPr>
                      <w:rFonts w:hint="default" w:eastAsia="宋体"/>
                      <w:lang w:val="en-US" w:eastAsia="zh-CN"/>
                    </w:rPr>
                  </w:pPr>
                  <w:r>
                    <w:rPr>
                      <w:rFonts w:hint="eastAsia"/>
                      <w:lang w:val="en-US" w:eastAsia="zh-CN"/>
                    </w:rPr>
                    <w:t>ST-ZK-1</w:t>
                  </w:r>
                </w:p>
              </w:tc>
            </w:tr>
            <w:tr w14:paraId="70BC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577" w:type="pct"/>
                  <w:vMerge w:val="continue"/>
                  <w:shd w:val="clear" w:color="auto" w:fill="auto"/>
                  <w:vAlign w:val="center"/>
                </w:tcPr>
                <w:p w14:paraId="7216F58E">
                  <w:pPr>
                    <w:pStyle w:val="257"/>
                    <w:rPr>
                      <w:rFonts w:hint="default" w:eastAsia="宋体"/>
                      <w:lang w:val="en-US" w:eastAsia="zh-CN"/>
                    </w:rPr>
                  </w:pPr>
                </w:p>
              </w:tc>
              <w:tc>
                <w:tcPr>
                  <w:tcW w:w="1723" w:type="pct"/>
                  <w:shd w:val="clear" w:color="auto" w:fill="auto"/>
                  <w:vAlign w:val="center"/>
                </w:tcPr>
                <w:p w14:paraId="03793FBB">
                  <w:pPr>
                    <w:pStyle w:val="257"/>
                    <w:rPr>
                      <w:rFonts w:hint="default" w:eastAsia="宋体"/>
                      <w:lang w:val="en-US" w:eastAsia="zh-CN"/>
                    </w:rPr>
                  </w:pPr>
                  <w:r>
                    <w:rPr>
                      <w:rFonts w:hint="eastAsia"/>
                      <w:lang w:val="en-US" w:eastAsia="zh-CN"/>
                    </w:rPr>
                    <w:t>18米水浴巴氏杀菌机</w:t>
                  </w:r>
                </w:p>
              </w:tc>
              <w:tc>
                <w:tcPr>
                  <w:tcW w:w="702" w:type="pct"/>
                  <w:shd w:val="clear" w:color="auto" w:fill="auto"/>
                  <w:vAlign w:val="center"/>
                </w:tcPr>
                <w:p w14:paraId="098836B2">
                  <w:pPr>
                    <w:pStyle w:val="257"/>
                    <w:rPr>
                      <w:rFonts w:hint="eastAsia" w:eastAsia="宋体"/>
                      <w:lang w:val="en-US" w:eastAsia="zh-CN"/>
                    </w:rPr>
                  </w:pPr>
                  <w:r>
                    <w:rPr>
                      <w:rFonts w:hint="eastAsia"/>
                      <w:lang w:val="en-US" w:eastAsia="zh-CN"/>
                    </w:rPr>
                    <w:t>1</w:t>
                  </w:r>
                </w:p>
              </w:tc>
              <w:tc>
                <w:tcPr>
                  <w:tcW w:w="702" w:type="pct"/>
                  <w:shd w:val="clear" w:color="auto" w:fill="auto"/>
                  <w:vAlign w:val="center"/>
                </w:tcPr>
                <w:p w14:paraId="01CA9A5D">
                  <w:pPr>
                    <w:pStyle w:val="257"/>
                    <w:rPr>
                      <w:rFonts w:hint="default" w:eastAsia="宋体"/>
                      <w:lang w:val="en-US" w:eastAsia="zh-CN"/>
                    </w:rPr>
                  </w:pPr>
                  <w:r>
                    <w:rPr>
                      <w:rFonts w:hint="eastAsia"/>
                      <w:lang w:val="en-US" w:eastAsia="zh-CN"/>
                    </w:rPr>
                    <w:t>台</w:t>
                  </w:r>
                </w:p>
              </w:tc>
              <w:tc>
                <w:tcPr>
                  <w:tcW w:w="1294" w:type="pct"/>
                  <w:shd w:val="clear" w:color="auto" w:fill="auto"/>
                  <w:vAlign w:val="center"/>
                </w:tcPr>
                <w:p w14:paraId="40328EB6">
                  <w:pPr>
                    <w:pStyle w:val="257"/>
                    <w:rPr>
                      <w:rFonts w:hint="default" w:eastAsia="宋体"/>
                      <w:lang w:val="en-US" w:eastAsia="zh-CN"/>
                    </w:rPr>
                  </w:pPr>
                  <w:r>
                    <w:rPr>
                      <w:rFonts w:hint="eastAsia"/>
                      <w:lang w:val="en-US" w:eastAsia="zh-CN"/>
                    </w:rPr>
                    <w:t>ST-SJ-18</w:t>
                  </w:r>
                </w:p>
              </w:tc>
            </w:tr>
            <w:tr w14:paraId="2C03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577" w:type="pct"/>
                  <w:vMerge w:val="continue"/>
                  <w:shd w:val="clear" w:color="auto" w:fill="auto"/>
                  <w:vAlign w:val="center"/>
                </w:tcPr>
                <w:p w14:paraId="6C1292E2">
                  <w:pPr>
                    <w:pStyle w:val="257"/>
                    <w:rPr>
                      <w:rFonts w:hint="default"/>
                      <w:lang w:val="en-US" w:eastAsia="zh-CN"/>
                    </w:rPr>
                  </w:pPr>
                </w:p>
              </w:tc>
              <w:tc>
                <w:tcPr>
                  <w:tcW w:w="1723" w:type="pct"/>
                  <w:shd w:val="clear" w:color="auto" w:fill="auto"/>
                  <w:vAlign w:val="center"/>
                </w:tcPr>
                <w:p w14:paraId="2BDEEE34">
                  <w:pPr>
                    <w:pStyle w:val="257"/>
                    <w:rPr>
                      <w:rFonts w:hint="default"/>
                      <w:lang w:val="en-US" w:eastAsia="zh-CN"/>
                    </w:rPr>
                  </w:pPr>
                  <w:r>
                    <w:rPr>
                      <w:rFonts w:hint="eastAsia"/>
                      <w:lang w:val="en-US" w:eastAsia="zh-CN"/>
                    </w:rPr>
                    <w:t>瓶外高压清洗机</w:t>
                  </w:r>
                </w:p>
              </w:tc>
              <w:tc>
                <w:tcPr>
                  <w:tcW w:w="702" w:type="pct"/>
                  <w:shd w:val="clear" w:color="auto" w:fill="auto"/>
                  <w:vAlign w:val="center"/>
                </w:tcPr>
                <w:p w14:paraId="49CE29A1">
                  <w:pPr>
                    <w:pStyle w:val="257"/>
                    <w:rPr>
                      <w:rFonts w:hint="default"/>
                      <w:lang w:val="en-US" w:eastAsia="zh-CN"/>
                    </w:rPr>
                  </w:pPr>
                  <w:r>
                    <w:rPr>
                      <w:rFonts w:hint="eastAsia"/>
                      <w:lang w:val="en-US" w:eastAsia="zh-CN"/>
                    </w:rPr>
                    <w:t>1</w:t>
                  </w:r>
                </w:p>
              </w:tc>
              <w:tc>
                <w:tcPr>
                  <w:tcW w:w="702" w:type="pct"/>
                  <w:shd w:val="clear" w:color="auto" w:fill="auto"/>
                  <w:vAlign w:val="center"/>
                </w:tcPr>
                <w:p w14:paraId="1905E989">
                  <w:pPr>
                    <w:pStyle w:val="257"/>
                    <w:rPr>
                      <w:rFonts w:hint="default"/>
                      <w:lang w:val="en-US" w:eastAsia="zh-CN"/>
                    </w:rPr>
                  </w:pPr>
                  <w:r>
                    <w:rPr>
                      <w:rFonts w:hint="eastAsia"/>
                      <w:lang w:val="en-US" w:eastAsia="zh-CN"/>
                    </w:rPr>
                    <w:t>台</w:t>
                  </w:r>
                </w:p>
              </w:tc>
              <w:tc>
                <w:tcPr>
                  <w:tcW w:w="1294" w:type="pct"/>
                  <w:shd w:val="clear" w:color="auto" w:fill="auto"/>
                  <w:vAlign w:val="center"/>
                </w:tcPr>
                <w:p w14:paraId="30FB4BA0">
                  <w:pPr>
                    <w:pStyle w:val="257"/>
                    <w:rPr>
                      <w:rFonts w:hint="default"/>
                      <w:lang w:val="en-US" w:eastAsia="zh-CN"/>
                    </w:rPr>
                  </w:pPr>
                  <w:r>
                    <w:rPr>
                      <w:rFonts w:hint="eastAsia"/>
                      <w:lang w:val="en-US" w:eastAsia="zh-CN"/>
                    </w:rPr>
                    <w:t>ST-QX</w:t>
                  </w:r>
                </w:p>
              </w:tc>
            </w:tr>
            <w:tr w14:paraId="3048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577" w:type="pct"/>
                  <w:vMerge w:val="continue"/>
                  <w:shd w:val="clear" w:color="auto" w:fill="auto"/>
                  <w:vAlign w:val="center"/>
                </w:tcPr>
                <w:p w14:paraId="3174E30C">
                  <w:pPr>
                    <w:pStyle w:val="257"/>
                    <w:rPr>
                      <w:rFonts w:hint="default"/>
                      <w:lang w:val="en-US" w:eastAsia="zh-CN"/>
                    </w:rPr>
                  </w:pPr>
                </w:p>
              </w:tc>
              <w:tc>
                <w:tcPr>
                  <w:tcW w:w="1723" w:type="pct"/>
                  <w:shd w:val="clear" w:color="auto" w:fill="auto"/>
                  <w:vAlign w:val="center"/>
                </w:tcPr>
                <w:p w14:paraId="6AC921E2">
                  <w:pPr>
                    <w:pStyle w:val="257"/>
                    <w:rPr>
                      <w:rFonts w:hint="default"/>
                      <w:lang w:val="en-US" w:eastAsia="zh-CN"/>
                    </w:rPr>
                  </w:pPr>
                  <w:r>
                    <w:rPr>
                      <w:rFonts w:hint="eastAsia"/>
                      <w:lang w:val="en-US" w:eastAsia="zh-CN"/>
                    </w:rPr>
                    <w:t>风刀吹干机</w:t>
                  </w:r>
                </w:p>
              </w:tc>
              <w:tc>
                <w:tcPr>
                  <w:tcW w:w="702" w:type="pct"/>
                  <w:shd w:val="clear" w:color="auto" w:fill="auto"/>
                  <w:vAlign w:val="center"/>
                </w:tcPr>
                <w:p w14:paraId="418EF53E">
                  <w:pPr>
                    <w:pStyle w:val="257"/>
                    <w:rPr>
                      <w:rFonts w:hint="default"/>
                      <w:lang w:val="en-US" w:eastAsia="zh-CN"/>
                    </w:rPr>
                  </w:pPr>
                  <w:r>
                    <w:rPr>
                      <w:rFonts w:hint="eastAsia"/>
                      <w:lang w:val="en-US" w:eastAsia="zh-CN"/>
                    </w:rPr>
                    <w:t>1</w:t>
                  </w:r>
                </w:p>
              </w:tc>
              <w:tc>
                <w:tcPr>
                  <w:tcW w:w="702" w:type="pct"/>
                  <w:shd w:val="clear" w:color="auto" w:fill="auto"/>
                  <w:vAlign w:val="center"/>
                </w:tcPr>
                <w:p w14:paraId="211AF8ED">
                  <w:pPr>
                    <w:pStyle w:val="257"/>
                    <w:rPr>
                      <w:rFonts w:hint="default"/>
                      <w:lang w:val="en-US" w:eastAsia="zh-CN"/>
                    </w:rPr>
                  </w:pPr>
                  <w:r>
                    <w:rPr>
                      <w:rFonts w:hint="eastAsia"/>
                      <w:lang w:val="en-US" w:eastAsia="zh-CN"/>
                    </w:rPr>
                    <w:t>台</w:t>
                  </w:r>
                </w:p>
              </w:tc>
              <w:tc>
                <w:tcPr>
                  <w:tcW w:w="1294" w:type="pct"/>
                  <w:shd w:val="clear" w:color="auto" w:fill="auto"/>
                  <w:vAlign w:val="center"/>
                </w:tcPr>
                <w:p w14:paraId="5728A293">
                  <w:pPr>
                    <w:pStyle w:val="257"/>
                    <w:rPr>
                      <w:rFonts w:hint="default"/>
                      <w:lang w:val="en-US" w:eastAsia="zh-CN"/>
                    </w:rPr>
                  </w:pPr>
                  <w:r>
                    <w:rPr>
                      <w:rFonts w:hint="eastAsia"/>
                      <w:lang w:val="en-US" w:eastAsia="zh-CN"/>
                    </w:rPr>
                    <w:t>ST-FD</w:t>
                  </w:r>
                </w:p>
              </w:tc>
            </w:tr>
            <w:tr w14:paraId="632C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577" w:type="pct"/>
                  <w:vMerge w:val="continue"/>
                  <w:shd w:val="clear" w:color="auto" w:fill="auto"/>
                  <w:vAlign w:val="center"/>
                </w:tcPr>
                <w:p w14:paraId="4FCF7248">
                  <w:pPr>
                    <w:pStyle w:val="257"/>
                    <w:rPr>
                      <w:rFonts w:hint="default"/>
                      <w:lang w:val="en-US" w:eastAsia="zh-CN"/>
                    </w:rPr>
                  </w:pPr>
                </w:p>
              </w:tc>
              <w:tc>
                <w:tcPr>
                  <w:tcW w:w="1723" w:type="pct"/>
                  <w:shd w:val="clear" w:color="auto" w:fill="auto"/>
                  <w:vAlign w:val="center"/>
                </w:tcPr>
                <w:p w14:paraId="7AB6157C">
                  <w:pPr>
                    <w:pStyle w:val="257"/>
                    <w:rPr>
                      <w:rFonts w:hint="default"/>
                      <w:lang w:val="en-US" w:eastAsia="zh-CN"/>
                    </w:rPr>
                  </w:pPr>
                  <w:r>
                    <w:rPr>
                      <w:rFonts w:hint="eastAsia"/>
                      <w:lang w:val="en-US" w:eastAsia="zh-CN"/>
                    </w:rPr>
                    <w:t>不干胶单面贴标机</w:t>
                  </w:r>
                </w:p>
              </w:tc>
              <w:tc>
                <w:tcPr>
                  <w:tcW w:w="702" w:type="pct"/>
                  <w:shd w:val="clear" w:color="auto" w:fill="auto"/>
                  <w:vAlign w:val="center"/>
                </w:tcPr>
                <w:p w14:paraId="145B5522">
                  <w:pPr>
                    <w:pStyle w:val="257"/>
                    <w:rPr>
                      <w:rFonts w:hint="default"/>
                      <w:lang w:val="en-US" w:eastAsia="zh-CN"/>
                    </w:rPr>
                  </w:pPr>
                  <w:r>
                    <w:rPr>
                      <w:rFonts w:hint="eastAsia"/>
                      <w:lang w:val="en-US" w:eastAsia="zh-CN"/>
                    </w:rPr>
                    <w:t>1</w:t>
                  </w:r>
                </w:p>
              </w:tc>
              <w:tc>
                <w:tcPr>
                  <w:tcW w:w="702" w:type="pct"/>
                  <w:shd w:val="clear" w:color="auto" w:fill="auto"/>
                  <w:vAlign w:val="center"/>
                </w:tcPr>
                <w:p w14:paraId="35926BCF">
                  <w:pPr>
                    <w:pStyle w:val="257"/>
                    <w:rPr>
                      <w:rFonts w:hint="default"/>
                      <w:lang w:val="en-US" w:eastAsia="zh-CN"/>
                    </w:rPr>
                  </w:pPr>
                  <w:r>
                    <w:rPr>
                      <w:rFonts w:hint="eastAsia"/>
                      <w:lang w:val="en-US" w:eastAsia="zh-CN"/>
                    </w:rPr>
                    <w:t>台</w:t>
                  </w:r>
                </w:p>
              </w:tc>
              <w:tc>
                <w:tcPr>
                  <w:tcW w:w="1294" w:type="pct"/>
                  <w:shd w:val="clear" w:color="auto" w:fill="auto"/>
                  <w:vAlign w:val="center"/>
                </w:tcPr>
                <w:p w14:paraId="506764BB">
                  <w:pPr>
                    <w:pStyle w:val="257"/>
                    <w:rPr>
                      <w:rFonts w:hint="default"/>
                      <w:lang w:val="en-US" w:eastAsia="zh-CN"/>
                    </w:rPr>
                  </w:pPr>
                  <w:r>
                    <w:rPr>
                      <w:rFonts w:hint="eastAsia"/>
                      <w:lang w:val="en-US" w:eastAsia="zh-CN"/>
                    </w:rPr>
                    <w:t>ST-TBJ</w:t>
                  </w:r>
                </w:p>
              </w:tc>
            </w:tr>
            <w:tr w14:paraId="4E5F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577" w:type="pct"/>
                  <w:vMerge w:val="continue"/>
                  <w:shd w:val="clear" w:color="auto" w:fill="auto"/>
                  <w:vAlign w:val="center"/>
                </w:tcPr>
                <w:p w14:paraId="2E564B34">
                  <w:pPr>
                    <w:pStyle w:val="257"/>
                    <w:rPr>
                      <w:rFonts w:hint="default"/>
                      <w:lang w:val="en-US" w:eastAsia="zh-CN"/>
                    </w:rPr>
                  </w:pPr>
                </w:p>
              </w:tc>
              <w:tc>
                <w:tcPr>
                  <w:tcW w:w="1723" w:type="pct"/>
                  <w:shd w:val="clear" w:color="auto" w:fill="auto"/>
                  <w:vAlign w:val="center"/>
                </w:tcPr>
                <w:p w14:paraId="28B4A3FE">
                  <w:pPr>
                    <w:pStyle w:val="257"/>
                    <w:rPr>
                      <w:rFonts w:hint="default"/>
                      <w:lang w:val="en-US" w:eastAsia="zh-CN"/>
                    </w:rPr>
                  </w:pPr>
                  <w:r>
                    <w:rPr>
                      <w:rFonts w:hint="eastAsia"/>
                      <w:lang w:val="en-US" w:eastAsia="zh-CN"/>
                    </w:rPr>
                    <w:t>自动瓶身套膜机</w:t>
                  </w:r>
                </w:p>
              </w:tc>
              <w:tc>
                <w:tcPr>
                  <w:tcW w:w="702" w:type="pct"/>
                  <w:shd w:val="clear" w:color="auto" w:fill="auto"/>
                  <w:vAlign w:val="center"/>
                </w:tcPr>
                <w:p w14:paraId="537F9A19">
                  <w:pPr>
                    <w:pStyle w:val="257"/>
                    <w:rPr>
                      <w:rFonts w:hint="default"/>
                      <w:lang w:val="en-US" w:eastAsia="zh-CN"/>
                    </w:rPr>
                  </w:pPr>
                  <w:r>
                    <w:rPr>
                      <w:rFonts w:hint="eastAsia"/>
                      <w:lang w:val="en-US" w:eastAsia="zh-CN"/>
                    </w:rPr>
                    <w:t>1</w:t>
                  </w:r>
                </w:p>
              </w:tc>
              <w:tc>
                <w:tcPr>
                  <w:tcW w:w="702" w:type="pct"/>
                  <w:shd w:val="clear" w:color="auto" w:fill="auto"/>
                  <w:vAlign w:val="center"/>
                </w:tcPr>
                <w:p w14:paraId="468872F3">
                  <w:pPr>
                    <w:pStyle w:val="257"/>
                    <w:rPr>
                      <w:rFonts w:hint="default"/>
                      <w:lang w:val="en-US" w:eastAsia="zh-CN"/>
                    </w:rPr>
                  </w:pPr>
                  <w:r>
                    <w:rPr>
                      <w:rFonts w:hint="eastAsia"/>
                      <w:lang w:val="en-US" w:eastAsia="zh-CN"/>
                    </w:rPr>
                    <w:t>台</w:t>
                  </w:r>
                </w:p>
              </w:tc>
              <w:tc>
                <w:tcPr>
                  <w:tcW w:w="1294" w:type="pct"/>
                  <w:shd w:val="clear" w:color="auto" w:fill="auto"/>
                  <w:vAlign w:val="center"/>
                </w:tcPr>
                <w:p w14:paraId="039E0830">
                  <w:pPr>
                    <w:pStyle w:val="257"/>
                    <w:rPr>
                      <w:rFonts w:hint="default"/>
                      <w:lang w:val="en-US" w:eastAsia="zh-CN"/>
                    </w:rPr>
                  </w:pPr>
                  <w:r>
                    <w:rPr>
                      <w:rFonts w:hint="eastAsia"/>
                      <w:lang w:val="en-US" w:eastAsia="zh-CN"/>
                    </w:rPr>
                    <w:t>ST-TM</w:t>
                  </w:r>
                </w:p>
              </w:tc>
            </w:tr>
            <w:tr w14:paraId="4CF5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577" w:type="pct"/>
                  <w:vMerge w:val="continue"/>
                  <w:shd w:val="clear" w:color="auto" w:fill="auto"/>
                  <w:vAlign w:val="center"/>
                </w:tcPr>
                <w:p w14:paraId="00C1DFF1">
                  <w:pPr>
                    <w:pStyle w:val="257"/>
                    <w:rPr>
                      <w:rFonts w:hint="default"/>
                      <w:lang w:val="en-US" w:eastAsia="zh-CN"/>
                    </w:rPr>
                  </w:pPr>
                </w:p>
              </w:tc>
              <w:tc>
                <w:tcPr>
                  <w:tcW w:w="1723" w:type="pct"/>
                  <w:shd w:val="clear" w:color="auto" w:fill="auto"/>
                  <w:vAlign w:val="center"/>
                </w:tcPr>
                <w:p w14:paraId="7BD01230">
                  <w:pPr>
                    <w:pStyle w:val="257"/>
                    <w:rPr>
                      <w:rFonts w:hint="default"/>
                      <w:lang w:val="en-US" w:eastAsia="zh-CN"/>
                    </w:rPr>
                  </w:pPr>
                  <w:r>
                    <w:rPr>
                      <w:rFonts w:hint="eastAsia"/>
                      <w:lang w:val="en-US" w:eastAsia="zh-CN"/>
                    </w:rPr>
                    <w:t>热收缩机</w:t>
                  </w:r>
                </w:p>
              </w:tc>
              <w:tc>
                <w:tcPr>
                  <w:tcW w:w="702" w:type="pct"/>
                  <w:shd w:val="clear" w:color="auto" w:fill="auto"/>
                  <w:vAlign w:val="center"/>
                </w:tcPr>
                <w:p w14:paraId="2EEFC8D9">
                  <w:pPr>
                    <w:pStyle w:val="257"/>
                    <w:rPr>
                      <w:rFonts w:hint="default"/>
                      <w:lang w:val="en-US" w:eastAsia="zh-CN"/>
                    </w:rPr>
                  </w:pPr>
                  <w:r>
                    <w:rPr>
                      <w:rFonts w:hint="eastAsia"/>
                      <w:lang w:val="en-US" w:eastAsia="zh-CN"/>
                    </w:rPr>
                    <w:t>1</w:t>
                  </w:r>
                </w:p>
              </w:tc>
              <w:tc>
                <w:tcPr>
                  <w:tcW w:w="702" w:type="pct"/>
                  <w:shd w:val="clear" w:color="auto" w:fill="auto"/>
                  <w:vAlign w:val="center"/>
                </w:tcPr>
                <w:p w14:paraId="669FA581">
                  <w:pPr>
                    <w:pStyle w:val="257"/>
                    <w:rPr>
                      <w:rFonts w:hint="default"/>
                      <w:lang w:val="en-US" w:eastAsia="zh-CN"/>
                    </w:rPr>
                  </w:pPr>
                  <w:r>
                    <w:rPr>
                      <w:rFonts w:hint="eastAsia"/>
                      <w:lang w:val="en-US" w:eastAsia="zh-CN"/>
                    </w:rPr>
                    <w:t>台</w:t>
                  </w:r>
                </w:p>
              </w:tc>
              <w:tc>
                <w:tcPr>
                  <w:tcW w:w="1294" w:type="pct"/>
                  <w:shd w:val="clear" w:color="auto" w:fill="auto"/>
                  <w:vAlign w:val="center"/>
                </w:tcPr>
                <w:p w14:paraId="11A6439E">
                  <w:pPr>
                    <w:pStyle w:val="257"/>
                    <w:rPr>
                      <w:rFonts w:hint="default"/>
                      <w:lang w:val="en-US" w:eastAsia="zh-CN"/>
                    </w:rPr>
                  </w:pPr>
                  <w:r>
                    <w:rPr>
                      <w:rFonts w:hint="eastAsia"/>
                      <w:lang w:val="en-US" w:eastAsia="zh-CN"/>
                    </w:rPr>
                    <w:t>ST-RS</w:t>
                  </w:r>
                </w:p>
              </w:tc>
            </w:tr>
            <w:tr w14:paraId="0456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577" w:type="pct"/>
                  <w:vMerge w:val="continue"/>
                  <w:shd w:val="clear" w:color="auto" w:fill="auto"/>
                  <w:vAlign w:val="center"/>
                </w:tcPr>
                <w:p w14:paraId="2612E6B9">
                  <w:pPr>
                    <w:pStyle w:val="257"/>
                    <w:rPr>
                      <w:rFonts w:hint="default"/>
                      <w:lang w:val="en-US" w:eastAsia="zh-CN"/>
                    </w:rPr>
                  </w:pPr>
                </w:p>
              </w:tc>
              <w:tc>
                <w:tcPr>
                  <w:tcW w:w="1723" w:type="pct"/>
                  <w:shd w:val="clear" w:color="auto" w:fill="auto"/>
                  <w:vAlign w:val="center"/>
                </w:tcPr>
                <w:p w14:paraId="1FF1D0A6">
                  <w:pPr>
                    <w:pStyle w:val="257"/>
                    <w:rPr>
                      <w:rFonts w:hint="default"/>
                      <w:lang w:val="en-US" w:eastAsia="zh-CN"/>
                    </w:rPr>
                  </w:pPr>
                  <w:r>
                    <w:rPr>
                      <w:rFonts w:hint="eastAsia"/>
                      <w:lang w:val="en-US" w:eastAsia="zh-CN"/>
                    </w:rPr>
                    <w:t>蒸汽发生器</w:t>
                  </w:r>
                </w:p>
              </w:tc>
              <w:tc>
                <w:tcPr>
                  <w:tcW w:w="702" w:type="pct"/>
                  <w:shd w:val="clear" w:color="auto" w:fill="auto"/>
                  <w:vAlign w:val="center"/>
                </w:tcPr>
                <w:p w14:paraId="7952D5AD">
                  <w:pPr>
                    <w:pStyle w:val="257"/>
                    <w:rPr>
                      <w:rFonts w:hint="default"/>
                      <w:lang w:val="en-US" w:eastAsia="zh-CN"/>
                    </w:rPr>
                  </w:pPr>
                  <w:r>
                    <w:rPr>
                      <w:rFonts w:hint="eastAsia"/>
                      <w:lang w:val="en-US" w:eastAsia="zh-CN"/>
                    </w:rPr>
                    <w:t>1</w:t>
                  </w:r>
                </w:p>
              </w:tc>
              <w:tc>
                <w:tcPr>
                  <w:tcW w:w="702" w:type="pct"/>
                  <w:shd w:val="clear" w:color="auto" w:fill="auto"/>
                  <w:vAlign w:val="center"/>
                </w:tcPr>
                <w:p w14:paraId="7B4B010B">
                  <w:pPr>
                    <w:pStyle w:val="257"/>
                    <w:rPr>
                      <w:rFonts w:hint="default"/>
                      <w:lang w:val="en-US" w:eastAsia="zh-CN"/>
                    </w:rPr>
                  </w:pPr>
                  <w:r>
                    <w:rPr>
                      <w:rFonts w:hint="eastAsia"/>
                      <w:lang w:val="en-US" w:eastAsia="zh-CN"/>
                    </w:rPr>
                    <w:t>台</w:t>
                  </w:r>
                </w:p>
              </w:tc>
              <w:tc>
                <w:tcPr>
                  <w:tcW w:w="1294" w:type="pct"/>
                  <w:shd w:val="clear" w:color="auto" w:fill="auto"/>
                  <w:vAlign w:val="center"/>
                </w:tcPr>
                <w:p w14:paraId="34525DEE">
                  <w:pPr>
                    <w:pStyle w:val="257"/>
                    <w:rPr>
                      <w:rFonts w:hint="eastAsia"/>
                      <w:lang w:val="en-US" w:eastAsia="zh-CN"/>
                    </w:rPr>
                  </w:pPr>
                  <w:r>
                    <w:rPr>
                      <w:rFonts w:hint="eastAsia"/>
                      <w:lang w:val="en-US" w:eastAsia="zh-CN"/>
                    </w:rPr>
                    <w:t>wz-1.0-0.8-Q</w:t>
                  </w:r>
                </w:p>
              </w:tc>
            </w:tr>
            <w:tr w14:paraId="2C46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577" w:type="pct"/>
                  <w:vMerge w:val="continue"/>
                  <w:shd w:val="clear" w:color="auto" w:fill="auto"/>
                  <w:vAlign w:val="center"/>
                </w:tcPr>
                <w:p w14:paraId="5188C54F">
                  <w:pPr>
                    <w:pStyle w:val="257"/>
                    <w:rPr>
                      <w:rFonts w:hint="default"/>
                      <w:lang w:val="en-US" w:eastAsia="zh-CN"/>
                    </w:rPr>
                  </w:pPr>
                </w:p>
              </w:tc>
              <w:tc>
                <w:tcPr>
                  <w:tcW w:w="1723" w:type="pct"/>
                  <w:shd w:val="clear" w:color="auto" w:fill="auto"/>
                  <w:vAlign w:val="center"/>
                </w:tcPr>
                <w:p w14:paraId="722561CC">
                  <w:pPr>
                    <w:pStyle w:val="257"/>
                    <w:rPr>
                      <w:rFonts w:hint="default"/>
                      <w:lang w:val="en-US" w:eastAsia="zh-CN"/>
                    </w:rPr>
                  </w:pPr>
                  <w:r>
                    <w:rPr>
                      <w:rFonts w:hint="eastAsia"/>
                      <w:lang w:val="en-US" w:eastAsia="zh-CN"/>
                    </w:rPr>
                    <w:t>纯水制备机组</w:t>
                  </w:r>
                </w:p>
              </w:tc>
              <w:tc>
                <w:tcPr>
                  <w:tcW w:w="702" w:type="pct"/>
                  <w:shd w:val="clear" w:color="auto" w:fill="auto"/>
                  <w:vAlign w:val="center"/>
                </w:tcPr>
                <w:p w14:paraId="4E6840FB">
                  <w:pPr>
                    <w:pStyle w:val="257"/>
                    <w:rPr>
                      <w:rFonts w:hint="default"/>
                      <w:lang w:val="en-US" w:eastAsia="zh-CN"/>
                    </w:rPr>
                  </w:pPr>
                  <w:r>
                    <w:rPr>
                      <w:rFonts w:hint="eastAsia"/>
                      <w:lang w:val="en-US" w:eastAsia="zh-CN"/>
                    </w:rPr>
                    <w:t>1</w:t>
                  </w:r>
                </w:p>
              </w:tc>
              <w:tc>
                <w:tcPr>
                  <w:tcW w:w="702" w:type="pct"/>
                  <w:shd w:val="clear" w:color="auto" w:fill="auto"/>
                  <w:vAlign w:val="center"/>
                </w:tcPr>
                <w:p w14:paraId="6196BD11">
                  <w:pPr>
                    <w:pStyle w:val="257"/>
                    <w:rPr>
                      <w:rFonts w:hint="default"/>
                      <w:lang w:val="en-US" w:eastAsia="zh-CN"/>
                    </w:rPr>
                  </w:pPr>
                  <w:r>
                    <w:rPr>
                      <w:rFonts w:hint="eastAsia"/>
                      <w:lang w:val="en-US" w:eastAsia="zh-CN"/>
                    </w:rPr>
                    <w:t>台</w:t>
                  </w:r>
                </w:p>
              </w:tc>
              <w:tc>
                <w:tcPr>
                  <w:tcW w:w="1294" w:type="pct"/>
                  <w:shd w:val="clear" w:color="auto" w:fill="auto"/>
                  <w:vAlign w:val="center"/>
                </w:tcPr>
                <w:p w14:paraId="04041543">
                  <w:pPr>
                    <w:pStyle w:val="257"/>
                    <w:rPr>
                      <w:rFonts w:hint="default"/>
                      <w:lang w:val="en-US" w:eastAsia="zh-CN"/>
                    </w:rPr>
                  </w:pPr>
                  <w:r>
                    <w:rPr>
                      <w:rFonts w:hint="eastAsia"/>
                      <w:lang w:val="en-US" w:eastAsia="zh-CN"/>
                    </w:rPr>
                    <w:t>配套</w:t>
                  </w:r>
                </w:p>
              </w:tc>
            </w:tr>
            <w:tr w14:paraId="6816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577" w:type="pct"/>
                  <w:vMerge w:val="restart"/>
                  <w:shd w:val="clear" w:color="auto" w:fill="auto"/>
                  <w:vAlign w:val="center"/>
                </w:tcPr>
                <w:p w14:paraId="13782CF9">
                  <w:pPr>
                    <w:pStyle w:val="257"/>
                    <w:rPr>
                      <w:rFonts w:hint="default"/>
                      <w:lang w:val="en-US" w:eastAsia="zh-CN"/>
                    </w:rPr>
                  </w:pPr>
                  <w:r>
                    <w:rPr>
                      <w:rFonts w:hint="eastAsia"/>
                      <w:lang w:val="en-US" w:eastAsia="zh-CN"/>
                    </w:rPr>
                    <w:t>灰培豆腐</w:t>
                  </w:r>
                </w:p>
              </w:tc>
              <w:tc>
                <w:tcPr>
                  <w:tcW w:w="1723" w:type="pct"/>
                  <w:shd w:val="clear" w:color="auto" w:fill="auto"/>
                  <w:vAlign w:val="center"/>
                </w:tcPr>
                <w:p w14:paraId="1634B253">
                  <w:pPr>
                    <w:pStyle w:val="257"/>
                    <w:rPr>
                      <w:rFonts w:hint="eastAsia"/>
                      <w:lang w:val="en-US" w:eastAsia="zh-CN"/>
                    </w:rPr>
                  </w:pPr>
                  <w:r>
                    <w:rPr>
                      <w:rFonts w:hint="eastAsia"/>
                      <w:lang w:val="en-US" w:eastAsia="zh-CN"/>
                    </w:rPr>
                    <w:t>自动铸铁炒锅</w:t>
                  </w:r>
                </w:p>
              </w:tc>
              <w:tc>
                <w:tcPr>
                  <w:tcW w:w="702" w:type="pct"/>
                  <w:shd w:val="clear" w:color="auto" w:fill="auto"/>
                  <w:vAlign w:val="center"/>
                </w:tcPr>
                <w:p w14:paraId="3049047F">
                  <w:pPr>
                    <w:pStyle w:val="257"/>
                    <w:rPr>
                      <w:rFonts w:hint="default"/>
                      <w:lang w:val="en-US" w:eastAsia="zh-CN"/>
                    </w:rPr>
                  </w:pPr>
                  <w:r>
                    <w:rPr>
                      <w:rFonts w:hint="eastAsia"/>
                      <w:lang w:val="en-US" w:eastAsia="zh-CN"/>
                    </w:rPr>
                    <w:t>1</w:t>
                  </w:r>
                </w:p>
              </w:tc>
              <w:tc>
                <w:tcPr>
                  <w:tcW w:w="702" w:type="pct"/>
                  <w:shd w:val="clear" w:color="auto" w:fill="auto"/>
                  <w:vAlign w:val="center"/>
                </w:tcPr>
                <w:p w14:paraId="04E04886">
                  <w:pPr>
                    <w:pStyle w:val="257"/>
                    <w:rPr>
                      <w:rFonts w:hint="default"/>
                      <w:lang w:val="en-US" w:eastAsia="zh-CN"/>
                    </w:rPr>
                  </w:pPr>
                  <w:r>
                    <w:rPr>
                      <w:rFonts w:hint="eastAsia"/>
                      <w:lang w:val="en-US" w:eastAsia="zh-CN"/>
                    </w:rPr>
                    <w:t>台</w:t>
                  </w:r>
                </w:p>
              </w:tc>
              <w:tc>
                <w:tcPr>
                  <w:tcW w:w="1294" w:type="pct"/>
                  <w:shd w:val="clear" w:color="auto" w:fill="auto"/>
                  <w:vAlign w:val="center"/>
                </w:tcPr>
                <w:p w14:paraId="066797EB">
                  <w:pPr>
                    <w:pStyle w:val="257"/>
                    <w:rPr>
                      <w:rFonts w:hint="default"/>
                      <w:lang w:val="en-US" w:eastAsia="zh-CN"/>
                    </w:rPr>
                  </w:pPr>
                  <w:r>
                    <w:rPr>
                      <w:rFonts w:hint="eastAsia"/>
                      <w:lang w:val="en-US" w:eastAsia="zh-CN"/>
                    </w:rPr>
                    <w:t>800L</w:t>
                  </w:r>
                </w:p>
              </w:tc>
            </w:tr>
            <w:tr w14:paraId="0E30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577" w:type="pct"/>
                  <w:vMerge w:val="continue"/>
                  <w:shd w:val="clear" w:color="auto" w:fill="auto"/>
                  <w:vAlign w:val="center"/>
                </w:tcPr>
                <w:p w14:paraId="771BBA01">
                  <w:pPr>
                    <w:pStyle w:val="257"/>
                    <w:rPr>
                      <w:rFonts w:hint="eastAsia"/>
                      <w:lang w:val="en-US" w:eastAsia="zh-CN"/>
                    </w:rPr>
                  </w:pPr>
                </w:p>
              </w:tc>
              <w:tc>
                <w:tcPr>
                  <w:tcW w:w="1723" w:type="pct"/>
                  <w:shd w:val="clear" w:color="auto" w:fill="auto"/>
                  <w:vAlign w:val="center"/>
                </w:tcPr>
                <w:p w14:paraId="11A6BF2A">
                  <w:pPr>
                    <w:pStyle w:val="257"/>
                    <w:rPr>
                      <w:rFonts w:hint="default"/>
                      <w:lang w:val="en-US" w:eastAsia="zh-CN"/>
                    </w:rPr>
                  </w:pPr>
                  <w:r>
                    <w:rPr>
                      <w:rFonts w:hint="eastAsia"/>
                      <w:lang w:val="en-US" w:eastAsia="zh-CN"/>
                    </w:rPr>
                    <w:t>包装机</w:t>
                  </w:r>
                </w:p>
              </w:tc>
              <w:tc>
                <w:tcPr>
                  <w:tcW w:w="702" w:type="pct"/>
                  <w:shd w:val="clear" w:color="auto" w:fill="auto"/>
                  <w:vAlign w:val="center"/>
                </w:tcPr>
                <w:p w14:paraId="09E498B1">
                  <w:pPr>
                    <w:pStyle w:val="257"/>
                    <w:rPr>
                      <w:rFonts w:hint="default"/>
                      <w:lang w:val="en-US" w:eastAsia="zh-CN"/>
                    </w:rPr>
                  </w:pPr>
                  <w:r>
                    <w:rPr>
                      <w:rFonts w:hint="eastAsia"/>
                      <w:lang w:val="en-US" w:eastAsia="zh-CN"/>
                    </w:rPr>
                    <w:t>1</w:t>
                  </w:r>
                </w:p>
              </w:tc>
              <w:tc>
                <w:tcPr>
                  <w:tcW w:w="702" w:type="pct"/>
                  <w:shd w:val="clear" w:color="auto" w:fill="auto"/>
                  <w:vAlign w:val="center"/>
                </w:tcPr>
                <w:p w14:paraId="6C220BE4">
                  <w:pPr>
                    <w:pStyle w:val="257"/>
                    <w:rPr>
                      <w:rFonts w:hint="default"/>
                      <w:lang w:val="en-US" w:eastAsia="zh-CN"/>
                    </w:rPr>
                  </w:pPr>
                  <w:r>
                    <w:rPr>
                      <w:rFonts w:hint="eastAsia"/>
                      <w:lang w:val="en-US" w:eastAsia="zh-CN"/>
                    </w:rPr>
                    <w:t>台</w:t>
                  </w:r>
                </w:p>
              </w:tc>
              <w:tc>
                <w:tcPr>
                  <w:tcW w:w="1294" w:type="pct"/>
                  <w:shd w:val="clear" w:color="auto" w:fill="auto"/>
                  <w:vAlign w:val="center"/>
                </w:tcPr>
                <w:p w14:paraId="0C0DF86C">
                  <w:pPr>
                    <w:pStyle w:val="257"/>
                    <w:rPr>
                      <w:rFonts w:hint="default"/>
                      <w:lang w:val="en-US" w:eastAsia="zh-CN"/>
                    </w:rPr>
                  </w:pPr>
                  <w:r>
                    <w:rPr>
                      <w:rFonts w:hint="eastAsia"/>
                      <w:lang w:val="en-US" w:eastAsia="zh-CN"/>
                    </w:rPr>
                    <w:t>/</w:t>
                  </w:r>
                </w:p>
              </w:tc>
            </w:tr>
          </w:tbl>
          <w:p w14:paraId="131FC566">
            <w:pPr>
              <w:pStyle w:val="144"/>
            </w:pPr>
            <w:r>
              <w:t>本项目所用设备均不属于《高耗能落后机电设备（产品）淘汰目录（全四批）》中的淘汰落后设备</w:t>
            </w:r>
            <w:r>
              <w:rPr>
                <w:rFonts w:hint="eastAsia"/>
              </w:rPr>
              <w:t>；</w:t>
            </w:r>
            <w:r>
              <w:t>环评要求</w:t>
            </w:r>
            <w:r>
              <w:rPr>
                <w:rFonts w:hint="eastAsia"/>
              </w:rPr>
              <w:t>无型号设备</w:t>
            </w:r>
            <w:r>
              <w:t>不得选用淘汰类设备。</w:t>
            </w:r>
            <w:bookmarkEnd w:id="21"/>
          </w:p>
          <w:p w14:paraId="24146BC9">
            <w:pPr>
              <w:pStyle w:val="259"/>
              <w:spacing w:before="120" w:after="120"/>
            </w:pPr>
            <w:bookmarkStart w:id="22" w:name="_Toc197848429"/>
            <w:r>
              <w:t>5、主要原辅料</w:t>
            </w:r>
            <w:bookmarkEnd w:id="22"/>
          </w:p>
          <w:p w14:paraId="27591797">
            <w:pPr>
              <w:pStyle w:val="144"/>
            </w:pPr>
            <w:r>
              <w:t>项目主要原、辅材料全部外购获得</w:t>
            </w:r>
            <w:r>
              <w:rPr>
                <w:rFonts w:hint="eastAsia"/>
              </w:rPr>
              <w:t>，</w:t>
            </w:r>
            <w:r>
              <w:t>具体消耗见下表。</w:t>
            </w:r>
          </w:p>
          <w:p w14:paraId="03801733">
            <w:pPr>
              <w:pStyle w:val="56"/>
              <w:numPr>
                <w:ilvl w:val="0"/>
                <w:numId w:val="0"/>
              </w:numPr>
              <w:spacing w:before="120"/>
              <w:ind w:left="3150" w:leftChars="0"/>
              <w:jc w:val="both"/>
            </w:pPr>
            <w:r>
              <w:rPr>
                <w:rFonts w:hint="eastAsia"/>
                <w:lang w:val="en-US" w:eastAsia="zh-CN"/>
              </w:rPr>
              <w:t xml:space="preserve">表13 </w:t>
            </w:r>
            <w:r>
              <w:t>主要原</w:t>
            </w:r>
            <w:r>
              <w:rPr>
                <w:rFonts w:hint="eastAsia"/>
                <w:lang w:val="en-US"/>
              </w:rPr>
              <w:t>辅</w:t>
            </w:r>
            <w:r>
              <w:t>材料及能源消耗一览表</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0" w:type="dxa"/>
                <w:bottom w:w="28" w:type="dxa"/>
                <w:right w:w="0" w:type="dxa"/>
              </w:tblCellMar>
            </w:tblPr>
            <w:tblGrid>
              <w:gridCol w:w="1199"/>
              <w:gridCol w:w="2082"/>
              <w:gridCol w:w="1416"/>
              <w:gridCol w:w="1532"/>
              <w:gridCol w:w="2179"/>
            </w:tblGrid>
            <w:tr w14:paraId="472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713" w:type="pct"/>
                  <w:vAlign w:val="center"/>
                </w:tcPr>
                <w:p w14:paraId="177E1DF9">
                  <w:pPr>
                    <w:ind w:firstLine="23"/>
                    <w:jc w:val="center"/>
                    <w:rPr>
                      <w:szCs w:val="21"/>
                    </w:rPr>
                  </w:pPr>
                  <w:r>
                    <w:rPr>
                      <w:szCs w:val="21"/>
                    </w:rPr>
                    <w:t>序号</w:t>
                  </w:r>
                </w:p>
              </w:tc>
              <w:tc>
                <w:tcPr>
                  <w:tcW w:w="1238" w:type="pct"/>
                  <w:vAlign w:val="center"/>
                </w:tcPr>
                <w:p w14:paraId="7EDDA2AC">
                  <w:pPr>
                    <w:ind w:firstLine="23"/>
                    <w:jc w:val="center"/>
                    <w:rPr>
                      <w:szCs w:val="21"/>
                    </w:rPr>
                  </w:pPr>
                  <w:r>
                    <w:rPr>
                      <w:szCs w:val="21"/>
                    </w:rPr>
                    <w:t>名称</w:t>
                  </w:r>
                </w:p>
              </w:tc>
              <w:tc>
                <w:tcPr>
                  <w:tcW w:w="842" w:type="pct"/>
                  <w:vAlign w:val="center"/>
                </w:tcPr>
                <w:p w14:paraId="6FE7FF83">
                  <w:pPr>
                    <w:ind w:firstLine="23"/>
                    <w:jc w:val="center"/>
                    <w:rPr>
                      <w:szCs w:val="21"/>
                    </w:rPr>
                  </w:pPr>
                  <w:r>
                    <w:rPr>
                      <w:szCs w:val="21"/>
                    </w:rPr>
                    <w:t>单位</w:t>
                  </w:r>
                </w:p>
              </w:tc>
              <w:tc>
                <w:tcPr>
                  <w:tcW w:w="911" w:type="pct"/>
                  <w:vAlign w:val="center"/>
                </w:tcPr>
                <w:p w14:paraId="087C7417">
                  <w:pPr>
                    <w:ind w:firstLine="23"/>
                    <w:jc w:val="center"/>
                    <w:rPr>
                      <w:szCs w:val="21"/>
                    </w:rPr>
                  </w:pPr>
                  <w:r>
                    <w:rPr>
                      <w:szCs w:val="21"/>
                    </w:rPr>
                    <w:t>年消耗量</w:t>
                  </w:r>
                </w:p>
              </w:tc>
              <w:tc>
                <w:tcPr>
                  <w:tcW w:w="1295" w:type="pct"/>
                  <w:vAlign w:val="center"/>
                </w:tcPr>
                <w:p w14:paraId="4CD506D5">
                  <w:pPr>
                    <w:ind w:firstLine="23"/>
                    <w:jc w:val="center"/>
                    <w:rPr>
                      <w:szCs w:val="21"/>
                    </w:rPr>
                  </w:pPr>
                  <w:r>
                    <w:rPr>
                      <w:szCs w:val="21"/>
                    </w:rPr>
                    <w:t>包装及规格</w:t>
                  </w:r>
                </w:p>
              </w:tc>
            </w:tr>
            <w:tr w14:paraId="2E61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713" w:type="pct"/>
                  <w:vMerge w:val="restart"/>
                  <w:vAlign w:val="center"/>
                </w:tcPr>
                <w:p w14:paraId="78EFF490">
                  <w:pPr>
                    <w:ind w:firstLine="23"/>
                    <w:jc w:val="center"/>
                    <w:rPr>
                      <w:rFonts w:hint="default" w:eastAsia="宋体"/>
                      <w:szCs w:val="21"/>
                      <w:lang w:val="en-US" w:eastAsia="zh-CN"/>
                    </w:rPr>
                  </w:pPr>
                  <w:r>
                    <w:rPr>
                      <w:rFonts w:hint="eastAsia"/>
                      <w:szCs w:val="21"/>
                      <w:lang w:val="en-US" w:eastAsia="zh-CN"/>
                    </w:rPr>
                    <w:t>黄豆酱</w:t>
                  </w:r>
                </w:p>
              </w:tc>
              <w:tc>
                <w:tcPr>
                  <w:tcW w:w="1238" w:type="pct"/>
                  <w:vAlign w:val="center"/>
                </w:tcPr>
                <w:p w14:paraId="7ED14467">
                  <w:pPr>
                    <w:ind w:firstLine="23"/>
                    <w:jc w:val="center"/>
                    <w:rPr>
                      <w:rFonts w:hint="eastAsia" w:eastAsia="宋体"/>
                      <w:szCs w:val="21"/>
                      <w:lang w:eastAsia="zh-CN"/>
                    </w:rPr>
                  </w:pPr>
                  <w:r>
                    <w:rPr>
                      <w:rFonts w:hint="eastAsia"/>
                      <w:szCs w:val="21"/>
                      <w:lang w:val="en-US" w:eastAsia="zh-CN"/>
                    </w:rPr>
                    <w:t>大豆</w:t>
                  </w:r>
                </w:p>
              </w:tc>
              <w:tc>
                <w:tcPr>
                  <w:tcW w:w="842" w:type="pct"/>
                  <w:vAlign w:val="center"/>
                </w:tcPr>
                <w:p w14:paraId="4A44143D">
                  <w:pPr>
                    <w:ind w:firstLine="23"/>
                    <w:jc w:val="center"/>
                    <w:rPr>
                      <w:szCs w:val="21"/>
                    </w:rPr>
                  </w:pPr>
                  <w:r>
                    <w:rPr>
                      <w:szCs w:val="21"/>
                    </w:rPr>
                    <w:t>吨/年</w:t>
                  </w:r>
                </w:p>
              </w:tc>
              <w:tc>
                <w:tcPr>
                  <w:tcW w:w="911" w:type="pct"/>
                  <w:vAlign w:val="center"/>
                </w:tcPr>
                <w:p w14:paraId="384A1EFB">
                  <w:pPr>
                    <w:ind w:firstLine="23"/>
                    <w:jc w:val="center"/>
                    <w:rPr>
                      <w:rFonts w:hint="default" w:eastAsia="宋体"/>
                      <w:szCs w:val="21"/>
                      <w:lang w:val="en-US" w:eastAsia="zh-CN"/>
                    </w:rPr>
                  </w:pPr>
                  <w:r>
                    <w:rPr>
                      <w:rFonts w:hint="eastAsia"/>
                      <w:szCs w:val="21"/>
                      <w:lang w:val="en-US" w:eastAsia="zh-CN"/>
                    </w:rPr>
                    <w:t>312</w:t>
                  </w:r>
                </w:p>
              </w:tc>
              <w:tc>
                <w:tcPr>
                  <w:tcW w:w="1295" w:type="pct"/>
                  <w:vAlign w:val="center"/>
                </w:tcPr>
                <w:p w14:paraId="22907E44">
                  <w:pPr>
                    <w:ind w:firstLine="23"/>
                    <w:jc w:val="center"/>
                    <w:rPr>
                      <w:rFonts w:hint="default" w:eastAsia="宋体"/>
                      <w:szCs w:val="21"/>
                      <w:lang w:val="en-US" w:eastAsia="zh-CN"/>
                    </w:rPr>
                  </w:pPr>
                  <w:r>
                    <w:rPr>
                      <w:rFonts w:hint="eastAsia"/>
                      <w:szCs w:val="21"/>
                      <w:lang w:val="en-US" w:eastAsia="zh-CN"/>
                    </w:rPr>
                    <w:t>25</w:t>
                  </w:r>
                  <w:r>
                    <w:rPr>
                      <w:rFonts w:hint="eastAsia"/>
                      <w:szCs w:val="21"/>
                    </w:rPr>
                    <w:t>kg袋装</w:t>
                  </w:r>
                  <w:r>
                    <w:rPr>
                      <w:rFonts w:hint="eastAsia"/>
                      <w:szCs w:val="21"/>
                      <w:lang w:eastAsia="zh-CN"/>
                    </w:rPr>
                    <w:t>、</w:t>
                  </w:r>
                  <w:r>
                    <w:rPr>
                      <w:rFonts w:hint="eastAsia"/>
                      <w:szCs w:val="21"/>
                      <w:lang w:val="en-US" w:eastAsia="zh-CN"/>
                    </w:rPr>
                    <w:t>固态</w:t>
                  </w:r>
                </w:p>
              </w:tc>
            </w:tr>
            <w:tr w14:paraId="4D99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713" w:type="pct"/>
                  <w:vMerge w:val="continue"/>
                  <w:vAlign w:val="center"/>
                </w:tcPr>
                <w:p w14:paraId="0040AD2B">
                  <w:pPr>
                    <w:ind w:firstLine="23"/>
                    <w:jc w:val="center"/>
                    <w:rPr>
                      <w:szCs w:val="21"/>
                    </w:rPr>
                  </w:pPr>
                </w:p>
              </w:tc>
              <w:tc>
                <w:tcPr>
                  <w:tcW w:w="1238" w:type="pct"/>
                  <w:vAlign w:val="center"/>
                </w:tcPr>
                <w:p w14:paraId="417EF7FA">
                  <w:pPr>
                    <w:ind w:firstLine="23"/>
                    <w:jc w:val="center"/>
                    <w:rPr>
                      <w:rFonts w:hint="eastAsia" w:eastAsia="宋体"/>
                      <w:szCs w:val="21"/>
                      <w:lang w:eastAsia="zh-CN"/>
                    </w:rPr>
                  </w:pPr>
                  <w:r>
                    <w:rPr>
                      <w:rFonts w:hint="eastAsia"/>
                      <w:szCs w:val="21"/>
                      <w:lang w:val="en-US" w:eastAsia="zh-CN"/>
                    </w:rPr>
                    <w:t>食用油</w:t>
                  </w:r>
                </w:p>
              </w:tc>
              <w:tc>
                <w:tcPr>
                  <w:tcW w:w="842" w:type="pct"/>
                  <w:vAlign w:val="center"/>
                </w:tcPr>
                <w:p w14:paraId="1CB69800">
                  <w:pPr>
                    <w:ind w:firstLine="23"/>
                    <w:jc w:val="center"/>
                    <w:rPr>
                      <w:szCs w:val="21"/>
                    </w:rPr>
                  </w:pPr>
                  <w:r>
                    <w:rPr>
                      <w:szCs w:val="21"/>
                    </w:rPr>
                    <w:t>吨/年</w:t>
                  </w:r>
                </w:p>
              </w:tc>
              <w:tc>
                <w:tcPr>
                  <w:tcW w:w="911" w:type="pct"/>
                  <w:vAlign w:val="center"/>
                </w:tcPr>
                <w:p w14:paraId="274B1ADE">
                  <w:pPr>
                    <w:ind w:firstLine="23"/>
                    <w:jc w:val="center"/>
                    <w:rPr>
                      <w:rFonts w:hint="default" w:eastAsia="宋体"/>
                      <w:szCs w:val="21"/>
                      <w:lang w:val="en-US" w:eastAsia="zh-CN"/>
                    </w:rPr>
                  </w:pPr>
                  <w:r>
                    <w:rPr>
                      <w:rFonts w:hint="eastAsia"/>
                      <w:szCs w:val="21"/>
                      <w:lang w:val="en-US" w:eastAsia="zh-CN"/>
                    </w:rPr>
                    <w:t>20</w:t>
                  </w:r>
                </w:p>
              </w:tc>
              <w:tc>
                <w:tcPr>
                  <w:tcW w:w="1295" w:type="pct"/>
                  <w:vAlign w:val="center"/>
                </w:tcPr>
                <w:p w14:paraId="0170FE62">
                  <w:pPr>
                    <w:ind w:firstLine="23"/>
                    <w:jc w:val="center"/>
                    <w:rPr>
                      <w:rFonts w:hint="eastAsia" w:eastAsia="宋体"/>
                      <w:szCs w:val="21"/>
                      <w:lang w:eastAsia="zh-CN"/>
                    </w:rPr>
                  </w:pPr>
                  <w:r>
                    <w:rPr>
                      <w:rFonts w:hint="eastAsia"/>
                      <w:szCs w:val="21"/>
                      <w:lang w:val="en-US" w:eastAsia="zh-CN"/>
                    </w:rPr>
                    <w:t>25</w:t>
                  </w:r>
                  <w:r>
                    <w:rPr>
                      <w:rFonts w:hint="eastAsia"/>
                      <w:szCs w:val="21"/>
                    </w:rPr>
                    <w:t>kg</w:t>
                  </w:r>
                  <w:r>
                    <w:rPr>
                      <w:rFonts w:hint="eastAsia"/>
                      <w:szCs w:val="21"/>
                      <w:lang w:val="en-US" w:eastAsia="zh-CN"/>
                    </w:rPr>
                    <w:t>桶装</w:t>
                  </w:r>
                </w:p>
              </w:tc>
            </w:tr>
            <w:tr w14:paraId="54DFA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713" w:type="pct"/>
                  <w:vMerge w:val="continue"/>
                  <w:vAlign w:val="center"/>
                </w:tcPr>
                <w:p w14:paraId="2C995F13">
                  <w:pPr>
                    <w:ind w:firstLine="23"/>
                    <w:jc w:val="center"/>
                    <w:rPr>
                      <w:szCs w:val="21"/>
                    </w:rPr>
                  </w:pPr>
                </w:p>
              </w:tc>
              <w:tc>
                <w:tcPr>
                  <w:tcW w:w="1238" w:type="pct"/>
                  <w:vAlign w:val="center"/>
                </w:tcPr>
                <w:p w14:paraId="1B05D447">
                  <w:pPr>
                    <w:ind w:firstLine="23"/>
                    <w:jc w:val="center"/>
                    <w:rPr>
                      <w:rFonts w:hint="eastAsia" w:eastAsia="宋体"/>
                      <w:szCs w:val="21"/>
                      <w:lang w:eastAsia="zh-CN"/>
                    </w:rPr>
                  </w:pPr>
                  <w:r>
                    <w:rPr>
                      <w:rFonts w:hint="eastAsia"/>
                      <w:szCs w:val="21"/>
                      <w:lang w:val="en-US" w:eastAsia="zh-CN"/>
                    </w:rPr>
                    <w:t>盐</w:t>
                  </w:r>
                </w:p>
              </w:tc>
              <w:tc>
                <w:tcPr>
                  <w:tcW w:w="842" w:type="pct"/>
                  <w:vAlign w:val="center"/>
                </w:tcPr>
                <w:p w14:paraId="104EDEC0">
                  <w:pPr>
                    <w:ind w:firstLine="23"/>
                    <w:jc w:val="center"/>
                    <w:rPr>
                      <w:szCs w:val="21"/>
                    </w:rPr>
                  </w:pPr>
                  <w:r>
                    <w:rPr>
                      <w:szCs w:val="21"/>
                    </w:rPr>
                    <w:t>吨/年</w:t>
                  </w:r>
                </w:p>
              </w:tc>
              <w:tc>
                <w:tcPr>
                  <w:tcW w:w="911" w:type="pct"/>
                  <w:vAlign w:val="center"/>
                </w:tcPr>
                <w:p w14:paraId="5690A824">
                  <w:pPr>
                    <w:ind w:firstLine="23"/>
                    <w:jc w:val="center"/>
                    <w:rPr>
                      <w:rFonts w:hint="default" w:eastAsia="宋体"/>
                      <w:szCs w:val="21"/>
                      <w:lang w:val="en-US" w:eastAsia="zh-CN"/>
                    </w:rPr>
                  </w:pPr>
                  <w:r>
                    <w:rPr>
                      <w:rFonts w:hint="eastAsia"/>
                      <w:szCs w:val="21"/>
                      <w:lang w:val="en-US" w:eastAsia="zh-CN"/>
                    </w:rPr>
                    <w:t>80</w:t>
                  </w:r>
                </w:p>
              </w:tc>
              <w:tc>
                <w:tcPr>
                  <w:tcW w:w="1295" w:type="pct"/>
                  <w:vAlign w:val="center"/>
                </w:tcPr>
                <w:p w14:paraId="1DD96C94">
                  <w:pPr>
                    <w:ind w:firstLine="23"/>
                    <w:jc w:val="center"/>
                    <w:rPr>
                      <w:szCs w:val="21"/>
                    </w:rPr>
                  </w:pPr>
                  <w:r>
                    <w:rPr>
                      <w:rFonts w:hint="eastAsia"/>
                      <w:szCs w:val="21"/>
                      <w:lang w:val="en-US" w:eastAsia="zh-CN"/>
                    </w:rPr>
                    <w:t>25</w:t>
                  </w:r>
                  <w:r>
                    <w:rPr>
                      <w:rFonts w:hint="eastAsia"/>
                      <w:szCs w:val="21"/>
                    </w:rPr>
                    <w:t>kg袋装</w:t>
                  </w:r>
                </w:p>
              </w:tc>
            </w:tr>
            <w:tr w14:paraId="1E57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713" w:type="pct"/>
                  <w:vMerge w:val="continue"/>
                  <w:vAlign w:val="center"/>
                </w:tcPr>
                <w:p w14:paraId="6A10EAA9">
                  <w:pPr>
                    <w:ind w:firstLine="23"/>
                    <w:jc w:val="center"/>
                    <w:rPr>
                      <w:szCs w:val="21"/>
                    </w:rPr>
                  </w:pPr>
                </w:p>
              </w:tc>
              <w:tc>
                <w:tcPr>
                  <w:tcW w:w="1238" w:type="pct"/>
                  <w:vAlign w:val="center"/>
                </w:tcPr>
                <w:p w14:paraId="7C18F214">
                  <w:pPr>
                    <w:ind w:firstLine="23"/>
                    <w:jc w:val="center"/>
                    <w:rPr>
                      <w:rFonts w:hint="eastAsia" w:eastAsia="宋体"/>
                      <w:szCs w:val="21"/>
                      <w:lang w:eastAsia="zh-CN"/>
                    </w:rPr>
                  </w:pPr>
                  <w:r>
                    <w:rPr>
                      <w:rFonts w:hint="eastAsia"/>
                      <w:szCs w:val="21"/>
                      <w:lang w:val="en-US" w:eastAsia="zh-CN"/>
                    </w:rPr>
                    <w:t>味精</w:t>
                  </w:r>
                </w:p>
              </w:tc>
              <w:tc>
                <w:tcPr>
                  <w:tcW w:w="842" w:type="pct"/>
                  <w:vAlign w:val="center"/>
                </w:tcPr>
                <w:p w14:paraId="54DC8AA4">
                  <w:pPr>
                    <w:jc w:val="center"/>
                    <w:rPr>
                      <w:szCs w:val="21"/>
                    </w:rPr>
                  </w:pPr>
                  <w:r>
                    <w:rPr>
                      <w:szCs w:val="21"/>
                    </w:rPr>
                    <w:t>吨/年</w:t>
                  </w:r>
                </w:p>
              </w:tc>
              <w:tc>
                <w:tcPr>
                  <w:tcW w:w="911" w:type="pct"/>
                  <w:vAlign w:val="center"/>
                </w:tcPr>
                <w:p w14:paraId="7F2945D7">
                  <w:pPr>
                    <w:jc w:val="center"/>
                    <w:rPr>
                      <w:rFonts w:hint="default" w:eastAsia="宋体"/>
                      <w:szCs w:val="21"/>
                      <w:lang w:val="en-US" w:eastAsia="zh-CN"/>
                    </w:rPr>
                  </w:pPr>
                  <w:r>
                    <w:rPr>
                      <w:rFonts w:hint="eastAsia"/>
                      <w:szCs w:val="21"/>
                      <w:lang w:val="en-US" w:eastAsia="zh-CN"/>
                    </w:rPr>
                    <w:t>10</w:t>
                  </w:r>
                </w:p>
              </w:tc>
              <w:tc>
                <w:tcPr>
                  <w:tcW w:w="1295" w:type="pct"/>
                  <w:vAlign w:val="center"/>
                </w:tcPr>
                <w:p w14:paraId="6EEE53BC">
                  <w:pPr>
                    <w:jc w:val="center"/>
                    <w:rPr>
                      <w:rFonts w:hint="eastAsia" w:eastAsia="宋体"/>
                      <w:szCs w:val="21"/>
                      <w:lang w:val="en-US" w:eastAsia="zh-CN"/>
                    </w:rPr>
                  </w:pPr>
                  <w:r>
                    <w:rPr>
                      <w:rFonts w:hint="eastAsia"/>
                      <w:szCs w:val="21"/>
                      <w:lang w:val="en-US" w:eastAsia="zh-CN"/>
                    </w:rPr>
                    <w:t>25</w:t>
                  </w:r>
                  <w:r>
                    <w:rPr>
                      <w:rFonts w:hint="eastAsia"/>
                      <w:szCs w:val="21"/>
                    </w:rPr>
                    <w:t>kg袋装</w:t>
                  </w:r>
                </w:p>
              </w:tc>
            </w:tr>
            <w:tr w14:paraId="5301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713" w:type="pct"/>
                  <w:vMerge w:val="continue"/>
                  <w:vAlign w:val="center"/>
                </w:tcPr>
                <w:p w14:paraId="69F90C68">
                  <w:pPr>
                    <w:ind w:firstLine="23"/>
                    <w:jc w:val="center"/>
                    <w:rPr>
                      <w:rFonts w:hint="default"/>
                      <w:szCs w:val="21"/>
                      <w:lang w:val="en-US" w:eastAsia="zh-CN"/>
                    </w:rPr>
                  </w:pPr>
                  <w:bookmarkStart w:id="23" w:name="_Toc197848430"/>
                </w:p>
              </w:tc>
              <w:tc>
                <w:tcPr>
                  <w:tcW w:w="1238" w:type="pct"/>
                  <w:vAlign w:val="center"/>
                </w:tcPr>
                <w:p w14:paraId="053C3014">
                  <w:pPr>
                    <w:ind w:firstLine="23"/>
                    <w:jc w:val="center"/>
                    <w:rPr>
                      <w:rFonts w:hint="default"/>
                      <w:szCs w:val="21"/>
                      <w:lang w:val="en-US" w:eastAsia="zh-CN"/>
                    </w:rPr>
                  </w:pPr>
                  <w:r>
                    <w:rPr>
                      <w:rFonts w:hint="eastAsia"/>
                      <w:szCs w:val="21"/>
                      <w:lang w:val="en-US" w:eastAsia="zh-CN"/>
                    </w:rPr>
                    <w:t>玻璃瓶</w:t>
                  </w:r>
                </w:p>
              </w:tc>
              <w:tc>
                <w:tcPr>
                  <w:tcW w:w="842" w:type="pct"/>
                  <w:vAlign w:val="center"/>
                </w:tcPr>
                <w:p w14:paraId="48C4BAF7">
                  <w:pPr>
                    <w:jc w:val="center"/>
                    <w:rPr>
                      <w:rFonts w:hint="default" w:eastAsia="宋体"/>
                      <w:szCs w:val="21"/>
                      <w:lang w:val="en-US" w:eastAsia="zh-CN"/>
                    </w:rPr>
                  </w:pPr>
                  <w:r>
                    <w:rPr>
                      <w:rFonts w:hint="eastAsia"/>
                      <w:szCs w:val="21"/>
                      <w:lang w:val="en-US" w:eastAsia="zh-CN"/>
                    </w:rPr>
                    <w:t>个/年</w:t>
                  </w:r>
                </w:p>
              </w:tc>
              <w:tc>
                <w:tcPr>
                  <w:tcW w:w="911" w:type="pct"/>
                  <w:vAlign w:val="center"/>
                </w:tcPr>
                <w:p w14:paraId="7FB0FBC6">
                  <w:pPr>
                    <w:jc w:val="center"/>
                    <w:rPr>
                      <w:rFonts w:hint="default"/>
                      <w:szCs w:val="21"/>
                      <w:lang w:val="en-US" w:eastAsia="zh-CN"/>
                    </w:rPr>
                  </w:pPr>
                  <w:r>
                    <w:rPr>
                      <w:rFonts w:hint="eastAsia"/>
                      <w:szCs w:val="21"/>
                      <w:lang w:val="en-US" w:eastAsia="zh-CN"/>
                    </w:rPr>
                    <w:t>100万</w:t>
                  </w:r>
                </w:p>
              </w:tc>
              <w:tc>
                <w:tcPr>
                  <w:tcW w:w="1295" w:type="pct"/>
                  <w:vAlign w:val="center"/>
                </w:tcPr>
                <w:p w14:paraId="2AC4DD7B">
                  <w:pPr>
                    <w:jc w:val="center"/>
                    <w:rPr>
                      <w:rFonts w:hint="default"/>
                      <w:szCs w:val="21"/>
                      <w:lang w:val="en-US" w:eastAsia="zh-CN"/>
                    </w:rPr>
                  </w:pPr>
                  <w:r>
                    <w:rPr>
                      <w:rFonts w:hint="eastAsia"/>
                      <w:szCs w:val="21"/>
                      <w:lang w:val="en-US" w:eastAsia="zh-CN"/>
                    </w:rPr>
                    <w:t>外购</w:t>
                  </w:r>
                </w:p>
              </w:tc>
            </w:tr>
            <w:tr w14:paraId="6592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713" w:type="pct"/>
                  <w:vMerge w:val="restart"/>
                  <w:vAlign w:val="center"/>
                </w:tcPr>
                <w:p w14:paraId="39EC8B17">
                  <w:pPr>
                    <w:ind w:firstLine="23"/>
                    <w:jc w:val="center"/>
                    <w:rPr>
                      <w:rFonts w:hint="default"/>
                      <w:szCs w:val="21"/>
                      <w:lang w:val="en-US" w:eastAsia="zh-CN"/>
                    </w:rPr>
                  </w:pPr>
                  <w:r>
                    <w:rPr>
                      <w:rFonts w:hint="eastAsia"/>
                      <w:szCs w:val="21"/>
                      <w:lang w:val="en-US" w:eastAsia="zh-CN"/>
                    </w:rPr>
                    <w:t>灰培豆腐</w:t>
                  </w:r>
                </w:p>
              </w:tc>
              <w:tc>
                <w:tcPr>
                  <w:tcW w:w="1238" w:type="pct"/>
                  <w:vAlign w:val="center"/>
                </w:tcPr>
                <w:p w14:paraId="3B528396">
                  <w:pPr>
                    <w:ind w:firstLine="23"/>
                    <w:jc w:val="center"/>
                    <w:rPr>
                      <w:rFonts w:hint="default"/>
                      <w:szCs w:val="21"/>
                      <w:lang w:val="en-US" w:eastAsia="zh-CN"/>
                    </w:rPr>
                  </w:pPr>
                  <w:r>
                    <w:rPr>
                      <w:rFonts w:hint="eastAsia"/>
                      <w:szCs w:val="21"/>
                      <w:lang w:val="en-US" w:eastAsia="zh-CN"/>
                    </w:rPr>
                    <w:t>灰培豆腐</w:t>
                  </w:r>
                </w:p>
              </w:tc>
              <w:tc>
                <w:tcPr>
                  <w:tcW w:w="842" w:type="pct"/>
                  <w:vAlign w:val="center"/>
                </w:tcPr>
                <w:p w14:paraId="06912DD5">
                  <w:pPr>
                    <w:jc w:val="center"/>
                    <w:rPr>
                      <w:rFonts w:hint="default"/>
                      <w:szCs w:val="21"/>
                      <w:lang w:val="en-US" w:eastAsia="zh-CN"/>
                    </w:rPr>
                  </w:pPr>
                  <w:r>
                    <w:rPr>
                      <w:rFonts w:hint="eastAsia"/>
                      <w:szCs w:val="21"/>
                      <w:lang w:val="en-US" w:eastAsia="zh-CN"/>
                    </w:rPr>
                    <w:t>吨/年</w:t>
                  </w:r>
                </w:p>
              </w:tc>
              <w:tc>
                <w:tcPr>
                  <w:tcW w:w="911" w:type="pct"/>
                  <w:vAlign w:val="center"/>
                </w:tcPr>
                <w:p w14:paraId="7EDEBB4C">
                  <w:pPr>
                    <w:jc w:val="center"/>
                    <w:rPr>
                      <w:rFonts w:hint="default"/>
                      <w:szCs w:val="21"/>
                      <w:lang w:val="en-US" w:eastAsia="zh-CN"/>
                    </w:rPr>
                  </w:pPr>
                  <w:r>
                    <w:rPr>
                      <w:rFonts w:hint="eastAsia"/>
                      <w:szCs w:val="21"/>
                      <w:lang w:val="en-US" w:eastAsia="zh-CN"/>
                    </w:rPr>
                    <w:t>260</w:t>
                  </w:r>
                </w:p>
              </w:tc>
              <w:tc>
                <w:tcPr>
                  <w:tcW w:w="1295" w:type="pct"/>
                  <w:vAlign w:val="center"/>
                </w:tcPr>
                <w:p w14:paraId="08B8C027">
                  <w:pPr>
                    <w:jc w:val="center"/>
                    <w:rPr>
                      <w:rFonts w:hint="default"/>
                      <w:szCs w:val="21"/>
                      <w:lang w:val="en-US" w:eastAsia="zh-CN"/>
                    </w:rPr>
                  </w:pPr>
                  <w:r>
                    <w:rPr>
                      <w:rFonts w:hint="eastAsia"/>
                      <w:szCs w:val="21"/>
                      <w:lang w:val="en-US" w:eastAsia="zh-CN"/>
                    </w:rPr>
                    <w:t>每日送货</w:t>
                  </w:r>
                </w:p>
              </w:tc>
            </w:tr>
            <w:tr w14:paraId="67FB0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713" w:type="pct"/>
                  <w:vMerge w:val="continue"/>
                  <w:vAlign w:val="center"/>
                </w:tcPr>
                <w:p w14:paraId="0D34F25D">
                  <w:pPr>
                    <w:ind w:firstLine="23"/>
                    <w:jc w:val="center"/>
                    <w:rPr>
                      <w:rFonts w:hint="eastAsia"/>
                      <w:szCs w:val="21"/>
                      <w:lang w:val="en-US" w:eastAsia="zh-CN"/>
                    </w:rPr>
                  </w:pPr>
                </w:p>
              </w:tc>
              <w:tc>
                <w:tcPr>
                  <w:tcW w:w="1238" w:type="pct"/>
                  <w:vAlign w:val="center"/>
                </w:tcPr>
                <w:p w14:paraId="59408D49">
                  <w:pPr>
                    <w:ind w:firstLine="23"/>
                    <w:jc w:val="center"/>
                    <w:rPr>
                      <w:rFonts w:hint="default"/>
                      <w:szCs w:val="21"/>
                      <w:lang w:val="en-US" w:eastAsia="zh-CN"/>
                    </w:rPr>
                  </w:pPr>
                  <w:r>
                    <w:rPr>
                      <w:rFonts w:hint="eastAsia"/>
                      <w:szCs w:val="21"/>
                      <w:lang w:val="en-US" w:eastAsia="zh-CN"/>
                    </w:rPr>
                    <w:t>食用油</w:t>
                  </w:r>
                </w:p>
              </w:tc>
              <w:tc>
                <w:tcPr>
                  <w:tcW w:w="842" w:type="pct"/>
                  <w:vAlign w:val="center"/>
                </w:tcPr>
                <w:p w14:paraId="12F9D352">
                  <w:pPr>
                    <w:jc w:val="center"/>
                    <w:rPr>
                      <w:rFonts w:hint="default"/>
                      <w:szCs w:val="21"/>
                      <w:lang w:val="en-US" w:eastAsia="zh-CN"/>
                    </w:rPr>
                  </w:pPr>
                  <w:r>
                    <w:rPr>
                      <w:rFonts w:hint="eastAsia"/>
                      <w:szCs w:val="21"/>
                      <w:lang w:val="en-US" w:eastAsia="zh-CN"/>
                    </w:rPr>
                    <w:t>吨/年</w:t>
                  </w:r>
                </w:p>
              </w:tc>
              <w:tc>
                <w:tcPr>
                  <w:tcW w:w="911" w:type="pct"/>
                  <w:vAlign w:val="center"/>
                </w:tcPr>
                <w:p w14:paraId="1218DB3F">
                  <w:pPr>
                    <w:jc w:val="center"/>
                    <w:rPr>
                      <w:rFonts w:hint="default"/>
                      <w:szCs w:val="21"/>
                      <w:lang w:val="en-US" w:eastAsia="zh-CN"/>
                    </w:rPr>
                  </w:pPr>
                  <w:r>
                    <w:rPr>
                      <w:rFonts w:hint="eastAsia"/>
                      <w:szCs w:val="21"/>
                      <w:lang w:val="en-US" w:eastAsia="zh-CN"/>
                    </w:rPr>
                    <w:t>1</w:t>
                  </w:r>
                </w:p>
              </w:tc>
              <w:tc>
                <w:tcPr>
                  <w:tcW w:w="1295" w:type="pct"/>
                  <w:vAlign w:val="center"/>
                </w:tcPr>
                <w:p w14:paraId="17C4DBB7">
                  <w:pPr>
                    <w:jc w:val="center"/>
                    <w:rPr>
                      <w:rFonts w:hint="eastAsia"/>
                      <w:szCs w:val="21"/>
                      <w:lang w:val="en-US" w:eastAsia="zh-CN"/>
                    </w:rPr>
                  </w:pPr>
                  <w:r>
                    <w:rPr>
                      <w:rFonts w:hint="eastAsia"/>
                      <w:szCs w:val="21"/>
                      <w:lang w:val="en-US" w:eastAsia="zh-CN"/>
                    </w:rPr>
                    <w:t>25</w:t>
                  </w:r>
                  <w:r>
                    <w:rPr>
                      <w:rFonts w:hint="eastAsia"/>
                      <w:szCs w:val="21"/>
                    </w:rPr>
                    <w:t>kg</w:t>
                  </w:r>
                  <w:r>
                    <w:rPr>
                      <w:rFonts w:hint="eastAsia"/>
                      <w:szCs w:val="21"/>
                      <w:lang w:val="en-US" w:eastAsia="zh-CN"/>
                    </w:rPr>
                    <w:t>桶装</w:t>
                  </w:r>
                </w:p>
              </w:tc>
            </w:tr>
            <w:tr w14:paraId="181F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713" w:type="pct"/>
                  <w:vMerge w:val="continue"/>
                  <w:vAlign w:val="center"/>
                </w:tcPr>
                <w:p w14:paraId="158E7A02">
                  <w:pPr>
                    <w:ind w:firstLine="23"/>
                    <w:jc w:val="center"/>
                    <w:rPr>
                      <w:rFonts w:hint="eastAsia"/>
                      <w:szCs w:val="21"/>
                      <w:lang w:val="en-US" w:eastAsia="zh-CN"/>
                    </w:rPr>
                  </w:pPr>
                </w:p>
              </w:tc>
              <w:tc>
                <w:tcPr>
                  <w:tcW w:w="1238" w:type="pct"/>
                  <w:vAlign w:val="center"/>
                </w:tcPr>
                <w:p w14:paraId="3ED7A3A9">
                  <w:pPr>
                    <w:ind w:firstLine="23"/>
                    <w:jc w:val="center"/>
                    <w:rPr>
                      <w:rFonts w:hint="default"/>
                      <w:szCs w:val="21"/>
                      <w:lang w:val="en-US" w:eastAsia="zh-CN"/>
                    </w:rPr>
                  </w:pPr>
                  <w:r>
                    <w:rPr>
                      <w:rFonts w:hint="eastAsia"/>
                      <w:szCs w:val="21"/>
                      <w:lang w:val="en-US" w:eastAsia="zh-CN"/>
                    </w:rPr>
                    <w:t>盐</w:t>
                  </w:r>
                </w:p>
              </w:tc>
              <w:tc>
                <w:tcPr>
                  <w:tcW w:w="842" w:type="pct"/>
                  <w:vAlign w:val="center"/>
                </w:tcPr>
                <w:p w14:paraId="60C584B3">
                  <w:pPr>
                    <w:jc w:val="center"/>
                    <w:rPr>
                      <w:rFonts w:hint="default"/>
                      <w:szCs w:val="21"/>
                      <w:lang w:val="en-US" w:eastAsia="zh-CN"/>
                    </w:rPr>
                  </w:pPr>
                  <w:r>
                    <w:rPr>
                      <w:rFonts w:hint="eastAsia"/>
                      <w:szCs w:val="21"/>
                      <w:lang w:val="en-US" w:eastAsia="zh-CN"/>
                    </w:rPr>
                    <w:t>吨/年</w:t>
                  </w:r>
                </w:p>
              </w:tc>
              <w:tc>
                <w:tcPr>
                  <w:tcW w:w="911" w:type="pct"/>
                  <w:vAlign w:val="center"/>
                </w:tcPr>
                <w:p w14:paraId="4B710A32">
                  <w:pPr>
                    <w:jc w:val="center"/>
                    <w:rPr>
                      <w:rFonts w:hint="default"/>
                      <w:szCs w:val="21"/>
                      <w:lang w:val="en-US" w:eastAsia="zh-CN"/>
                    </w:rPr>
                  </w:pPr>
                  <w:r>
                    <w:rPr>
                      <w:rFonts w:hint="eastAsia"/>
                      <w:szCs w:val="21"/>
                      <w:lang w:val="en-US" w:eastAsia="zh-CN"/>
                    </w:rPr>
                    <w:t>5</w:t>
                  </w:r>
                </w:p>
              </w:tc>
              <w:tc>
                <w:tcPr>
                  <w:tcW w:w="1295" w:type="pct"/>
                  <w:vAlign w:val="center"/>
                </w:tcPr>
                <w:p w14:paraId="07DA35FD">
                  <w:pPr>
                    <w:jc w:val="center"/>
                    <w:rPr>
                      <w:rFonts w:hint="eastAsia"/>
                      <w:szCs w:val="21"/>
                      <w:lang w:val="en-US" w:eastAsia="zh-CN"/>
                    </w:rPr>
                  </w:pPr>
                  <w:r>
                    <w:rPr>
                      <w:rFonts w:hint="eastAsia"/>
                      <w:szCs w:val="21"/>
                      <w:lang w:val="en-US" w:eastAsia="zh-CN"/>
                    </w:rPr>
                    <w:t>25</w:t>
                  </w:r>
                  <w:r>
                    <w:rPr>
                      <w:rFonts w:hint="eastAsia"/>
                      <w:szCs w:val="21"/>
                    </w:rPr>
                    <w:t>kg袋装</w:t>
                  </w:r>
                </w:p>
              </w:tc>
            </w:tr>
            <w:tr w14:paraId="5310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713" w:type="pct"/>
                  <w:vMerge w:val="continue"/>
                  <w:vAlign w:val="center"/>
                </w:tcPr>
                <w:p w14:paraId="6FE9AE76">
                  <w:pPr>
                    <w:ind w:firstLine="23"/>
                    <w:jc w:val="center"/>
                    <w:rPr>
                      <w:rFonts w:hint="eastAsia"/>
                      <w:szCs w:val="21"/>
                      <w:lang w:val="en-US" w:eastAsia="zh-CN"/>
                    </w:rPr>
                  </w:pPr>
                </w:p>
              </w:tc>
              <w:tc>
                <w:tcPr>
                  <w:tcW w:w="1238" w:type="pct"/>
                  <w:vAlign w:val="center"/>
                </w:tcPr>
                <w:p w14:paraId="754A7CC3">
                  <w:pPr>
                    <w:ind w:firstLine="23"/>
                    <w:jc w:val="center"/>
                    <w:rPr>
                      <w:rFonts w:hint="default"/>
                      <w:szCs w:val="21"/>
                      <w:lang w:val="en-US" w:eastAsia="zh-CN"/>
                    </w:rPr>
                  </w:pPr>
                  <w:r>
                    <w:rPr>
                      <w:rFonts w:hint="eastAsia"/>
                      <w:szCs w:val="21"/>
                      <w:lang w:val="en-US" w:eastAsia="zh-CN"/>
                    </w:rPr>
                    <w:t>大料</w:t>
                  </w:r>
                </w:p>
              </w:tc>
              <w:tc>
                <w:tcPr>
                  <w:tcW w:w="842" w:type="pct"/>
                  <w:vAlign w:val="center"/>
                </w:tcPr>
                <w:p w14:paraId="68378D0B">
                  <w:pPr>
                    <w:jc w:val="center"/>
                    <w:rPr>
                      <w:rFonts w:hint="default"/>
                      <w:szCs w:val="21"/>
                      <w:lang w:val="en-US" w:eastAsia="zh-CN"/>
                    </w:rPr>
                  </w:pPr>
                  <w:r>
                    <w:rPr>
                      <w:rFonts w:hint="eastAsia"/>
                      <w:szCs w:val="21"/>
                      <w:lang w:val="en-US" w:eastAsia="zh-CN"/>
                    </w:rPr>
                    <w:t>吨/年</w:t>
                  </w:r>
                </w:p>
              </w:tc>
              <w:tc>
                <w:tcPr>
                  <w:tcW w:w="911" w:type="pct"/>
                  <w:vAlign w:val="center"/>
                </w:tcPr>
                <w:p w14:paraId="4CE71007">
                  <w:pPr>
                    <w:jc w:val="center"/>
                    <w:rPr>
                      <w:rFonts w:hint="default"/>
                      <w:szCs w:val="21"/>
                      <w:lang w:val="en-US" w:eastAsia="zh-CN"/>
                    </w:rPr>
                  </w:pPr>
                  <w:r>
                    <w:rPr>
                      <w:rFonts w:hint="eastAsia"/>
                      <w:szCs w:val="21"/>
                      <w:lang w:val="en-US" w:eastAsia="zh-CN"/>
                    </w:rPr>
                    <w:t>3</w:t>
                  </w:r>
                </w:p>
              </w:tc>
              <w:tc>
                <w:tcPr>
                  <w:tcW w:w="1295" w:type="pct"/>
                  <w:vAlign w:val="center"/>
                </w:tcPr>
                <w:p w14:paraId="534616AC">
                  <w:pPr>
                    <w:jc w:val="center"/>
                    <w:rPr>
                      <w:rFonts w:hint="eastAsia"/>
                      <w:szCs w:val="21"/>
                      <w:lang w:val="en-US" w:eastAsia="zh-CN"/>
                    </w:rPr>
                  </w:pPr>
                  <w:r>
                    <w:rPr>
                      <w:rFonts w:hint="eastAsia"/>
                      <w:szCs w:val="21"/>
                      <w:lang w:val="en-US" w:eastAsia="zh-CN"/>
                    </w:rPr>
                    <w:t>25</w:t>
                  </w:r>
                  <w:r>
                    <w:rPr>
                      <w:rFonts w:hint="eastAsia"/>
                      <w:szCs w:val="21"/>
                    </w:rPr>
                    <w:t>kg袋装</w:t>
                  </w:r>
                </w:p>
              </w:tc>
            </w:tr>
            <w:tr w14:paraId="782C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713" w:type="pct"/>
                  <w:vMerge w:val="restart"/>
                  <w:vAlign w:val="center"/>
                </w:tcPr>
                <w:p w14:paraId="6FE1341D">
                  <w:pPr>
                    <w:ind w:firstLine="23"/>
                    <w:jc w:val="center"/>
                    <w:rPr>
                      <w:rFonts w:hint="default"/>
                      <w:szCs w:val="21"/>
                      <w:lang w:val="en-US" w:eastAsia="zh-CN"/>
                    </w:rPr>
                  </w:pPr>
                  <w:r>
                    <w:rPr>
                      <w:rFonts w:hint="eastAsia"/>
                      <w:szCs w:val="21"/>
                      <w:lang w:val="en-US" w:eastAsia="zh-CN"/>
                    </w:rPr>
                    <w:t>共用工程</w:t>
                  </w:r>
                </w:p>
              </w:tc>
              <w:tc>
                <w:tcPr>
                  <w:tcW w:w="1238" w:type="pct"/>
                  <w:vAlign w:val="center"/>
                </w:tcPr>
                <w:p w14:paraId="3AC4485C">
                  <w:pPr>
                    <w:ind w:firstLine="23"/>
                    <w:jc w:val="center"/>
                    <w:rPr>
                      <w:rFonts w:hint="default"/>
                      <w:szCs w:val="21"/>
                      <w:lang w:val="en-US" w:eastAsia="zh-CN"/>
                    </w:rPr>
                  </w:pPr>
                  <w:r>
                    <w:rPr>
                      <w:rFonts w:hint="eastAsia"/>
                      <w:szCs w:val="21"/>
                      <w:lang w:val="en-US" w:eastAsia="zh-CN"/>
                    </w:rPr>
                    <w:t>天然气</w:t>
                  </w:r>
                </w:p>
              </w:tc>
              <w:tc>
                <w:tcPr>
                  <w:tcW w:w="842" w:type="pct"/>
                  <w:vAlign w:val="center"/>
                </w:tcPr>
                <w:p w14:paraId="5281C65C">
                  <w:pPr>
                    <w:jc w:val="center"/>
                    <w:rPr>
                      <w:rFonts w:hint="default"/>
                      <w:szCs w:val="21"/>
                      <w:lang w:val="en-US" w:eastAsia="zh-CN"/>
                    </w:rPr>
                  </w:pPr>
                  <w:r>
                    <w:rPr>
                      <w:rFonts w:hint="eastAsia"/>
                      <w:szCs w:val="21"/>
                      <w:lang w:val="en-US" w:eastAsia="zh-CN"/>
                    </w:rPr>
                    <w:t>m</w:t>
                  </w:r>
                  <w:r>
                    <w:rPr>
                      <w:rFonts w:hint="eastAsia"/>
                      <w:szCs w:val="21"/>
                      <w:vertAlign w:val="superscript"/>
                      <w:lang w:val="en-US" w:eastAsia="zh-CN"/>
                    </w:rPr>
                    <w:t>3</w:t>
                  </w:r>
                  <w:r>
                    <w:rPr>
                      <w:rFonts w:hint="eastAsia"/>
                      <w:szCs w:val="21"/>
                      <w:lang w:val="en-US" w:eastAsia="zh-CN"/>
                    </w:rPr>
                    <w:t>/a</w:t>
                  </w:r>
                </w:p>
              </w:tc>
              <w:tc>
                <w:tcPr>
                  <w:tcW w:w="911" w:type="pct"/>
                  <w:vAlign w:val="center"/>
                </w:tcPr>
                <w:p w14:paraId="27C53E8F">
                  <w:pPr>
                    <w:jc w:val="center"/>
                    <w:rPr>
                      <w:rFonts w:hint="default"/>
                      <w:szCs w:val="21"/>
                      <w:lang w:val="en-US" w:eastAsia="zh-CN"/>
                    </w:rPr>
                  </w:pPr>
                  <w:r>
                    <w:rPr>
                      <w:rFonts w:hint="eastAsia"/>
                      <w:szCs w:val="21"/>
                      <w:lang w:val="en-US" w:eastAsia="zh-CN"/>
                    </w:rPr>
                    <w:t>17万</w:t>
                  </w:r>
                </w:p>
              </w:tc>
              <w:tc>
                <w:tcPr>
                  <w:tcW w:w="1295" w:type="pct"/>
                  <w:vAlign w:val="center"/>
                </w:tcPr>
                <w:p w14:paraId="45502FAF">
                  <w:pPr>
                    <w:jc w:val="center"/>
                    <w:rPr>
                      <w:rFonts w:hint="default"/>
                      <w:szCs w:val="21"/>
                      <w:lang w:val="en-US" w:eastAsia="zh-CN"/>
                    </w:rPr>
                  </w:pPr>
                  <w:r>
                    <w:rPr>
                      <w:rFonts w:hint="eastAsia"/>
                      <w:szCs w:val="21"/>
                      <w:lang w:val="en-US" w:eastAsia="zh-CN"/>
                    </w:rPr>
                    <w:t>管道天然气</w:t>
                  </w:r>
                </w:p>
              </w:tc>
            </w:tr>
            <w:tr w14:paraId="0CEB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713" w:type="pct"/>
                  <w:vMerge w:val="continue"/>
                  <w:vAlign w:val="center"/>
                </w:tcPr>
                <w:p w14:paraId="613055BA">
                  <w:pPr>
                    <w:ind w:firstLine="23"/>
                    <w:jc w:val="center"/>
                    <w:rPr>
                      <w:rFonts w:hint="eastAsia"/>
                      <w:szCs w:val="21"/>
                      <w:lang w:val="en-US" w:eastAsia="zh-CN"/>
                    </w:rPr>
                  </w:pPr>
                </w:p>
              </w:tc>
              <w:tc>
                <w:tcPr>
                  <w:tcW w:w="1238" w:type="pct"/>
                  <w:vAlign w:val="center"/>
                </w:tcPr>
                <w:p w14:paraId="5ED6DC42">
                  <w:pPr>
                    <w:ind w:firstLine="23"/>
                    <w:jc w:val="center"/>
                    <w:rPr>
                      <w:rFonts w:hint="default"/>
                      <w:szCs w:val="21"/>
                      <w:lang w:val="en-US" w:eastAsia="zh-CN"/>
                    </w:rPr>
                  </w:pPr>
                  <w:r>
                    <w:rPr>
                      <w:rFonts w:hint="eastAsia"/>
                      <w:szCs w:val="21"/>
                      <w:lang w:val="en-US" w:eastAsia="zh-CN"/>
                    </w:rPr>
                    <w:t>水</w:t>
                  </w:r>
                </w:p>
              </w:tc>
              <w:tc>
                <w:tcPr>
                  <w:tcW w:w="842" w:type="pct"/>
                  <w:vAlign w:val="center"/>
                </w:tcPr>
                <w:p w14:paraId="60394240">
                  <w:pPr>
                    <w:jc w:val="center"/>
                    <w:rPr>
                      <w:rFonts w:hint="default"/>
                      <w:szCs w:val="21"/>
                      <w:lang w:val="en-US" w:eastAsia="zh-CN"/>
                    </w:rPr>
                  </w:pPr>
                  <w:r>
                    <w:rPr>
                      <w:rFonts w:hint="eastAsia"/>
                      <w:szCs w:val="21"/>
                      <w:lang w:val="en-US" w:eastAsia="zh-CN"/>
                    </w:rPr>
                    <w:t>吨/年</w:t>
                  </w:r>
                </w:p>
              </w:tc>
              <w:tc>
                <w:tcPr>
                  <w:tcW w:w="911" w:type="pct"/>
                  <w:vAlign w:val="center"/>
                </w:tcPr>
                <w:p w14:paraId="2DA03EAF">
                  <w:pPr>
                    <w:jc w:val="center"/>
                    <w:rPr>
                      <w:rFonts w:hint="default"/>
                      <w:szCs w:val="21"/>
                      <w:lang w:val="en-US" w:eastAsia="zh-CN"/>
                    </w:rPr>
                  </w:pPr>
                  <w:r>
                    <w:rPr>
                      <w:rFonts w:hint="eastAsia"/>
                      <w:szCs w:val="21"/>
                      <w:lang w:val="en-US" w:eastAsia="zh-CN"/>
                    </w:rPr>
                    <w:t>2562.6</w:t>
                  </w:r>
                </w:p>
              </w:tc>
              <w:tc>
                <w:tcPr>
                  <w:tcW w:w="1295" w:type="pct"/>
                  <w:vAlign w:val="center"/>
                </w:tcPr>
                <w:p w14:paraId="7A572640">
                  <w:pPr>
                    <w:jc w:val="center"/>
                    <w:rPr>
                      <w:rFonts w:hint="default"/>
                      <w:szCs w:val="21"/>
                      <w:lang w:val="en-US" w:eastAsia="zh-CN"/>
                    </w:rPr>
                  </w:pPr>
                  <w:r>
                    <w:rPr>
                      <w:rFonts w:hint="eastAsia"/>
                      <w:szCs w:val="21"/>
                      <w:lang w:val="en-US" w:eastAsia="zh-CN"/>
                    </w:rPr>
                    <w:t>市政管网</w:t>
                  </w:r>
                </w:p>
              </w:tc>
            </w:tr>
            <w:tr w14:paraId="4552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PrEx>
              <w:trPr>
                <w:trHeight w:val="340" w:hRule="atLeast"/>
                <w:jc w:val="center"/>
              </w:trPr>
              <w:tc>
                <w:tcPr>
                  <w:tcW w:w="713" w:type="pct"/>
                  <w:vMerge w:val="continue"/>
                  <w:vAlign w:val="center"/>
                </w:tcPr>
                <w:p w14:paraId="4BD260B9">
                  <w:pPr>
                    <w:ind w:firstLine="23"/>
                    <w:jc w:val="center"/>
                    <w:rPr>
                      <w:rFonts w:hint="eastAsia"/>
                      <w:szCs w:val="21"/>
                      <w:lang w:val="en-US" w:eastAsia="zh-CN"/>
                    </w:rPr>
                  </w:pPr>
                </w:p>
              </w:tc>
              <w:tc>
                <w:tcPr>
                  <w:tcW w:w="1238" w:type="pct"/>
                  <w:vAlign w:val="center"/>
                </w:tcPr>
                <w:p w14:paraId="1739D186">
                  <w:pPr>
                    <w:ind w:firstLine="23"/>
                    <w:jc w:val="center"/>
                    <w:rPr>
                      <w:rFonts w:hint="default"/>
                      <w:szCs w:val="21"/>
                      <w:lang w:val="en-US" w:eastAsia="zh-CN"/>
                    </w:rPr>
                  </w:pPr>
                  <w:r>
                    <w:rPr>
                      <w:rFonts w:hint="eastAsia"/>
                      <w:szCs w:val="21"/>
                      <w:lang w:val="en-US" w:eastAsia="zh-CN"/>
                    </w:rPr>
                    <w:t>电</w:t>
                  </w:r>
                </w:p>
              </w:tc>
              <w:tc>
                <w:tcPr>
                  <w:tcW w:w="842" w:type="pct"/>
                  <w:vAlign w:val="center"/>
                </w:tcPr>
                <w:p w14:paraId="3BEBF3E8">
                  <w:pPr>
                    <w:jc w:val="center"/>
                    <w:rPr>
                      <w:rFonts w:hint="default"/>
                      <w:szCs w:val="21"/>
                      <w:lang w:val="en-US" w:eastAsia="zh-CN"/>
                    </w:rPr>
                  </w:pPr>
                  <w:r>
                    <w:rPr>
                      <w:rFonts w:hint="eastAsia"/>
                      <w:szCs w:val="21"/>
                      <w:lang w:val="en-US" w:eastAsia="zh-CN"/>
                    </w:rPr>
                    <w:t>kwh/年</w:t>
                  </w:r>
                </w:p>
              </w:tc>
              <w:tc>
                <w:tcPr>
                  <w:tcW w:w="911" w:type="pct"/>
                  <w:vAlign w:val="center"/>
                </w:tcPr>
                <w:p w14:paraId="5BDFB685">
                  <w:pPr>
                    <w:jc w:val="center"/>
                    <w:rPr>
                      <w:rFonts w:hint="default"/>
                      <w:szCs w:val="21"/>
                      <w:lang w:val="en-US" w:eastAsia="zh-CN"/>
                    </w:rPr>
                  </w:pPr>
                  <w:r>
                    <w:rPr>
                      <w:rFonts w:hint="eastAsia"/>
                      <w:szCs w:val="21"/>
                      <w:lang w:val="en-US" w:eastAsia="zh-CN"/>
                    </w:rPr>
                    <w:t>50000</w:t>
                  </w:r>
                </w:p>
              </w:tc>
              <w:tc>
                <w:tcPr>
                  <w:tcW w:w="1295" w:type="pct"/>
                  <w:vAlign w:val="center"/>
                </w:tcPr>
                <w:p w14:paraId="7D5FB90C">
                  <w:pPr>
                    <w:jc w:val="center"/>
                    <w:rPr>
                      <w:rFonts w:hint="default"/>
                      <w:szCs w:val="21"/>
                      <w:lang w:val="en-US" w:eastAsia="zh-CN"/>
                    </w:rPr>
                  </w:pPr>
                  <w:r>
                    <w:rPr>
                      <w:rFonts w:hint="eastAsia"/>
                      <w:szCs w:val="21"/>
                      <w:lang w:val="en-US" w:eastAsia="zh-CN"/>
                    </w:rPr>
                    <w:t>市政电网</w:t>
                  </w:r>
                </w:p>
              </w:tc>
            </w:tr>
          </w:tbl>
          <w:p w14:paraId="5A28F065">
            <w:pPr>
              <w:pStyle w:val="259"/>
              <w:spacing w:before="120" w:after="120"/>
            </w:pPr>
            <w:r>
              <w:t>6、机构设置及劳动定员</w:t>
            </w:r>
            <w:bookmarkEnd w:id="23"/>
          </w:p>
          <w:p w14:paraId="4D18B339">
            <w:pPr>
              <w:pStyle w:val="144"/>
            </w:pPr>
            <w:r>
              <w:t>项目</w:t>
            </w:r>
            <w:r>
              <w:rPr>
                <w:rFonts w:hint="eastAsia"/>
                <w:lang w:val="en-US" w:eastAsia="zh-CN"/>
              </w:rPr>
              <w:t>劳动定员</w:t>
            </w:r>
            <w:r>
              <w:t>10人</w:t>
            </w:r>
            <w:r>
              <w:rPr>
                <w:rFonts w:hint="eastAsia"/>
              </w:rPr>
              <w:t>，项目内部不</w:t>
            </w:r>
            <w:r>
              <w:t>设置食堂和宿舍</w:t>
            </w:r>
            <w:r>
              <w:rPr>
                <w:rFonts w:hint="eastAsia"/>
              </w:rPr>
              <w:t>，年工作天数</w:t>
            </w:r>
            <w:r>
              <w:t>30</w:t>
            </w:r>
            <w:r>
              <w:rPr>
                <w:rFonts w:hint="eastAsia"/>
              </w:rPr>
              <w:t>0天。每天1班制，每班</w:t>
            </w:r>
            <w:r>
              <w:rPr>
                <w:rFonts w:hint="eastAsia"/>
                <w:lang w:val="en-US" w:eastAsia="zh-CN"/>
              </w:rPr>
              <w:t>10</w:t>
            </w:r>
            <w:r>
              <w:rPr>
                <w:rFonts w:hint="eastAsia"/>
              </w:rPr>
              <w:t>小时</w:t>
            </w:r>
            <w:r>
              <w:t>。</w:t>
            </w:r>
          </w:p>
          <w:p w14:paraId="26F5F3F2">
            <w:pPr>
              <w:pStyle w:val="259"/>
              <w:spacing w:before="120" w:after="120"/>
            </w:pPr>
            <w:bookmarkStart w:id="24" w:name="_Toc197848431"/>
            <w:r>
              <w:t>7、公用工程</w:t>
            </w:r>
            <w:bookmarkEnd w:id="24"/>
          </w:p>
          <w:p w14:paraId="200BC10A">
            <w:pPr>
              <w:pStyle w:val="261"/>
              <w:ind w:firstLine="240"/>
            </w:pPr>
            <w:r>
              <w:t>7.1</w:t>
            </w:r>
            <w:r>
              <w:rPr>
                <w:rFonts w:hint="eastAsia"/>
              </w:rPr>
              <w:t>给排水</w:t>
            </w:r>
          </w:p>
          <w:p w14:paraId="69094944">
            <w:pPr>
              <w:pStyle w:val="144"/>
              <w:rPr>
                <w:b w:val="0"/>
                <w:bCs w:val="0"/>
                <w:u w:val="none"/>
              </w:rPr>
            </w:pPr>
            <w:r>
              <w:rPr>
                <w:rFonts w:hint="eastAsia"/>
                <w:b w:val="0"/>
                <w:bCs w:val="0"/>
                <w:u w:val="none"/>
              </w:rPr>
              <w:t>给水：本项目通过市政自来水管网供水，主要为</w:t>
            </w:r>
            <w:r>
              <w:rPr>
                <w:rFonts w:hint="eastAsia"/>
                <w:b w:val="0"/>
                <w:bCs w:val="0"/>
                <w:u w:val="none"/>
                <w:lang w:val="en-US" w:eastAsia="zh-CN"/>
              </w:rPr>
              <w:t>煮锅用水、洗瓶用水、</w:t>
            </w:r>
            <w:r>
              <w:rPr>
                <w:b w:val="0"/>
                <w:bCs w:val="0"/>
                <w:u w:val="none"/>
              </w:rPr>
              <w:t>车间及</w:t>
            </w:r>
            <w:r>
              <w:rPr>
                <w:rFonts w:hint="eastAsia"/>
                <w:b w:val="0"/>
                <w:bCs w:val="0"/>
                <w:u w:val="none"/>
              </w:rPr>
              <w:t>设备</w:t>
            </w:r>
            <w:r>
              <w:rPr>
                <w:b w:val="0"/>
                <w:bCs w:val="0"/>
                <w:u w:val="none"/>
              </w:rPr>
              <w:t>清洗用水</w:t>
            </w:r>
            <w:r>
              <w:rPr>
                <w:rFonts w:hint="eastAsia"/>
                <w:b w:val="0"/>
                <w:bCs w:val="0"/>
                <w:u w:val="none"/>
              </w:rPr>
              <w:t>、</w:t>
            </w:r>
            <w:r>
              <w:rPr>
                <w:rFonts w:hint="eastAsia"/>
                <w:b w:val="0"/>
                <w:bCs w:val="0"/>
                <w:u w:val="none"/>
                <w:lang w:val="en-US" w:eastAsia="zh-CN"/>
              </w:rPr>
              <w:t>制纯水用水、</w:t>
            </w:r>
            <w:r>
              <w:rPr>
                <w:rFonts w:hint="eastAsia"/>
                <w:b w:val="0"/>
                <w:bCs w:val="0"/>
                <w:u w:val="none"/>
              </w:rPr>
              <w:t>生活用水等。</w:t>
            </w:r>
          </w:p>
          <w:p w14:paraId="0C758E6F">
            <w:pPr>
              <w:pStyle w:val="144"/>
            </w:pPr>
            <w:r>
              <w:rPr>
                <w:rFonts w:hint="eastAsia"/>
              </w:rPr>
              <w:t>排水：项目按照“雨污分流”设计原则，雨水经雨水管网就近排入地表水系，生产废水</w:t>
            </w:r>
            <w:r>
              <w:rPr>
                <w:rFonts w:hint="eastAsia"/>
                <w:lang w:val="en-US" w:eastAsia="zh-CN"/>
              </w:rPr>
              <w:t>经厂区自建污水处理站处理后</w:t>
            </w:r>
            <w:r>
              <w:t>和</w:t>
            </w:r>
            <w:r>
              <w:rPr>
                <w:rFonts w:hint="eastAsia"/>
                <w:lang w:val="en-US" w:eastAsia="zh-CN"/>
              </w:rPr>
              <w:t>经化粪池处理后的</w:t>
            </w:r>
            <w:r>
              <w:rPr>
                <w:rFonts w:hint="eastAsia"/>
              </w:rPr>
              <w:t>生活污水</w:t>
            </w:r>
            <w:r>
              <w:rPr>
                <w:rFonts w:hint="eastAsia"/>
                <w:lang w:val="en-US" w:eastAsia="zh-CN"/>
              </w:rPr>
              <w:t>及制纯水排水一起</w:t>
            </w:r>
            <w:r>
              <w:rPr>
                <w:rFonts w:hint="eastAsia"/>
              </w:rPr>
              <w:t>经污水管网排入</w:t>
            </w:r>
            <w:r>
              <w:rPr>
                <w:rFonts w:hint="eastAsia" w:ascii="Times New Roman" w:hAnsi="Times New Roman" w:eastAsia="Times New Roman" w:cs="Times New Roman"/>
                <w:color w:val="000000" w:themeColor="text1"/>
                <w:kern w:val="0"/>
                <w:szCs w:val="21"/>
                <w:highlight w:val="none"/>
                <w:lang w:eastAsia="zh-CN"/>
                <w14:textFill>
                  <w14:solidFill>
                    <w14:schemeClr w14:val="tx1"/>
                  </w14:solidFill>
                </w14:textFill>
              </w:rPr>
              <w:t>汤阴固现污水处理有限公司</w:t>
            </w:r>
            <w:r>
              <w:rPr>
                <w:rFonts w:hint="eastAsia"/>
              </w:rPr>
              <w:t>进行深度处理。</w:t>
            </w:r>
          </w:p>
          <w:p w14:paraId="5339BBA0">
            <w:pPr>
              <w:pStyle w:val="144"/>
            </w:pPr>
            <w:r>
              <w:rPr>
                <w:rFonts w:hint="eastAsia"/>
              </w:rPr>
              <w:t>（1）</w:t>
            </w:r>
            <w:bookmarkStart w:id="25" w:name="OLE_LINK19"/>
            <w:bookmarkStart w:id="26" w:name="OLE_LINK42"/>
            <w:r>
              <w:rPr>
                <w:rFonts w:hint="eastAsia"/>
              </w:rPr>
              <w:t>生活</w:t>
            </w:r>
            <w:r>
              <w:t>污水</w:t>
            </w:r>
          </w:p>
          <w:bookmarkEnd w:id="25"/>
          <w:bookmarkEnd w:id="26"/>
          <w:p w14:paraId="24F4A4C7">
            <w:pPr>
              <w:pStyle w:val="144"/>
            </w:pPr>
            <w:r>
              <w:t>项目新增劳动定员</w:t>
            </w:r>
            <w:r>
              <w:rPr>
                <w:rFonts w:hint="eastAsia"/>
                <w:lang w:val="en-US" w:eastAsia="zh-CN"/>
              </w:rPr>
              <w:t>10</w:t>
            </w:r>
            <w:r>
              <w:t>人</w:t>
            </w:r>
            <w:r>
              <w:rPr>
                <w:rFonts w:hint="eastAsia"/>
              </w:rPr>
              <w:t>，均不</w:t>
            </w:r>
            <w:r>
              <w:t>在</w:t>
            </w:r>
            <w:r>
              <w:rPr>
                <w:rFonts w:hint="eastAsia"/>
                <w:lang w:val="en-US" w:eastAsia="zh-CN"/>
              </w:rPr>
              <w:t>厂区</w:t>
            </w:r>
            <w:r>
              <w:rPr>
                <w:rFonts w:hint="eastAsia"/>
              </w:rPr>
              <w:t>内</w:t>
            </w:r>
            <w:r>
              <w:t>食宿</w:t>
            </w:r>
            <w:r>
              <w:rPr>
                <w:rFonts w:hint="eastAsia"/>
              </w:rPr>
              <w:t>。</w:t>
            </w:r>
            <w:r>
              <w:rPr>
                <w:b w:val="0"/>
                <w:bCs w:val="0"/>
                <w:u w:val="none"/>
              </w:rPr>
              <w:t>根据</w:t>
            </w:r>
            <w:r>
              <w:rPr>
                <w:sz w:val="24"/>
                <w:szCs w:val="24"/>
                <w:lang w:bidi="ar"/>
              </w:rPr>
              <w:t>河南省地方标准《工业与城镇生活用水定额》（DB41/T385-202</w:t>
            </w:r>
            <w:r>
              <w:rPr>
                <w:rFonts w:hint="eastAsia"/>
                <w:sz w:val="24"/>
                <w:szCs w:val="24"/>
                <w:lang w:val="en-US" w:eastAsia="zh-CN" w:bidi="ar"/>
              </w:rPr>
              <w:t>5</w:t>
            </w:r>
            <w:r>
              <w:rPr>
                <w:sz w:val="24"/>
                <w:szCs w:val="24"/>
                <w:lang w:bidi="ar"/>
              </w:rPr>
              <w:t>）</w:t>
            </w:r>
            <w:r>
              <w:rPr>
                <w:rFonts w:hint="eastAsia"/>
                <w:sz w:val="24"/>
                <w:szCs w:val="24"/>
                <w:lang w:val="en-US" w:eastAsia="zh-CN" w:bidi="ar"/>
              </w:rPr>
              <w:t>及</w:t>
            </w:r>
            <w:r>
              <w:rPr>
                <w:rFonts w:hint="eastAsia"/>
                <w:b w:val="0"/>
                <w:bCs w:val="0"/>
                <w:u w:val="none"/>
              </w:rPr>
              <w:t>《</w:t>
            </w:r>
            <w:r>
              <w:rPr>
                <w:rFonts w:hint="eastAsia"/>
                <w:b w:val="0"/>
                <w:bCs w:val="0"/>
                <w:u w:val="none"/>
                <w:lang w:val="en-US" w:eastAsia="zh-CN"/>
              </w:rPr>
              <w:t>安阳市用水定额</w:t>
            </w:r>
            <w:r>
              <w:rPr>
                <w:rFonts w:hint="eastAsia"/>
                <w:b w:val="0"/>
                <w:bCs w:val="0"/>
                <w:u w:val="none"/>
              </w:rPr>
              <w:t>》</w:t>
            </w:r>
            <w:r>
              <w:rPr>
                <w:rFonts w:hint="eastAsia"/>
                <w:b w:val="0"/>
                <w:bCs w:val="0"/>
                <w:u w:val="none"/>
                <w:lang w:val="en-US" w:eastAsia="zh-CN"/>
              </w:rPr>
              <w:t>办公楼</w:t>
            </w:r>
            <w:r>
              <w:rPr>
                <w:b w:val="0"/>
                <w:bCs w:val="0"/>
                <w:u w:val="none"/>
              </w:rPr>
              <w:t>中</w:t>
            </w:r>
            <w:r>
              <w:rPr>
                <w:rFonts w:hint="eastAsia"/>
                <w:b w:val="0"/>
                <w:bCs w:val="0"/>
                <w:u w:val="none"/>
                <w:lang w:val="en-US" w:eastAsia="zh-CN"/>
              </w:rPr>
              <w:t>“集中上下水、有公共卫生间”</w:t>
            </w:r>
            <w:r>
              <w:rPr>
                <w:rFonts w:hint="eastAsia"/>
                <w:b w:val="0"/>
                <w:bCs w:val="0"/>
                <w:u w:val="none"/>
              </w:rPr>
              <w:t>，人均用水量为60L/人·d</w:t>
            </w:r>
            <w:r>
              <w:rPr>
                <w:rFonts w:hint="eastAsia"/>
                <w:b w:val="0"/>
                <w:bCs w:val="0"/>
                <w:u w:val="none"/>
                <w:lang w:eastAsia="zh-CN"/>
              </w:rPr>
              <w:t>，</w:t>
            </w:r>
            <w:r>
              <w:rPr>
                <w:rFonts w:hint="eastAsia"/>
                <w:b w:val="0"/>
                <w:bCs w:val="0"/>
                <w:u w:val="none"/>
              </w:rPr>
              <w:t>年工作300天，</w:t>
            </w:r>
            <w:r>
              <w:rPr>
                <w:b w:val="0"/>
                <w:bCs w:val="0"/>
                <w:u w:val="none"/>
              </w:rPr>
              <w:t>则员工生活用水量为0.</w:t>
            </w:r>
            <w:r>
              <w:rPr>
                <w:rFonts w:hint="eastAsia"/>
                <w:b w:val="0"/>
                <w:bCs w:val="0"/>
                <w:u w:val="none"/>
                <w:lang w:val="en-US" w:eastAsia="zh-CN"/>
              </w:rPr>
              <w:t>6</w:t>
            </w:r>
            <w:r>
              <w:rPr>
                <w:rFonts w:hint="eastAsia"/>
                <w:b w:val="0"/>
                <w:bCs w:val="0"/>
                <w:u w:val="none"/>
              </w:rPr>
              <w:t>t/d、</w:t>
            </w:r>
            <w:r>
              <w:rPr>
                <w:rFonts w:hint="eastAsia"/>
                <w:b w:val="0"/>
                <w:bCs w:val="0"/>
                <w:u w:val="none"/>
                <w:lang w:val="en-US" w:eastAsia="zh-CN"/>
              </w:rPr>
              <w:t>180</w:t>
            </w:r>
            <w:r>
              <w:rPr>
                <w:rFonts w:hint="eastAsia"/>
                <w:b w:val="0"/>
                <w:bCs w:val="0"/>
                <w:u w:val="none"/>
              </w:rPr>
              <w:t>t/a。</w:t>
            </w:r>
            <w:r>
              <w:rPr>
                <w:rFonts w:hint="eastAsia"/>
              </w:rPr>
              <w:t>生活污水产污系数取值0.8，则职工生活污水产生量为</w:t>
            </w:r>
            <w:r>
              <w:t>0.</w:t>
            </w:r>
            <w:r>
              <w:rPr>
                <w:rFonts w:hint="eastAsia"/>
                <w:lang w:val="en-US" w:eastAsia="zh-CN"/>
              </w:rPr>
              <w:t>48</w:t>
            </w:r>
            <w:r>
              <w:rPr>
                <w:rFonts w:hint="eastAsia"/>
              </w:rPr>
              <w:t>t/d、</w:t>
            </w:r>
            <w:r>
              <w:rPr>
                <w:rFonts w:hint="eastAsia"/>
                <w:lang w:val="en-US" w:eastAsia="zh-CN"/>
              </w:rPr>
              <w:t>144</w:t>
            </w:r>
            <w:r>
              <w:rPr>
                <w:rFonts w:hint="eastAsia"/>
              </w:rPr>
              <w:t>t/a。</w:t>
            </w:r>
            <w:r>
              <w:rPr>
                <w:rFonts w:hint="eastAsia"/>
                <w:lang w:val="en-US" w:eastAsia="zh-CN"/>
              </w:rPr>
              <w:t>生活污水水质参考《生活源产排污系数及使用说明》中的生活源水污染物产污系数及使用说明，城镇生活污水中污染物浓度一般为</w:t>
            </w:r>
            <w:r>
              <w:t>COD</w:t>
            </w:r>
            <w:r>
              <w:rPr>
                <w:rFonts w:hint="eastAsia"/>
              </w:rPr>
              <w:t xml:space="preserve"> 3</w:t>
            </w:r>
            <w:r>
              <w:rPr>
                <w:rFonts w:hint="eastAsia"/>
                <w:lang w:val="en-US" w:eastAsia="zh-CN"/>
              </w:rPr>
              <w:t>5</w:t>
            </w:r>
            <w:r>
              <w:t>0mg/L</w:t>
            </w:r>
            <w:r>
              <w:rPr>
                <w:rFonts w:hint="eastAsia"/>
                <w:lang w:eastAsia="zh-CN"/>
              </w:rPr>
              <w:t>、</w:t>
            </w:r>
            <w:r>
              <w:t>氨氮</w:t>
            </w:r>
            <w:r>
              <w:rPr>
                <w:rFonts w:hint="eastAsia"/>
                <w:lang w:val="en-US" w:eastAsia="zh-CN"/>
              </w:rPr>
              <w:t>25</w:t>
            </w:r>
            <w:r>
              <w:rPr>
                <w:rFonts w:hint="eastAsia"/>
              </w:rPr>
              <w:t>mg/L</w:t>
            </w:r>
            <w:r>
              <w:rPr>
                <w:rFonts w:hint="eastAsia"/>
                <w:lang w:eastAsia="zh-CN"/>
              </w:rPr>
              <w:t>、</w:t>
            </w:r>
            <w:r>
              <w:t>SS 2</w:t>
            </w:r>
            <w:r>
              <w:rPr>
                <w:rFonts w:hint="eastAsia"/>
                <w:lang w:val="en-US" w:eastAsia="zh-CN"/>
              </w:rPr>
              <w:t>0</w:t>
            </w:r>
            <w:r>
              <w:t>0mg/L</w:t>
            </w:r>
            <w:r>
              <w:rPr>
                <w:rFonts w:hint="eastAsia"/>
                <w:lang w:eastAsia="zh-CN"/>
              </w:rPr>
              <w:t>、</w:t>
            </w:r>
            <w:r>
              <w:t>BOD</w:t>
            </w:r>
            <w:r>
              <w:rPr>
                <w:vertAlign w:val="subscript"/>
              </w:rPr>
              <w:t>5</w:t>
            </w:r>
            <w:r>
              <w:t xml:space="preserve"> </w:t>
            </w:r>
            <w:r>
              <w:rPr>
                <w:rFonts w:hint="eastAsia"/>
                <w:lang w:val="en-US" w:eastAsia="zh-CN"/>
              </w:rPr>
              <w:t>17</w:t>
            </w:r>
            <w:r>
              <w:t>0mg/L</w:t>
            </w:r>
            <w:r>
              <w:rPr>
                <w:rFonts w:hint="eastAsia"/>
                <w:lang w:eastAsia="zh-CN"/>
              </w:rPr>
              <w:t>、</w:t>
            </w:r>
            <w:r>
              <w:rPr>
                <w:rFonts w:hint="eastAsia"/>
                <w:lang w:val="en-US" w:eastAsia="zh-CN"/>
              </w:rPr>
              <w:t>总磷6mg/L</w:t>
            </w:r>
            <w:r>
              <w:t>。</w:t>
            </w:r>
          </w:p>
          <w:p w14:paraId="03C2E21B">
            <w:pPr>
              <w:pStyle w:val="144"/>
            </w:pPr>
            <w:r>
              <w:rPr>
                <w:rFonts w:hint="eastAsia"/>
              </w:rPr>
              <w:t>（2）生产</w:t>
            </w:r>
            <w:r>
              <w:t>废水</w:t>
            </w:r>
          </w:p>
          <w:p w14:paraId="65EFA5A5">
            <w:pPr>
              <w:pStyle w:val="144"/>
              <w:rPr>
                <w:rFonts w:hint="default" w:ascii="宋体" w:hAnsi="宋体" w:cs="宋体"/>
                <w:lang w:val="en-US" w:eastAsia="zh-CN"/>
              </w:rPr>
            </w:pPr>
            <w:r>
              <w:rPr>
                <w:rFonts w:hint="eastAsia" w:ascii="宋体" w:hAnsi="宋体" w:cs="宋体"/>
              </w:rPr>
              <w:t>①</w:t>
            </w:r>
            <w:r>
              <w:rPr>
                <w:rFonts w:hint="eastAsia" w:ascii="宋体" w:hAnsi="宋体" w:cs="宋体"/>
                <w:lang w:val="en-US" w:eastAsia="zh-CN"/>
              </w:rPr>
              <w:t>大豆清洗废水：本项目外购大豆需人工筛选后清洗浸泡一下，</w:t>
            </w:r>
            <w:r>
              <w:rPr>
                <w:rFonts w:hint="default" w:ascii="Times New Roman" w:hAnsi="Times New Roman" w:eastAsia="宋体" w:cs="Times New Roman"/>
                <w:b w:val="0"/>
                <w:bCs/>
                <w:color w:val="auto"/>
                <w:kern w:val="2"/>
                <w:sz w:val="24"/>
                <w:szCs w:val="24"/>
                <w:lang w:val="en-US" w:eastAsia="zh-CN" w:bidi="ar"/>
              </w:rPr>
              <w:t>大豆清洗</w:t>
            </w:r>
            <w:r>
              <w:rPr>
                <w:rFonts w:hint="eastAsia" w:cs="Times New Roman"/>
                <w:b w:val="0"/>
                <w:bCs/>
                <w:color w:val="auto"/>
                <w:kern w:val="2"/>
                <w:sz w:val="24"/>
                <w:szCs w:val="24"/>
                <w:lang w:val="en-US" w:eastAsia="zh-CN" w:bidi="ar"/>
              </w:rPr>
              <w:t>浸泡</w:t>
            </w:r>
            <w:r>
              <w:rPr>
                <w:rFonts w:hint="default" w:ascii="Times New Roman" w:hAnsi="Times New Roman" w:eastAsia="宋体" w:cs="Times New Roman"/>
                <w:b w:val="0"/>
                <w:bCs/>
                <w:color w:val="auto"/>
                <w:kern w:val="2"/>
                <w:sz w:val="24"/>
                <w:szCs w:val="24"/>
                <w:lang w:val="en-US" w:eastAsia="zh-CN" w:bidi="ar"/>
              </w:rPr>
              <w:t>用水与大豆添加量为1:1</w:t>
            </w:r>
            <w:r>
              <w:rPr>
                <w:rFonts w:hint="eastAsia" w:cs="Times New Roman"/>
                <w:b w:val="0"/>
                <w:bCs/>
                <w:color w:val="auto"/>
                <w:kern w:val="2"/>
                <w:sz w:val="24"/>
                <w:szCs w:val="24"/>
                <w:lang w:val="en-US" w:eastAsia="zh-CN" w:bidi="ar"/>
              </w:rPr>
              <w:t>.8</w:t>
            </w:r>
            <w:r>
              <w:rPr>
                <w:rFonts w:hint="eastAsia" w:ascii="Times New Roman" w:hAnsi="Times New Roman" w:eastAsia="宋体" w:cs="Times New Roman"/>
                <w:b w:val="0"/>
                <w:bCs/>
                <w:color w:val="auto"/>
                <w:kern w:val="2"/>
                <w:sz w:val="24"/>
                <w:szCs w:val="24"/>
                <w:lang w:val="en-US" w:eastAsia="zh-CN" w:bidi="ar"/>
              </w:rPr>
              <w:t>，</w:t>
            </w:r>
            <w:r>
              <w:rPr>
                <w:rFonts w:hint="eastAsia" w:cs="Times New Roman"/>
                <w:b w:val="0"/>
                <w:bCs/>
                <w:color w:val="auto"/>
                <w:kern w:val="2"/>
                <w:sz w:val="24"/>
                <w:szCs w:val="24"/>
                <w:lang w:val="en-US" w:eastAsia="zh-CN" w:bidi="ar"/>
              </w:rPr>
              <w:t>，有40%水被大豆吸走。</w:t>
            </w:r>
            <w:r>
              <w:rPr>
                <w:rFonts w:hint="eastAsia" w:ascii="Times New Roman" w:hAnsi="Times New Roman" w:eastAsia="宋体" w:cs="Times New Roman"/>
                <w:b w:val="0"/>
                <w:bCs/>
                <w:color w:val="auto"/>
                <w:kern w:val="2"/>
                <w:sz w:val="24"/>
                <w:szCs w:val="24"/>
                <w:lang w:val="en-US" w:eastAsia="zh-CN" w:bidi="ar"/>
              </w:rPr>
              <w:t>本项目大豆用量为312t，则清洗</w:t>
            </w:r>
            <w:r>
              <w:rPr>
                <w:rFonts w:hint="eastAsia" w:cs="Times New Roman"/>
                <w:b w:val="0"/>
                <w:bCs/>
                <w:color w:val="auto"/>
                <w:kern w:val="2"/>
                <w:sz w:val="24"/>
                <w:szCs w:val="24"/>
                <w:lang w:val="en-US" w:eastAsia="zh-CN" w:bidi="ar"/>
              </w:rPr>
              <w:t>浸泡</w:t>
            </w:r>
            <w:r>
              <w:rPr>
                <w:rFonts w:hint="eastAsia" w:ascii="Times New Roman" w:hAnsi="Times New Roman" w:eastAsia="宋体" w:cs="Times New Roman"/>
                <w:b w:val="0"/>
                <w:bCs/>
                <w:color w:val="auto"/>
                <w:kern w:val="2"/>
                <w:sz w:val="24"/>
                <w:szCs w:val="24"/>
                <w:lang w:val="en-US" w:eastAsia="zh-CN" w:bidi="ar"/>
              </w:rPr>
              <w:t>用水为</w:t>
            </w:r>
            <w:r>
              <w:rPr>
                <w:rFonts w:hint="eastAsia" w:cs="Times New Roman"/>
                <w:b w:val="0"/>
                <w:bCs/>
                <w:color w:val="auto"/>
                <w:kern w:val="2"/>
                <w:sz w:val="24"/>
                <w:szCs w:val="24"/>
                <w:lang w:val="en-US" w:eastAsia="zh-CN" w:bidi="ar"/>
              </w:rPr>
              <w:t>561.6</w:t>
            </w:r>
            <w:r>
              <w:rPr>
                <w:rFonts w:hint="eastAsia" w:ascii="Times New Roman" w:hAnsi="Times New Roman" w:eastAsia="宋体" w:cs="Times New Roman"/>
                <w:b w:val="0"/>
                <w:bCs/>
                <w:color w:val="auto"/>
                <w:kern w:val="2"/>
                <w:sz w:val="24"/>
                <w:szCs w:val="24"/>
                <w:lang w:val="en-US" w:eastAsia="zh-CN" w:bidi="ar"/>
              </w:rPr>
              <w:t>t，</w:t>
            </w:r>
            <w:r>
              <w:rPr>
                <w:rFonts w:hint="default" w:ascii="Times New Roman" w:hAnsi="Times New Roman" w:eastAsia="宋体" w:cs="Times New Roman"/>
                <w:b w:val="0"/>
                <w:bCs/>
                <w:color w:val="auto"/>
                <w:kern w:val="2"/>
                <w:sz w:val="24"/>
                <w:szCs w:val="24"/>
                <w:lang w:val="en-US" w:eastAsia="zh-CN" w:bidi="ar"/>
              </w:rPr>
              <w:t>污水产生系数取</w:t>
            </w:r>
            <w:r>
              <w:rPr>
                <w:rFonts w:hint="eastAsia" w:cs="Times New Roman"/>
                <w:b w:val="0"/>
                <w:bCs/>
                <w:color w:val="auto"/>
                <w:kern w:val="2"/>
                <w:sz w:val="24"/>
                <w:szCs w:val="24"/>
                <w:lang w:val="en-US" w:eastAsia="zh-CN" w:bidi="ar"/>
              </w:rPr>
              <w:t>6</w:t>
            </w:r>
            <w:r>
              <w:rPr>
                <w:rFonts w:hint="default" w:ascii="Times New Roman" w:hAnsi="Times New Roman" w:eastAsia="宋体" w:cs="Times New Roman"/>
                <w:b w:val="0"/>
                <w:bCs/>
                <w:color w:val="auto"/>
                <w:kern w:val="2"/>
                <w:sz w:val="24"/>
                <w:szCs w:val="24"/>
                <w:lang w:val="en-US" w:eastAsia="zh-CN" w:bidi="ar"/>
              </w:rPr>
              <w:t>0％，则清洗废水产生量为</w:t>
            </w:r>
            <w:r>
              <w:rPr>
                <w:rFonts w:hint="eastAsia" w:cs="Times New Roman"/>
                <w:b w:val="0"/>
                <w:bCs/>
                <w:color w:val="auto"/>
                <w:kern w:val="2"/>
                <w:sz w:val="24"/>
                <w:szCs w:val="24"/>
                <w:lang w:val="en-US" w:eastAsia="zh-CN" w:bidi="ar"/>
              </w:rPr>
              <w:t>336.96</w:t>
            </w:r>
            <w:r>
              <w:rPr>
                <w:rFonts w:hint="default" w:ascii="Times New Roman" w:hAnsi="Times New Roman" w:eastAsia="宋体" w:cs="Times New Roman"/>
                <w:b w:val="0"/>
                <w:bCs/>
                <w:color w:val="auto"/>
                <w:kern w:val="2"/>
                <w:sz w:val="24"/>
                <w:szCs w:val="24"/>
                <w:lang w:val="en-US" w:eastAsia="zh-CN" w:bidi="ar"/>
              </w:rPr>
              <w:t>m</w:t>
            </w:r>
            <w:r>
              <w:rPr>
                <w:rFonts w:hint="default" w:ascii="Times New Roman" w:hAnsi="Times New Roman" w:eastAsia="宋体" w:cs="Times New Roman"/>
                <w:b w:val="0"/>
                <w:bCs/>
                <w:color w:val="auto"/>
                <w:kern w:val="2"/>
                <w:sz w:val="24"/>
                <w:szCs w:val="24"/>
                <w:vertAlign w:val="superscript"/>
                <w:lang w:val="en-US" w:eastAsia="zh-CN" w:bidi="ar"/>
              </w:rPr>
              <w:t>3</w:t>
            </w:r>
            <w:r>
              <w:rPr>
                <w:rFonts w:hint="default" w:ascii="Times New Roman" w:hAnsi="Times New Roman" w:eastAsia="宋体" w:cs="Times New Roman"/>
                <w:b w:val="0"/>
                <w:bCs/>
                <w:color w:val="auto"/>
                <w:kern w:val="2"/>
                <w:sz w:val="24"/>
                <w:szCs w:val="24"/>
                <w:lang w:val="en-US" w:eastAsia="zh-CN" w:bidi="ar"/>
              </w:rPr>
              <w:t>/a（</w:t>
            </w:r>
            <w:r>
              <w:rPr>
                <w:rFonts w:hint="eastAsia" w:cs="Times New Roman"/>
                <w:b w:val="0"/>
                <w:bCs/>
                <w:color w:val="auto"/>
                <w:kern w:val="2"/>
                <w:sz w:val="24"/>
                <w:szCs w:val="24"/>
                <w:lang w:val="en-US" w:eastAsia="zh-CN" w:bidi="ar"/>
              </w:rPr>
              <w:t>1.12</w:t>
            </w:r>
            <w:r>
              <w:rPr>
                <w:rFonts w:hint="default" w:ascii="Times New Roman" w:hAnsi="Times New Roman" w:eastAsia="宋体" w:cs="Times New Roman"/>
                <w:b w:val="0"/>
                <w:bCs/>
                <w:color w:val="auto"/>
                <w:kern w:val="2"/>
                <w:sz w:val="24"/>
                <w:szCs w:val="24"/>
                <w:lang w:val="en-US" w:eastAsia="zh-CN" w:bidi="ar"/>
              </w:rPr>
              <w:t>m</w:t>
            </w:r>
            <w:r>
              <w:rPr>
                <w:rFonts w:hint="default" w:ascii="Times New Roman" w:hAnsi="Times New Roman" w:eastAsia="宋体" w:cs="Times New Roman"/>
                <w:b w:val="0"/>
                <w:bCs/>
                <w:color w:val="auto"/>
                <w:kern w:val="2"/>
                <w:sz w:val="24"/>
                <w:szCs w:val="24"/>
                <w:vertAlign w:val="superscript"/>
                <w:lang w:val="en-US" w:eastAsia="zh-CN" w:bidi="ar"/>
              </w:rPr>
              <w:t>3</w:t>
            </w:r>
            <w:r>
              <w:rPr>
                <w:rFonts w:hint="default" w:ascii="Times New Roman" w:hAnsi="Times New Roman" w:eastAsia="宋体" w:cs="Times New Roman"/>
                <w:b w:val="0"/>
                <w:bCs/>
                <w:color w:val="auto"/>
                <w:kern w:val="2"/>
                <w:sz w:val="24"/>
                <w:szCs w:val="24"/>
                <w:lang w:val="en-US" w:eastAsia="zh-CN" w:bidi="ar"/>
              </w:rPr>
              <w:t>/d）</w:t>
            </w:r>
            <w:r>
              <w:rPr>
                <w:rFonts w:hint="eastAsia" w:ascii="Times New Roman" w:hAnsi="Times New Roman" w:eastAsia="宋体" w:cs="Times New Roman"/>
                <w:b w:val="0"/>
                <w:bCs/>
                <w:color w:val="auto"/>
                <w:kern w:val="2"/>
                <w:sz w:val="24"/>
                <w:szCs w:val="24"/>
                <w:lang w:val="en-US" w:eastAsia="zh-CN" w:bidi="ar"/>
              </w:rPr>
              <w:t>。</w:t>
            </w:r>
          </w:p>
          <w:p w14:paraId="689A5B3F">
            <w:pPr>
              <w:pStyle w:val="144"/>
              <w:rPr>
                <w:rFonts w:hint="default" w:ascii="宋体" w:hAnsi="宋体" w:cs="宋体"/>
                <w:lang w:val="en-US" w:eastAsia="zh-CN"/>
              </w:rPr>
            </w:pPr>
            <w:r>
              <w:rPr>
                <w:rFonts w:hint="eastAsia" w:ascii="宋体" w:hAnsi="宋体" w:cs="宋体"/>
                <w:sz w:val="24"/>
              </w:rPr>
              <w:t>②</w:t>
            </w:r>
            <w:r>
              <w:rPr>
                <w:rFonts w:hint="eastAsia" w:ascii="宋体" w:hAnsi="宋体" w:cs="宋体"/>
                <w:lang w:val="en-US" w:eastAsia="zh-CN"/>
              </w:rPr>
              <w:t>煮豆废水：本项目大豆炒制前需煮熟，煮锅内的水一天一换，根据建设单位提供的资料，煮锅每天可产生</w:t>
            </w:r>
            <w:r>
              <w:rPr>
                <w:rFonts w:hint="default" w:ascii="Times New Roman" w:hAnsi="Times New Roman" w:cs="Times New Roman"/>
                <w:lang w:val="en-US" w:eastAsia="zh-CN"/>
              </w:rPr>
              <w:t>0.1t废水，合30t/a。</w:t>
            </w:r>
          </w:p>
          <w:p w14:paraId="560729BA">
            <w:pPr>
              <w:pStyle w:val="144"/>
            </w:pPr>
            <w:r>
              <w:rPr>
                <w:rFonts w:hint="default" w:ascii="Calibri" w:hAnsi="Calibri" w:cs="Calibri"/>
              </w:rPr>
              <w:t>③</w:t>
            </w:r>
            <w:r>
              <w:rPr>
                <w:rFonts w:hint="eastAsia"/>
              </w:rPr>
              <w:t>设备清洗废水：为保证产品质量和卫生安全，项目每天对生产过程中使用到的</w:t>
            </w:r>
            <w:r>
              <w:t>生产设备</w:t>
            </w:r>
            <w:r>
              <w:rPr>
                <w:rFonts w:hint="eastAsia"/>
              </w:rPr>
              <w:t>等工具设备进行清洗，清洗频次为1次/天，清洗方式为人工进行冲洗。根据建设方提供经验数据</w:t>
            </w:r>
            <w:r>
              <w:t>，项目设备清洗水的用量为</w:t>
            </w:r>
            <w:r>
              <w:rPr>
                <w:rFonts w:hint="eastAsia"/>
              </w:rPr>
              <w:t>2</w:t>
            </w:r>
            <w:r>
              <w:t>m</w:t>
            </w:r>
            <w:r>
              <w:rPr>
                <w:vertAlign w:val="superscript"/>
              </w:rPr>
              <w:t>3</w:t>
            </w:r>
            <w:r>
              <w:t>/d（</w:t>
            </w:r>
            <w:r>
              <w:rPr>
                <w:rFonts w:hint="eastAsia"/>
              </w:rPr>
              <w:t>600</w:t>
            </w:r>
            <w:r>
              <w:t>m</w:t>
            </w:r>
            <w:r>
              <w:rPr>
                <w:vertAlign w:val="superscript"/>
              </w:rPr>
              <w:t>3</w:t>
            </w:r>
            <w:r>
              <w:t>/a），</w:t>
            </w:r>
            <w:r>
              <w:rPr>
                <w:rFonts w:hint="eastAsia"/>
              </w:rPr>
              <w:t>产</w:t>
            </w:r>
            <w:r>
              <w:t>污系数按90%计</w:t>
            </w:r>
            <w:r>
              <w:rPr>
                <w:rFonts w:hint="eastAsia"/>
              </w:rPr>
              <w:t>，则</w:t>
            </w:r>
            <w:r>
              <w:t>设备清洗废水产生量</w:t>
            </w:r>
            <w:r>
              <w:rPr>
                <w:rFonts w:hint="eastAsia"/>
              </w:rPr>
              <w:t>约540</w:t>
            </w:r>
            <w:r>
              <w:t>m</w:t>
            </w:r>
            <w:r>
              <w:rPr>
                <w:vertAlign w:val="superscript"/>
              </w:rPr>
              <w:t>3</w:t>
            </w:r>
            <w:r>
              <w:t>/a（</w:t>
            </w:r>
            <w:r>
              <w:rPr>
                <w:rFonts w:hint="eastAsia"/>
              </w:rPr>
              <w:t>1.8</w:t>
            </w:r>
            <w:r>
              <w:t>m</w:t>
            </w:r>
            <w:r>
              <w:rPr>
                <w:vertAlign w:val="superscript"/>
              </w:rPr>
              <w:t>3</w:t>
            </w:r>
            <w:r>
              <w:t>/d）</w:t>
            </w:r>
            <w:r>
              <w:rPr>
                <w:rFonts w:hint="eastAsia"/>
              </w:rPr>
              <w:t>。</w:t>
            </w:r>
          </w:p>
          <w:p w14:paraId="0992A3CA">
            <w:pPr>
              <w:pStyle w:val="144"/>
            </w:pPr>
            <w:r>
              <w:fldChar w:fldCharType="begin"/>
            </w:r>
            <w:r>
              <w:instrText xml:space="preserve"> = 4 \* GB3 \* MERGEFORMAT </w:instrText>
            </w:r>
            <w:r>
              <w:fldChar w:fldCharType="separate"/>
            </w:r>
            <w:r>
              <w:t>④</w:t>
            </w:r>
            <w:r>
              <w:fldChar w:fldCharType="end"/>
            </w:r>
            <w:r>
              <w:t>地面</w:t>
            </w:r>
            <w:r>
              <w:rPr>
                <w:rFonts w:hint="eastAsia"/>
              </w:rPr>
              <w:t>清洗</w:t>
            </w:r>
            <w:r>
              <w:t>废水：本项目为</w:t>
            </w:r>
            <w:r>
              <w:rPr>
                <w:rFonts w:hint="eastAsia"/>
                <w:lang w:val="en-US" w:eastAsia="zh-CN"/>
              </w:rPr>
              <w:t>豆制品</w:t>
            </w:r>
            <w:r>
              <w:t>生产项目，属于食品加工企业，对卫生有明确要求，需对项目生产过程中的车间进行清洁，仅对生产厂房的主要生产区域采用拖布进行清洗，每日清洗一次，根据《建筑物给水排水设计规范》（GB50015-2019）中地面冲洗水用量为2~3L/m</w:t>
            </w:r>
            <w:r>
              <w:rPr>
                <w:vertAlign w:val="superscript"/>
              </w:rPr>
              <w:t>2</w:t>
            </w:r>
            <w:r>
              <w:t>，项目取值为2.5L/m</w:t>
            </w:r>
            <w:r>
              <w:rPr>
                <w:vertAlign w:val="superscript"/>
              </w:rPr>
              <w:t>2</w:t>
            </w:r>
            <w:r>
              <w:t>，项目车间需清洁的主要生产区域约</w:t>
            </w:r>
            <w:r>
              <w:rPr>
                <w:rFonts w:hint="eastAsia"/>
                <w:lang w:val="en-US" w:eastAsia="zh-CN"/>
              </w:rPr>
              <w:t>2</w:t>
            </w:r>
            <w:r>
              <w:t>00m</w:t>
            </w:r>
            <w:r>
              <w:rPr>
                <w:vertAlign w:val="superscript"/>
              </w:rPr>
              <w:t>2</w:t>
            </w:r>
            <w:r>
              <w:t>，则地面清洁用水量为</w:t>
            </w:r>
            <w:r>
              <w:rPr>
                <w:rFonts w:hint="eastAsia"/>
                <w:lang w:val="en-US" w:eastAsia="zh-CN"/>
              </w:rPr>
              <w:t>0.5</w:t>
            </w:r>
            <w:r>
              <w:t>t/d（</w:t>
            </w:r>
            <w:r>
              <w:rPr>
                <w:rFonts w:hint="eastAsia"/>
                <w:lang w:val="en-US" w:eastAsia="zh-CN"/>
              </w:rPr>
              <w:t>150</w:t>
            </w:r>
            <w:r>
              <w:t>t/a），地面清洁废水</w:t>
            </w:r>
            <w:r>
              <w:rPr>
                <w:rFonts w:hint="eastAsia"/>
              </w:rPr>
              <w:t>产</w:t>
            </w:r>
            <w:r>
              <w:t>污系数按80%计，则地面车间清洁污水产生量为0.</w:t>
            </w:r>
            <w:r>
              <w:rPr>
                <w:rFonts w:hint="eastAsia"/>
                <w:lang w:val="en-US" w:eastAsia="zh-CN"/>
              </w:rPr>
              <w:t>4</w:t>
            </w:r>
            <w:r>
              <w:t>t/d（</w:t>
            </w:r>
            <w:r>
              <w:rPr>
                <w:rFonts w:hint="eastAsia"/>
                <w:lang w:val="en-US" w:eastAsia="zh-CN"/>
              </w:rPr>
              <w:t>12</w:t>
            </w:r>
            <w:r>
              <w:t>0t/a）。</w:t>
            </w:r>
          </w:p>
          <w:p w14:paraId="54DCC4E5">
            <w:pPr>
              <w:pStyle w:val="144"/>
              <w:rPr>
                <w:rFonts w:hint="eastAsia"/>
                <w:lang w:val="en-US" w:eastAsia="zh-CN"/>
              </w:rPr>
            </w:pPr>
            <w:r>
              <w:fldChar w:fldCharType="begin"/>
            </w:r>
            <w:r>
              <w:instrText xml:space="preserve"> = 5 \* GB3 \* MERGEFORMAT </w:instrText>
            </w:r>
            <w:r>
              <w:fldChar w:fldCharType="separate"/>
            </w:r>
            <w:r>
              <w:t>⑤</w:t>
            </w:r>
            <w:r>
              <w:fldChar w:fldCharType="end"/>
            </w:r>
            <w:r>
              <w:rPr>
                <w:rFonts w:hint="eastAsia"/>
                <w:lang w:val="en-US" w:eastAsia="zh-CN"/>
              </w:rPr>
              <w:t>洗瓶废水：本项目黄豆酱包装时玻璃瓶需提前里外清洗烘干，玻璃瓶年用量为100万个，根据企业提供的数据，每清洗5000个瓶子需要1吨水，污水排放量按照使用量的80%计算，则废水产生量约为160t/a（0.53t/d）。</w:t>
            </w:r>
          </w:p>
          <w:p w14:paraId="59452A4C">
            <w:pPr>
              <w:pStyle w:val="144"/>
              <w:rPr>
                <w:rFonts w:hint="default" w:ascii="Times New Roman" w:hAnsi="Times New Roman" w:cs="Times New Roman"/>
                <w:lang w:val="en-US" w:eastAsia="zh-CN"/>
              </w:rPr>
            </w:pPr>
            <w:r>
              <w:rPr>
                <w:rFonts w:hint="eastAsia"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 6 \* GB3 \* MERGEFORMAT </w:instrText>
            </w:r>
            <w:r>
              <w:rPr>
                <w:rFonts w:hint="eastAsia" w:ascii="Times New Roman" w:hAnsi="Times New Roman" w:cs="Times New Roman"/>
                <w:lang w:val="en-US" w:eastAsia="zh-CN"/>
              </w:rPr>
              <w:fldChar w:fldCharType="separate"/>
            </w:r>
            <w:r>
              <w:t>⑥</w:t>
            </w:r>
            <w:r>
              <w:rPr>
                <w:rFonts w:hint="eastAsia" w:ascii="Times New Roman" w:hAnsi="Times New Roman" w:cs="Times New Roman"/>
                <w:lang w:val="en-US" w:eastAsia="zh-CN"/>
              </w:rPr>
              <w:fldChar w:fldCharType="end"/>
            </w:r>
            <w:r>
              <w:rPr>
                <w:rFonts w:hint="eastAsia" w:ascii="Times New Roman" w:hAnsi="Times New Roman" w:cs="Times New Roman"/>
                <w:lang w:val="en-US" w:eastAsia="zh-CN"/>
              </w:rPr>
              <w:t>制纯水用水：本项目蒸汽发生炉需将纯水加热到85-95℃注入水浴杀菌机，水浴杀菌机内可容纳</w:t>
            </w:r>
            <w:r>
              <w:rPr>
                <w:rFonts w:hint="eastAsia" w:cs="Times New Roman"/>
                <w:lang w:val="en-US" w:eastAsia="zh-CN"/>
              </w:rPr>
              <w:t>2</w:t>
            </w:r>
            <w:r>
              <w:rPr>
                <w:rFonts w:hint="eastAsia" w:ascii="Times New Roman" w:hAnsi="Times New Roman" w:cs="Times New Roman"/>
                <w:lang w:val="en-US" w:eastAsia="zh-CN"/>
              </w:rPr>
              <w:t>t纯水，该水可循环使用，</w:t>
            </w:r>
            <w:r>
              <w:rPr>
                <w:rFonts w:hint="eastAsia" w:cs="Times New Roman"/>
                <w:lang w:val="en-US" w:eastAsia="zh-CN"/>
              </w:rPr>
              <w:t>一</w:t>
            </w:r>
            <w:r>
              <w:rPr>
                <w:rFonts w:hint="eastAsia" w:ascii="Times New Roman" w:hAnsi="Times New Roman" w:cs="Times New Roman"/>
                <w:lang w:val="en-US" w:eastAsia="zh-CN"/>
              </w:rPr>
              <w:t>天更换一次，则纯水的用量为</w:t>
            </w:r>
            <w:r>
              <w:rPr>
                <w:rFonts w:hint="eastAsia" w:cs="Times New Roman"/>
                <w:lang w:val="en-US" w:eastAsia="zh-CN"/>
              </w:rPr>
              <w:t>2</w:t>
            </w:r>
            <w:r>
              <w:rPr>
                <w:rFonts w:hint="eastAsia" w:ascii="Times New Roman" w:hAnsi="Times New Roman" w:cs="Times New Roman"/>
                <w:lang w:val="en-US" w:eastAsia="zh-CN"/>
              </w:rPr>
              <w:t>t/d，软水制备过程排污水取20%。则本项目软水制备废水产生量为0.</w:t>
            </w:r>
            <w:r>
              <w:rPr>
                <w:rFonts w:hint="eastAsia" w:cs="Times New Roman"/>
                <w:lang w:val="en-US" w:eastAsia="zh-CN"/>
              </w:rPr>
              <w:t>5</w:t>
            </w:r>
            <w:r>
              <w:rPr>
                <w:rFonts w:hint="eastAsia" w:ascii="Times New Roman" w:hAnsi="Times New Roman" w:cs="Times New Roman"/>
                <w:lang w:val="en-US" w:eastAsia="zh-CN"/>
              </w:rPr>
              <w:t>t/d(</w:t>
            </w:r>
            <w:r>
              <w:rPr>
                <w:rFonts w:hint="eastAsia" w:cs="Times New Roman"/>
                <w:lang w:val="en-US" w:eastAsia="zh-CN"/>
              </w:rPr>
              <w:t>150</w:t>
            </w:r>
            <w:r>
              <w:rPr>
                <w:rFonts w:hint="eastAsia" w:ascii="Times New Roman" w:hAnsi="Times New Roman" w:cs="Times New Roman"/>
                <w:lang w:val="en-US" w:eastAsia="zh-CN"/>
              </w:rPr>
              <w:t>t/a)。水浴杀菌机内的纯水</w:t>
            </w:r>
            <w:r>
              <w:rPr>
                <w:rFonts w:hint="eastAsia" w:cs="Times New Roman"/>
                <w:lang w:val="en-US" w:eastAsia="zh-CN"/>
              </w:rPr>
              <w:t>1</w:t>
            </w:r>
            <w:r>
              <w:rPr>
                <w:rFonts w:hint="eastAsia" w:ascii="Times New Roman" w:hAnsi="Times New Roman" w:cs="Times New Roman"/>
                <w:lang w:val="en-US" w:eastAsia="zh-CN"/>
              </w:rPr>
              <w:t>天一换，则排放的废水量为</w:t>
            </w:r>
            <w:r>
              <w:rPr>
                <w:rFonts w:hint="eastAsia" w:cs="Times New Roman"/>
                <w:lang w:val="en-US" w:eastAsia="zh-CN"/>
              </w:rPr>
              <w:t>2</w:t>
            </w:r>
            <w:r>
              <w:rPr>
                <w:rFonts w:hint="eastAsia" w:ascii="Times New Roman" w:hAnsi="Times New Roman" w:cs="Times New Roman"/>
                <w:lang w:val="en-US" w:eastAsia="zh-CN"/>
              </w:rPr>
              <w:t>t/d（</w:t>
            </w:r>
            <w:r>
              <w:rPr>
                <w:rFonts w:hint="eastAsia" w:cs="Times New Roman"/>
                <w:lang w:val="en-US" w:eastAsia="zh-CN"/>
              </w:rPr>
              <w:t>6</w:t>
            </w:r>
            <w:r>
              <w:rPr>
                <w:rFonts w:hint="eastAsia" w:ascii="Times New Roman" w:hAnsi="Times New Roman" w:cs="Times New Roman"/>
                <w:lang w:val="en-US" w:eastAsia="zh-CN"/>
              </w:rPr>
              <w:t>00t/a）。</w:t>
            </w:r>
          </w:p>
          <w:p w14:paraId="5EE38D7F">
            <w:pPr>
              <w:pStyle w:val="261"/>
              <w:ind w:firstLine="240"/>
            </w:pPr>
            <w:r>
              <w:t>7.</w:t>
            </w:r>
            <w:r>
              <w:rPr>
                <w:rFonts w:hint="eastAsia"/>
              </w:rPr>
              <w:t>2</w:t>
            </w:r>
            <w:r>
              <w:t>供电</w:t>
            </w:r>
            <w:r>
              <w:rPr>
                <w:rFonts w:hint="eastAsia"/>
              </w:rPr>
              <w:t>供热</w:t>
            </w:r>
          </w:p>
          <w:p w14:paraId="62E19C8C">
            <w:pPr>
              <w:pStyle w:val="46"/>
              <w:snapToGrid w:val="0"/>
              <w:spacing w:after="0" w:line="360" w:lineRule="auto"/>
              <w:ind w:left="0" w:leftChars="0" w:firstLine="480"/>
              <w:rPr>
                <w:sz w:val="24"/>
              </w:rPr>
            </w:pPr>
            <w:r>
              <w:rPr>
                <w:sz w:val="24"/>
              </w:rPr>
              <w:t>（1）供电</w:t>
            </w:r>
          </w:p>
          <w:p w14:paraId="1FACC506">
            <w:pPr>
              <w:pStyle w:val="144"/>
              <w:rPr>
                <w:lang w:val="zh-CN"/>
              </w:rPr>
            </w:pPr>
            <w:r>
              <w:rPr>
                <w:rFonts w:hint="eastAsia"/>
                <w:lang w:val="zh-CN"/>
              </w:rPr>
              <w:t>本项目</w:t>
            </w:r>
            <w:r>
              <w:rPr>
                <w:rFonts w:hint="eastAsia"/>
              </w:rPr>
              <w:t>依托</w:t>
            </w:r>
            <w:r>
              <w:rPr>
                <w:rFonts w:hint="eastAsia"/>
                <w:lang w:val="en-US" w:eastAsia="zh-CN"/>
              </w:rPr>
              <w:t>古贤镇</w:t>
            </w:r>
            <w:r>
              <w:rPr>
                <w:rFonts w:hint="eastAsia"/>
              </w:rPr>
              <w:t>现有供电设施，可以满足本项目使用</w:t>
            </w:r>
            <w:r>
              <w:rPr>
                <w:rFonts w:hint="eastAsia"/>
                <w:lang w:val="zh-CN"/>
              </w:rPr>
              <w:t>。</w:t>
            </w:r>
          </w:p>
          <w:p w14:paraId="61B87344">
            <w:pPr>
              <w:pStyle w:val="46"/>
              <w:snapToGrid w:val="0"/>
              <w:spacing w:after="0" w:line="360" w:lineRule="auto"/>
              <w:ind w:left="0" w:leftChars="0" w:firstLine="480"/>
              <w:rPr>
                <w:sz w:val="24"/>
              </w:rPr>
            </w:pPr>
            <w:r>
              <w:rPr>
                <w:sz w:val="24"/>
              </w:rPr>
              <w:t>（2）供热</w:t>
            </w:r>
          </w:p>
          <w:p w14:paraId="1BC9ED6E">
            <w:pPr>
              <w:pStyle w:val="46"/>
              <w:keepNext w:val="0"/>
              <w:keepLines w:val="0"/>
              <w:pageBreakBefore w:val="0"/>
              <w:widowControl w:val="0"/>
              <w:kinsoku/>
              <w:wordWrap/>
              <w:overflowPunct/>
              <w:topLinePunct w:val="0"/>
              <w:autoSpaceDE/>
              <w:autoSpaceDN/>
              <w:bidi w:val="0"/>
              <w:adjustRightInd/>
              <w:snapToGrid w:val="0"/>
              <w:spacing w:after="0" w:line="240" w:lineRule="auto"/>
              <w:ind w:left="0" w:leftChars="0" w:firstLine="480"/>
              <w:textAlignment w:val="auto"/>
              <w:rPr>
                <w:sz w:val="24"/>
              </w:rPr>
            </w:pPr>
            <w:r>
              <w:rPr>
                <w:sz w:val="24"/>
              </w:rPr>
              <w:t>项目</w:t>
            </w:r>
            <w:r>
              <w:rPr>
                <w:rFonts w:hint="eastAsia"/>
                <w:sz w:val="24"/>
                <w:lang w:val="en-US" w:eastAsia="zh-CN"/>
              </w:rPr>
              <w:t>能源使用电和天然气</w:t>
            </w:r>
            <w:r>
              <w:rPr>
                <w:rFonts w:hint="eastAsia"/>
                <w:sz w:val="24"/>
              </w:rPr>
              <w:t>。</w:t>
            </w:r>
          </w:p>
          <w:p w14:paraId="40E0DB4C">
            <w:pPr>
              <w:pStyle w:val="259"/>
              <w:spacing w:before="120" w:after="120"/>
            </w:pPr>
            <w:r>
              <w:rPr>
                <w:rFonts w:hint="eastAsia"/>
              </w:rPr>
              <w:t>7、</w:t>
            </w:r>
            <w:r>
              <w:t>水平衡及物料平衡</w:t>
            </w:r>
          </w:p>
          <w:p w14:paraId="06BD388C">
            <w:pPr>
              <w:pStyle w:val="144"/>
              <w:rPr>
                <w:rFonts w:hint="eastAsia"/>
                <w:lang w:val="en-US" w:eastAsia="zh-CN"/>
              </w:rPr>
            </w:pPr>
            <w:r>
              <w:rPr>
                <w:rFonts w:hint="eastAsia"/>
                <w:lang w:eastAsia="zh-CN"/>
              </w:rPr>
              <w:t>（</w:t>
            </w:r>
            <w:r>
              <w:rPr>
                <w:rFonts w:hint="eastAsia"/>
                <w:lang w:val="en-US" w:eastAsia="zh-CN"/>
              </w:rPr>
              <w:t>1</w:t>
            </w:r>
            <w:r>
              <w:rPr>
                <w:rFonts w:hint="eastAsia"/>
                <w:lang w:eastAsia="zh-CN"/>
              </w:rPr>
              <w:t>）</w:t>
            </w:r>
            <w:r>
              <w:rPr>
                <w:rFonts w:hint="eastAsia"/>
                <w:lang w:val="en-US" w:eastAsia="zh-CN"/>
              </w:rPr>
              <w:t>物料平衡</w:t>
            </w:r>
          </w:p>
          <w:p w14:paraId="40914B97">
            <w:pPr>
              <w:pStyle w:val="144"/>
            </w:pPr>
            <w:r>
              <w:rPr>
                <w:rFonts w:hint="eastAsia"/>
              </w:rPr>
              <w:t>本项目</w:t>
            </w:r>
            <w:r>
              <w:t>物料平衡情况如下：</w:t>
            </w:r>
          </w:p>
          <w:p w14:paraId="7CD6BC45">
            <w:pPr>
              <w:pStyle w:val="56"/>
              <w:numPr>
                <w:ilvl w:val="0"/>
                <w:numId w:val="0"/>
              </w:numPr>
              <w:spacing w:before="120"/>
              <w:ind w:firstLine="1767" w:firstLineChars="800"/>
              <w:jc w:val="both"/>
            </w:pPr>
            <w:r>
              <w:rPr>
                <w:rFonts w:hint="eastAsia"/>
                <w:lang w:val="en-US" w:eastAsia="zh-CN"/>
              </w:rPr>
              <w:t>表14     黄豆酱</w:t>
            </w:r>
            <w:r>
              <w:rPr>
                <w:rFonts w:hint="eastAsia"/>
              </w:rPr>
              <w:t>物料</w:t>
            </w:r>
            <w:r>
              <w:t>平衡表</w:t>
            </w:r>
          </w:p>
          <w:tbl>
            <w:tblPr>
              <w:tblStyle w:val="47"/>
              <w:tblW w:w="8423" w:type="dxa"/>
              <w:tblInd w:w="0" w:type="dxa"/>
              <w:tblLayout w:type="autofit"/>
              <w:tblCellMar>
                <w:top w:w="0" w:type="dxa"/>
                <w:left w:w="108" w:type="dxa"/>
                <w:bottom w:w="0" w:type="dxa"/>
                <w:right w:w="108" w:type="dxa"/>
              </w:tblCellMar>
            </w:tblPr>
            <w:tblGrid>
              <w:gridCol w:w="900"/>
              <w:gridCol w:w="1437"/>
              <w:gridCol w:w="1437"/>
              <w:gridCol w:w="1146"/>
              <w:gridCol w:w="2015"/>
              <w:gridCol w:w="1488"/>
            </w:tblGrid>
            <w:tr w14:paraId="1D682E6D">
              <w:tblPrEx>
                <w:tblCellMar>
                  <w:top w:w="0" w:type="dxa"/>
                  <w:left w:w="108" w:type="dxa"/>
                  <w:bottom w:w="0" w:type="dxa"/>
                  <w:right w:w="108" w:type="dxa"/>
                </w:tblCellMar>
              </w:tblPrEx>
              <w:trPr>
                <w:trHeight w:val="340" w:hRule="atLeast"/>
              </w:trPr>
              <w:tc>
                <w:tcPr>
                  <w:tcW w:w="224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D2A0D4C">
                  <w:pPr>
                    <w:pStyle w:val="257"/>
                  </w:pPr>
                  <w:r>
                    <w:rPr>
                      <w:rFonts w:hint="eastAsia"/>
                    </w:rPr>
                    <w:t>入方</w:t>
                  </w:r>
                </w:p>
              </w:tc>
              <w:tc>
                <w:tcPr>
                  <w:tcW w:w="2759" w:type="pct"/>
                  <w:gridSpan w:val="3"/>
                  <w:tcBorders>
                    <w:top w:val="single" w:color="auto" w:sz="4" w:space="0"/>
                    <w:left w:val="nil"/>
                    <w:bottom w:val="single" w:color="auto" w:sz="4" w:space="0"/>
                    <w:right w:val="single" w:color="auto" w:sz="4" w:space="0"/>
                  </w:tcBorders>
                  <w:shd w:val="clear" w:color="auto" w:fill="auto"/>
                  <w:vAlign w:val="center"/>
                </w:tcPr>
                <w:p w14:paraId="61239038">
                  <w:pPr>
                    <w:pStyle w:val="257"/>
                  </w:pPr>
                  <w:r>
                    <w:rPr>
                      <w:rFonts w:hint="eastAsia"/>
                    </w:rPr>
                    <w:t>出方</w:t>
                  </w:r>
                </w:p>
              </w:tc>
            </w:tr>
            <w:tr w14:paraId="44C470A9">
              <w:tblPrEx>
                <w:tblCellMar>
                  <w:top w:w="0" w:type="dxa"/>
                  <w:left w:w="108" w:type="dxa"/>
                  <w:bottom w:w="0" w:type="dxa"/>
                  <w:right w:w="108" w:type="dxa"/>
                </w:tblCellMar>
              </w:tblPrEx>
              <w:trPr>
                <w:trHeight w:val="340" w:hRule="atLeast"/>
              </w:trPr>
              <w:tc>
                <w:tcPr>
                  <w:tcW w:w="534" w:type="pct"/>
                  <w:tcBorders>
                    <w:top w:val="nil"/>
                    <w:left w:val="single" w:color="auto" w:sz="4" w:space="0"/>
                    <w:bottom w:val="single" w:color="auto" w:sz="4" w:space="0"/>
                    <w:right w:val="single" w:color="auto" w:sz="4" w:space="0"/>
                  </w:tcBorders>
                  <w:shd w:val="clear" w:color="auto" w:fill="auto"/>
                  <w:vAlign w:val="center"/>
                </w:tcPr>
                <w:p w14:paraId="6E0D8AC4">
                  <w:pPr>
                    <w:pStyle w:val="257"/>
                  </w:pPr>
                  <w:r>
                    <w:rPr>
                      <w:rFonts w:hint="eastAsia"/>
                    </w:rPr>
                    <w:t>类别</w:t>
                  </w:r>
                </w:p>
              </w:tc>
              <w:tc>
                <w:tcPr>
                  <w:tcW w:w="853" w:type="pct"/>
                  <w:tcBorders>
                    <w:top w:val="nil"/>
                    <w:left w:val="nil"/>
                    <w:bottom w:val="single" w:color="auto" w:sz="4" w:space="0"/>
                    <w:right w:val="single" w:color="auto" w:sz="4" w:space="0"/>
                  </w:tcBorders>
                  <w:shd w:val="clear" w:color="auto" w:fill="auto"/>
                  <w:vAlign w:val="center"/>
                </w:tcPr>
                <w:p w14:paraId="71A55451">
                  <w:pPr>
                    <w:pStyle w:val="257"/>
                  </w:pPr>
                  <w:r>
                    <w:rPr>
                      <w:rFonts w:hint="eastAsia"/>
                    </w:rPr>
                    <w:t>名称</w:t>
                  </w:r>
                </w:p>
              </w:tc>
              <w:tc>
                <w:tcPr>
                  <w:tcW w:w="853" w:type="pct"/>
                  <w:tcBorders>
                    <w:top w:val="nil"/>
                    <w:left w:val="nil"/>
                    <w:bottom w:val="single" w:color="auto" w:sz="4" w:space="0"/>
                    <w:right w:val="single" w:color="auto" w:sz="4" w:space="0"/>
                  </w:tcBorders>
                  <w:shd w:val="clear" w:color="auto" w:fill="auto"/>
                  <w:vAlign w:val="center"/>
                </w:tcPr>
                <w:p w14:paraId="4789AB9B">
                  <w:pPr>
                    <w:pStyle w:val="257"/>
                    <w:rPr>
                      <w:rFonts w:hint="eastAsia" w:eastAsia="宋体"/>
                      <w:lang w:eastAsia="zh-CN"/>
                    </w:rPr>
                  </w:pPr>
                  <w:r>
                    <w:rPr>
                      <w:rFonts w:hint="eastAsia"/>
                    </w:rPr>
                    <w:t>投入量</w:t>
                  </w:r>
                  <w:r>
                    <w:rPr>
                      <w:rFonts w:hint="eastAsia"/>
                      <w:lang w:eastAsia="zh-CN"/>
                    </w:rPr>
                    <w:t>（</w:t>
                  </w:r>
                  <w:r>
                    <w:rPr>
                      <w:rFonts w:hint="eastAsia"/>
                      <w:lang w:val="en-US" w:eastAsia="zh-CN"/>
                    </w:rPr>
                    <w:t>t</w:t>
                  </w:r>
                  <w:r>
                    <w:rPr>
                      <w:rFonts w:hint="eastAsia"/>
                      <w:lang w:eastAsia="zh-CN"/>
                    </w:rPr>
                    <w:t>）</w:t>
                  </w:r>
                </w:p>
              </w:tc>
              <w:tc>
                <w:tcPr>
                  <w:tcW w:w="1876" w:type="pct"/>
                  <w:gridSpan w:val="2"/>
                  <w:tcBorders>
                    <w:top w:val="single" w:color="auto" w:sz="4" w:space="0"/>
                    <w:left w:val="nil"/>
                    <w:bottom w:val="single" w:color="auto" w:sz="4" w:space="0"/>
                    <w:right w:val="single" w:color="auto" w:sz="4" w:space="0"/>
                  </w:tcBorders>
                  <w:shd w:val="clear" w:color="auto" w:fill="auto"/>
                  <w:vAlign w:val="center"/>
                </w:tcPr>
                <w:p w14:paraId="79C222C6">
                  <w:pPr>
                    <w:pStyle w:val="257"/>
                  </w:pPr>
                  <w:r>
                    <w:rPr>
                      <w:rFonts w:hint="eastAsia"/>
                    </w:rPr>
                    <w:t>名称</w:t>
                  </w:r>
                </w:p>
              </w:tc>
              <w:tc>
                <w:tcPr>
                  <w:tcW w:w="882" w:type="pct"/>
                  <w:tcBorders>
                    <w:top w:val="nil"/>
                    <w:left w:val="nil"/>
                    <w:bottom w:val="single" w:color="auto" w:sz="4" w:space="0"/>
                    <w:right w:val="single" w:color="auto" w:sz="4" w:space="0"/>
                  </w:tcBorders>
                  <w:shd w:val="clear" w:color="auto" w:fill="auto"/>
                  <w:vAlign w:val="center"/>
                </w:tcPr>
                <w:p w14:paraId="147AB865">
                  <w:pPr>
                    <w:pStyle w:val="257"/>
                    <w:rPr>
                      <w:rFonts w:hint="eastAsia" w:eastAsia="宋体"/>
                      <w:lang w:eastAsia="zh-CN"/>
                    </w:rPr>
                  </w:pPr>
                  <w:r>
                    <w:rPr>
                      <w:rFonts w:hint="eastAsia"/>
                    </w:rPr>
                    <w:t>产生量</w:t>
                  </w:r>
                  <w:r>
                    <w:rPr>
                      <w:rFonts w:hint="eastAsia"/>
                      <w:lang w:eastAsia="zh-CN"/>
                    </w:rPr>
                    <w:t>（</w:t>
                  </w:r>
                  <w:r>
                    <w:rPr>
                      <w:rFonts w:hint="eastAsia"/>
                      <w:lang w:val="en-US" w:eastAsia="zh-CN"/>
                    </w:rPr>
                    <w:t>t</w:t>
                  </w:r>
                  <w:r>
                    <w:rPr>
                      <w:rFonts w:hint="eastAsia"/>
                      <w:lang w:eastAsia="zh-CN"/>
                    </w:rPr>
                    <w:t>）</w:t>
                  </w:r>
                </w:p>
              </w:tc>
            </w:tr>
            <w:tr w14:paraId="4BFEB217">
              <w:tblPrEx>
                <w:tblCellMar>
                  <w:top w:w="0" w:type="dxa"/>
                  <w:left w:w="108" w:type="dxa"/>
                  <w:bottom w:w="0" w:type="dxa"/>
                  <w:right w:w="108" w:type="dxa"/>
                </w:tblCellMar>
              </w:tblPrEx>
              <w:trPr>
                <w:trHeight w:val="340" w:hRule="atLeast"/>
              </w:trPr>
              <w:tc>
                <w:tcPr>
                  <w:tcW w:w="534" w:type="pct"/>
                  <w:vMerge w:val="restart"/>
                  <w:tcBorders>
                    <w:top w:val="nil"/>
                    <w:left w:val="single" w:color="auto" w:sz="4" w:space="0"/>
                    <w:right w:val="single" w:color="auto" w:sz="4" w:space="0"/>
                  </w:tcBorders>
                  <w:shd w:val="clear" w:color="auto" w:fill="auto"/>
                  <w:vAlign w:val="center"/>
                </w:tcPr>
                <w:p w14:paraId="12487CF5">
                  <w:pPr>
                    <w:pStyle w:val="257"/>
                  </w:pPr>
                  <w:r>
                    <w:rPr>
                      <w:rFonts w:hint="eastAsia"/>
                    </w:rPr>
                    <w:t>原料购入</w:t>
                  </w:r>
                </w:p>
              </w:tc>
              <w:tc>
                <w:tcPr>
                  <w:tcW w:w="853" w:type="pct"/>
                  <w:tcBorders>
                    <w:top w:val="nil"/>
                    <w:left w:val="nil"/>
                    <w:bottom w:val="single" w:color="auto" w:sz="4" w:space="0"/>
                    <w:right w:val="single" w:color="auto" w:sz="4" w:space="0"/>
                  </w:tcBorders>
                  <w:shd w:val="clear" w:color="auto" w:fill="auto"/>
                  <w:vAlign w:val="center"/>
                </w:tcPr>
                <w:p w14:paraId="7F21BE17">
                  <w:pPr>
                    <w:pStyle w:val="257"/>
                    <w:rPr>
                      <w:rFonts w:hint="eastAsia" w:eastAsia="宋体"/>
                      <w:lang w:eastAsia="zh-CN"/>
                    </w:rPr>
                  </w:pPr>
                  <w:r>
                    <w:rPr>
                      <w:rFonts w:hint="eastAsia"/>
                      <w:lang w:val="en-US" w:eastAsia="zh-CN"/>
                    </w:rPr>
                    <w:t>大豆</w:t>
                  </w:r>
                </w:p>
              </w:tc>
              <w:tc>
                <w:tcPr>
                  <w:tcW w:w="853" w:type="pct"/>
                  <w:tcBorders>
                    <w:top w:val="nil"/>
                    <w:left w:val="nil"/>
                    <w:bottom w:val="single" w:color="auto" w:sz="4" w:space="0"/>
                    <w:right w:val="single" w:color="auto" w:sz="4" w:space="0"/>
                  </w:tcBorders>
                  <w:shd w:val="clear" w:color="auto" w:fill="auto"/>
                  <w:vAlign w:val="center"/>
                </w:tcPr>
                <w:p w14:paraId="7652C364">
                  <w:pPr>
                    <w:pStyle w:val="257"/>
                    <w:rPr>
                      <w:rFonts w:hint="default" w:eastAsia="宋体"/>
                      <w:lang w:val="en-US" w:eastAsia="zh-CN"/>
                    </w:rPr>
                  </w:pPr>
                  <w:r>
                    <w:rPr>
                      <w:rFonts w:hint="eastAsia"/>
                      <w:lang w:val="en-US" w:eastAsia="zh-CN"/>
                    </w:rPr>
                    <w:t>312</w:t>
                  </w:r>
                </w:p>
              </w:tc>
              <w:tc>
                <w:tcPr>
                  <w:tcW w:w="680" w:type="pct"/>
                  <w:tcBorders>
                    <w:top w:val="nil"/>
                    <w:left w:val="nil"/>
                    <w:bottom w:val="single" w:color="auto" w:sz="4" w:space="0"/>
                    <w:right w:val="single" w:color="auto" w:sz="4" w:space="0"/>
                  </w:tcBorders>
                  <w:shd w:val="clear" w:color="auto" w:fill="auto"/>
                  <w:vAlign w:val="center"/>
                </w:tcPr>
                <w:p w14:paraId="6E6CF157">
                  <w:pPr>
                    <w:pStyle w:val="257"/>
                  </w:pPr>
                  <w:r>
                    <w:rPr>
                      <w:rFonts w:hint="eastAsia"/>
                    </w:rPr>
                    <w:t>产品</w:t>
                  </w:r>
                </w:p>
              </w:tc>
              <w:tc>
                <w:tcPr>
                  <w:tcW w:w="1195" w:type="pct"/>
                  <w:tcBorders>
                    <w:top w:val="nil"/>
                    <w:left w:val="nil"/>
                    <w:bottom w:val="single" w:color="auto" w:sz="4" w:space="0"/>
                    <w:right w:val="single" w:color="auto" w:sz="4" w:space="0"/>
                  </w:tcBorders>
                  <w:shd w:val="clear" w:color="auto" w:fill="auto"/>
                  <w:vAlign w:val="center"/>
                </w:tcPr>
                <w:p w14:paraId="39EFF002">
                  <w:pPr>
                    <w:pStyle w:val="257"/>
                    <w:rPr>
                      <w:rFonts w:hint="default" w:eastAsia="宋体"/>
                      <w:lang w:val="en-US" w:eastAsia="zh-CN"/>
                    </w:rPr>
                  </w:pPr>
                  <w:r>
                    <w:rPr>
                      <w:rFonts w:hint="eastAsia"/>
                      <w:lang w:val="en-US" w:eastAsia="zh-CN"/>
                    </w:rPr>
                    <w:t>黄豆酱</w:t>
                  </w:r>
                </w:p>
              </w:tc>
              <w:tc>
                <w:tcPr>
                  <w:tcW w:w="882" w:type="pct"/>
                  <w:tcBorders>
                    <w:top w:val="nil"/>
                    <w:left w:val="nil"/>
                    <w:bottom w:val="single" w:color="auto" w:sz="4" w:space="0"/>
                    <w:right w:val="single" w:color="auto" w:sz="4" w:space="0"/>
                  </w:tcBorders>
                  <w:shd w:val="clear" w:color="auto" w:fill="auto"/>
                  <w:vAlign w:val="center"/>
                </w:tcPr>
                <w:p w14:paraId="698B968B">
                  <w:pPr>
                    <w:pStyle w:val="257"/>
                    <w:rPr>
                      <w:rFonts w:hint="default" w:eastAsia="宋体"/>
                      <w:lang w:val="en-US" w:eastAsia="zh-CN"/>
                    </w:rPr>
                  </w:pPr>
                  <w:r>
                    <w:rPr>
                      <w:rFonts w:hint="eastAsia"/>
                      <w:lang w:val="en-US" w:eastAsia="zh-CN"/>
                    </w:rPr>
                    <w:t>480</w:t>
                  </w:r>
                </w:p>
              </w:tc>
            </w:tr>
            <w:tr w14:paraId="717C83B9">
              <w:tblPrEx>
                <w:tblCellMar>
                  <w:top w:w="0" w:type="dxa"/>
                  <w:left w:w="108" w:type="dxa"/>
                  <w:bottom w:w="0" w:type="dxa"/>
                  <w:right w:w="108" w:type="dxa"/>
                </w:tblCellMar>
              </w:tblPrEx>
              <w:trPr>
                <w:trHeight w:val="340" w:hRule="atLeast"/>
              </w:trPr>
              <w:tc>
                <w:tcPr>
                  <w:tcW w:w="534" w:type="pct"/>
                  <w:vMerge w:val="continue"/>
                  <w:tcBorders>
                    <w:left w:val="single" w:color="auto" w:sz="4" w:space="0"/>
                    <w:right w:val="single" w:color="auto" w:sz="4" w:space="0"/>
                  </w:tcBorders>
                  <w:vAlign w:val="center"/>
                </w:tcPr>
                <w:p w14:paraId="1E7569C6">
                  <w:pPr>
                    <w:pStyle w:val="257"/>
                  </w:pPr>
                </w:p>
              </w:tc>
              <w:tc>
                <w:tcPr>
                  <w:tcW w:w="853" w:type="pct"/>
                  <w:tcBorders>
                    <w:top w:val="nil"/>
                    <w:left w:val="nil"/>
                    <w:bottom w:val="single" w:color="auto" w:sz="4" w:space="0"/>
                    <w:right w:val="single" w:color="auto" w:sz="4" w:space="0"/>
                  </w:tcBorders>
                  <w:shd w:val="clear" w:color="auto" w:fill="auto"/>
                  <w:vAlign w:val="center"/>
                </w:tcPr>
                <w:p w14:paraId="3FB0FEBF">
                  <w:pPr>
                    <w:pStyle w:val="257"/>
                    <w:rPr>
                      <w:rFonts w:hint="eastAsia" w:eastAsia="宋体"/>
                      <w:lang w:eastAsia="zh-CN"/>
                    </w:rPr>
                  </w:pPr>
                  <w:r>
                    <w:rPr>
                      <w:rFonts w:hint="eastAsia"/>
                      <w:lang w:val="en-US" w:eastAsia="zh-CN"/>
                    </w:rPr>
                    <w:t>盐</w:t>
                  </w:r>
                </w:p>
              </w:tc>
              <w:tc>
                <w:tcPr>
                  <w:tcW w:w="853" w:type="pct"/>
                  <w:tcBorders>
                    <w:top w:val="nil"/>
                    <w:left w:val="nil"/>
                    <w:bottom w:val="single" w:color="auto" w:sz="4" w:space="0"/>
                    <w:right w:val="single" w:color="auto" w:sz="4" w:space="0"/>
                  </w:tcBorders>
                  <w:shd w:val="clear" w:color="auto" w:fill="auto"/>
                  <w:vAlign w:val="center"/>
                </w:tcPr>
                <w:p w14:paraId="3CB96E47">
                  <w:pPr>
                    <w:pStyle w:val="257"/>
                    <w:rPr>
                      <w:rFonts w:hint="default" w:eastAsia="宋体"/>
                      <w:lang w:val="en-US" w:eastAsia="zh-CN"/>
                    </w:rPr>
                  </w:pPr>
                  <w:r>
                    <w:rPr>
                      <w:rFonts w:hint="eastAsia"/>
                      <w:lang w:val="en-US" w:eastAsia="zh-CN"/>
                    </w:rPr>
                    <w:t>80</w:t>
                  </w:r>
                </w:p>
              </w:tc>
              <w:tc>
                <w:tcPr>
                  <w:tcW w:w="680" w:type="pct"/>
                  <w:tcBorders>
                    <w:top w:val="nil"/>
                    <w:left w:val="nil"/>
                    <w:bottom w:val="single" w:color="auto" w:sz="4" w:space="0"/>
                    <w:right w:val="single" w:color="auto" w:sz="4" w:space="0"/>
                  </w:tcBorders>
                  <w:shd w:val="clear" w:color="auto" w:fill="auto"/>
                  <w:vAlign w:val="center"/>
                </w:tcPr>
                <w:p w14:paraId="620C4588">
                  <w:pPr>
                    <w:pStyle w:val="257"/>
                    <w:rPr>
                      <w:rFonts w:hint="eastAsia" w:eastAsia="宋体"/>
                      <w:lang w:eastAsia="zh-CN"/>
                    </w:rPr>
                  </w:pPr>
                  <w:r>
                    <w:rPr>
                      <w:rFonts w:hint="eastAsia"/>
                    </w:rPr>
                    <w:t>废</w:t>
                  </w:r>
                  <w:r>
                    <w:rPr>
                      <w:rFonts w:hint="eastAsia"/>
                      <w:lang w:val="en-US" w:eastAsia="zh-CN"/>
                    </w:rPr>
                    <w:t>气</w:t>
                  </w:r>
                </w:p>
              </w:tc>
              <w:tc>
                <w:tcPr>
                  <w:tcW w:w="1195" w:type="pct"/>
                  <w:tcBorders>
                    <w:top w:val="nil"/>
                    <w:left w:val="nil"/>
                    <w:bottom w:val="single" w:color="auto" w:sz="4" w:space="0"/>
                    <w:right w:val="single" w:color="auto" w:sz="4" w:space="0"/>
                  </w:tcBorders>
                  <w:shd w:val="clear" w:color="auto" w:fill="auto"/>
                  <w:vAlign w:val="center"/>
                </w:tcPr>
                <w:p w14:paraId="1654C105">
                  <w:pPr>
                    <w:pStyle w:val="257"/>
                    <w:rPr>
                      <w:rFonts w:hint="eastAsia" w:eastAsia="宋体"/>
                      <w:lang w:val="en-US" w:eastAsia="zh-CN"/>
                    </w:rPr>
                  </w:pPr>
                  <w:r>
                    <w:rPr>
                      <w:rFonts w:hint="eastAsia"/>
                      <w:lang w:val="en-US" w:eastAsia="zh-CN"/>
                    </w:rPr>
                    <w:t>油烟</w:t>
                  </w:r>
                </w:p>
              </w:tc>
              <w:tc>
                <w:tcPr>
                  <w:tcW w:w="882" w:type="pct"/>
                  <w:tcBorders>
                    <w:top w:val="nil"/>
                    <w:left w:val="nil"/>
                    <w:bottom w:val="single" w:color="auto" w:sz="4" w:space="0"/>
                    <w:right w:val="single" w:color="auto" w:sz="4" w:space="0"/>
                  </w:tcBorders>
                  <w:shd w:val="clear" w:color="auto" w:fill="auto"/>
                  <w:vAlign w:val="center"/>
                </w:tcPr>
                <w:p w14:paraId="2235F7BB">
                  <w:pPr>
                    <w:pStyle w:val="257"/>
                    <w:rPr>
                      <w:rFonts w:hint="default" w:eastAsia="宋体"/>
                      <w:lang w:val="en-US" w:eastAsia="zh-CN"/>
                    </w:rPr>
                  </w:pPr>
                  <w:r>
                    <w:rPr>
                      <w:rFonts w:hint="eastAsia"/>
                      <w:lang w:val="en-US" w:eastAsia="zh-CN"/>
                    </w:rPr>
                    <w:t>0.6</w:t>
                  </w:r>
                </w:p>
              </w:tc>
            </w:tr>
            <w:tr w14:paraId="41014E46">
              <w:tblPrEx>
                <w:tblCellMar>
                  <w:top w:w="0" w:type="dxa"/>
                  <w:left w:w="108" w:type="dxa"/>
                  <w:bottom w:w="0" w:type="dxa"/>
                  <w:right w:w="108" w:type="dxa"/>
                </w:tblCellMar>
              </w:tblPrEx>
              <w:trPr>
                <w:trHeight w:val="340" w:hRule="atLeast"/>
              </w:trPr>
              <w:tc>
                <w:tcPr>
                  <w:tcW w:w="534" w:type="pct"/>
                  <w:vMerge w:val="continue"/>
                  <w:tcBorders>
                    <w:left w:val="single" w:color="auto" w:sz="4" w:space="0"/>
                    <w:right w:val="single" w:color="auto" w:sz="4" w:space="0"/>
                  </w:tcBorders>
                  <w:vAlign w:val="center"/>
                </w:tcPr>
                <w:p w14:paraId="5D36C8C0">
                  <w:pPr>
                    <w:pStyle w:val="257"/>
                  </w:pPr>
                </w:p>
              </w:tc>
              <w:tc>
                <w:tcPr>
                  <w:tcW w:w="853" w:type="pct"/>
                  <w:tcBorders>
                    <w:top w:val="nil"/>
                    <w:left w:val="nil"/>
                    <w:bottom w:val="single" w:color="auto" w:sz="4" w:space="0"/>
                    <w:right w:val="single" w:color="auto" w:sz="4" w:space="0"/>
                  </w:tcBorders>
                  <w:shd w:val="clear" w:color="auto" w:fill="auto"/>
                  <w:vAlign w:val="center"/>
                </w:tcPr>
                <w:p w14:paraId="072E258B">
                  <w:pPr>
                    <w:pStyle w:val="257"/>
                    <w:rPr>
                      <w:rFonts w:hint="eastAsia" w:eastAsia="宋体"/>
                      <w:lang w:eastAsia="zh-CN"/>
                    </w:rPr>
                  </w:pPr>
                  <w:r>
                    <w:rPr>
                      <w:rFonts w:hint="eastAsia"/>
                      <w:lang w:val="en-US" w:eastAsia="zh-CN"/>
                    </w:rPr>
                    <w:t>油</w:t>
                  </w:r>
                </w:p>
              </w:tc>
              <w:tc>
                <w:tcPr>
                  <w:tcW w:w="853" w:type="pct"/>
                  <w:tcBorders>
                    <w:top w:val="nil"/>
                    <w:left w:val="nil"/>
                    <w:bottom w:val="single" w:color="auto" w:sz="4" w:space="0"/>
                    <w:right w:val="single" w:color="auto" w:sz="4" w:space="0"/>
                  </w:tcBorders>
                  <w:shd w:val="clear" w:color="auto" w:fill="auto"/>
                  <w:vAlign w:val="center"/>
                </w:tcPr>
                <w:p w14:paraId="0F31D376">
                  <w:pPr>
                    <w:pStyle w:val="257"/>
                    <w:rPr>
                      <w:rFonts w:hint="default" w:eastAsia="宋体"/>
                      <w:lang w:val="en-US" w:eastAsia="zh-CN"/>
                    </w:rPr>
                  </w:pPr>
                  <w:r>
                    <w:rPr>
                      <w:rFonts w:hint="eastAsia"/>
                      <w:lang w:val="en-US" w:eastAsia="zh-CN"/>
                    </w:rPr>
                    <w:t>20</w:t>
                  </w:r>
                </w:p>
              </w:tc>
              <w:tc>
                <w:tcPr>
                  <w:tcW w:w="680" w:type="pct"/>
                  <w:tcBorders>
                    <w:top w:val="nil"/>
                    <w:left w:val="single" w:color="auto" w:sz="4" w:space="0"/>
                    <w:bottom w:val="single" w:color="000000" w:sz="4" w:space="0"/>
                    <w:right w:val="nil"/>
                  </w:tcBorders>
                  <w:shd w:val="clear" w:color="auto" w:fill="auto"/>
                  <w:vAlign w:val="center"/>
                </w:tcPr>
                <w:p w14:paraId="62B352F9">
                  <w:pPr>
                    <w:pStyle w:val="257"/>
                  </w:pPr>
                  <w:r>
                    <w:rPr>
                      <w:rFonts w:hint="eastAsia"/>
                    </w:rPr>
                    <w:t>固废</w:t>
                  </w:r>
                </w:p>
              </w:tc>
              <w:tc>
                <w:tcPr>
                  <w:tcW w:w="1195" w:type="pct"/>
                  <w:tcBorders>
                    <w:top w:val="nil"/>
                    <w:left w:val="single" w:color="auto" w:sz="4" w:space="0"/>
                    <w:bottom w:val="single" w:color="auto" w:sz="4" w:space="0"/>
                    <w:right w:val="single" w:color="auto" w:sz="4" w:space="0"/>
                  </w:tcBorders>
                  <w:shd w:val="clear" w:color="auto" w:fill="auto"/>
                  <w:vAlign w:val="center"/>
                </w:tcPr>
                <w:p w14:paraId="1CC073E9">
                  <w:pPr>
                    <w:pStyle w:val="257"/>
                    <w:rPr>
                      <w:rFonts w:hint="default" w:eastAsia="宋体"/>
                      <w:lang w:val="en-US" w:eastAsia="zh-CN"/>
                    </w:rPr>
                  </w:pPr>
                  <w:r>
                    <w:rPr>
                      <w:rFonts w:hint="eastAsia"/>
                      <w:lang w:val="en-US" w:eastAsia="zh-CN"/>
                    </w:rPr>
                    <w:t>杂质</w:t>
                  </w:r>
                </w:p>
              </w:tc>
              <w:tc>
                <w:tcPr>
                  <w:tcW w:w="882" w:type="pct"/>
                  <w:tcBorders>
                    <w:top w:val="nil"/>
                    <w:left w:val="nil"/>
                    <w:bottom w:val="single" w:color="auto" w:sz="4" w:space="0"/>
                    <w:right w:val="single" w:color="auto" w:sz="4" w:space="0"/>
                  </w:tcBorders>
                  <w:shd w:val="clear" w:color="auto" w:fill="auto"/>
                  <w:vAlign w:val="center"/>
                </w:tcPr>
                <w:p w14:paraId="08C5B5B9">
                  <w:pPr>
                    <w:pStyle w:val="257"/>
                    <w:rPr>
                      <w:rFonts w:hint="default" w:eastAsia="宋体"/>
                      <w:lang w:val="en-US" w:eastAsia="zh-CN"/>
                    </w:rPr>
                  </w:pPr>
                  <w:r>
                    <w:rPr>
                      <w:rFonts w:hint="eastAsia"/>
                      <w:lang w:val="en-US" w:eastAsia="zh-CN"/>
                    </w:rPr>
                    <w:t>1</w:t>
                  </w:r>
                </w:p>
              </w:tc>
            </w:tr>
            <w:tr w14:paraId="37AA67F1">
              <w:tblPrEx>
                <w:tblCellMar>
                  <w:top w:w="0" w:type="dxa"/>
                  <w:left w:w="108" w:type="dxa"/>
                  <w:bottom w:w="0" w:type="dxa"/>
                  <w:right w:w="108" w:type="dxa"/>
                </w:tblCellMar>
              </w:tblPrEx>
              <w:trPr>
                <w:trHeight w:val="340" w:hRule="atLeast"/>
              </w:trPr>
              <w:tc>
                <w:tcPr>
                  <w:tcW w:w="534" w:type="pct"/>
                  <w:vMerge w:val="continue"/>
                  <w:tcBorders>
                    <w:left w:val="single" w:color="auto" w:sz="4" w:space="0"/>
                    <w:bottom w:val="single" w:color="auto" w:sz="4" w:space="0"/>
                    <w:right w:val="single" w:color="auto" w:sz="4" w:space="0"/>
                  </w:tcBorders>
                  <w:vAlign w:val="center"/>
                </w:tcPr>
                <w:p w14:paraId="7C304EE9">
                  <w:pPr>
                    <w:pStyle w:val="257"/>
                  </w:pPr>
                </w:p>
              </w:tc>
              <w:tc>
                <w:tcPr>
                  <w:tcW w:w="853" w:type="pct"/>
                  <w:tcBorders>
                    <w:top w:val="nil"/>
                    <w:left w:val="nil"/>
                    <w:bottom w:val="single" w:color="auto" w:sz="4" w:space="0"/>
                    <w:right w:val="single" w:color="auto" w:sz="4" w:space="0"/>
                  </w:tcBorders>
                  <w:shd w:val="clear" w:color="auto" w:fill="auto"/>
                  <w:vAlign w:val="center"/>
                </w:tcPr>
                <w:p w14:paraId="7DB597B8">
                  <w:pPr>
                    <w:pStyle w:val="257"/>
                    <w:rPr>
                      <w:rFonts w:hint="default"/>
                      <w:lang w:val="en-US" w:eastAsia="zh-CN"/>
                    </w:rPr>
                  </w:pPr>
                  <w:r>
                    <w:rPr>
                      <w:rFonts w:hint="eastAsia"/>
                      <w:lang w:val="en-US" w:eastAsia="zh-CN"/>
                    </w:rPr>
                    <w:t>味精</w:t>
                  </w:r>
                </w:p>
              </w:tc>
              <w:tc>
                <w:tcPr>
                  <w:tcW w:w="853" w:type="pct"/>
                  <w:tcBorders>
                    <w:top w:val="nil"/>
                    <w:left w:val="nil"/>
                    <w:bottom w:val="single" w:color="auto" w:sz="4" w:space="0"/>
                    <w:right w:val="single" w:color="auto" w:sz="4" w:space="0"/>
                  </w:tcBorders>
                  <w:shd w:val="clear" w:color="auto" w:fill="auto"/>
                  <w:vAlign w:val="center"/>
                </w:tcPr>
                <w:p w14:paraId="7911252B">
                  <w:pPr>
                    <w:pStyle w:val="257"/>
                    <w:rPr>
                      <w:rFonts w:hint="default"/>
                      <w:lang w:val="en-US" w:eastAsia="zh-CN"/>
                    </w:rPr>
                  </w:pPr>
                  <w:r>
                    <w:rPr>
                      <w:rFonts w:hint="eastAsia"/>
                      <w:lang w:val="en-US" w:eastAsia="zh-CN"/>
                    </w:rPr>
                    <w:t>10</w:t>
                  </w:r>
                </w:p>
              </w:tc>
              <w:tc>
                <w:tcPr>
                  <w:tcW w:w="680" w:type="pct"/>
                  <w:tcBorders>
                    <w:top w:val="nil"/>
                    <w:left w:val="single" w:color="auto" w:sz="4" w:space="0"/>
                    <w:bottom w:val="single" w:color="000000" w:sz="4" w:space="0"/>
                    <w:right w:val="nil"/>
                  </w:tcBorders>
                  <w:shd w:val="clear" w:color="auto" w:fill="auto"/>
                  <w:vAlign w:val="center"/>
                </w:tcPr>
                <w:p w14:paraId="051F5BE5">
                  <w:pPr>
                    <w:pStyle w:val="257"/>
                    <w:rPr>
                      <w:rFonts w:hint="eastAsia"/>
                    </w:rPr>
                  </w:pPr>
                  <w:r>
                    <w:rPr>
                      <w:rFonts w:hint="eastAsia"/>
                      <w:lang w:val="en-US" w:eastAsia="zh-CN"/>
                    </w:rPr>
                    <w:t>蒸发损失</w:t>
                  </w:r>
                </w:p>
              </w:tc>
              <w:tc>
                <w:tcPr>
                  <w:tcW w:w="1195" w:type="pct"/>
                  <w:tcBorders>
                    <w:top w:val="nil"/>
                    <w:left w:val="single" w:color="auto" w:sz="4" w:space="0"/>
                    <w:bottom w:val="single" w:color="auto" w:sz="4" w:space="0"/>
                    <w:right w:val="single" w:color="auto" w:sz="4" w:space="0"/>
                  </w:tcBorders>
                  <w:shd w:val="clear" w:color="auto" w:fill="auto"/>
                  <w:vAlign w:val="center"/>
                </w:tcPr>
                <w:p w14:paraId="55B6011B">
                  <w:pPr>
                    <w:pStyle w:val="257"/>
                    <w:rPr>
                      <w:rFonts w:hint="eastAsia"/>
                      <w:lang w:val="en-US" w:eastAsia="zh-CN"/>
                    </w:rPr>
                  </w:pPr>
                  <w:r>
                    <w:rPr>
                      <w:rFonts w:hint="eastAsia"/>
                      <w:lang w:val="en-US" w:eastAsia="zh-CN"/>
                    </w:rPr>
                    <w:t>水蒸气</w:t>
                  </w:r>
                </w:p>
              </w:tc>
              <w:tc>
                <w:tcPr>
                  <w:tcW w:w="882" w:type="pct"/>
                  <w:tcBorders>
                    <w:top w:val="nil"/>
                    <w:left w:val="nil"/>
                    <w:bottom w:val="single" w:color="auto" w:sz="4" w:space="0"/>
                    <w:right w:val="single" w:color="auto" w:sz="4" w:space="0"/>
                  </w:tcBorders>
                  <w:shd w:val="clear" w:color="auto" w:fill="auto"/>
                  <w:vAlign w:val="center"/>
                </w:tcPr>
                <w:p w14:paraId="0440346F">
                  <w:pPr>
                    <w:pStyle w:val="257"/>
                    <w:rPr>
                      <w:rFonts w:hint="default"/>
                      <w:lang w:val="en-US" w:eastAsia="zh-CN"/>
                    </w:rPr>
                  </w:pPr>
                  <w:r>
                    <w:rPr>
                      <w:rFonts w:hint="eastAsia"/>
                      <w:lang w:val="en-US" w:eastAsia="zh-CN"/>
                    </w:rPr>
                    <w:t>165.04</w:t>
                  </w:r>
                </w:p>
              </w:tc>
            </w:tr>
            <w:tr w14:paraId="233F4833">
              <w:tblPrEx>
                <w:tblCellMar>
                  <w:top w:w="0" w:type="dxa"/>
                  <w:left w:w="108" w:type="dxa"/>
                  <w:bottom w:w="0" w:type="dxa"/>
                  <w:right w:w="108" w:type="dxa"/>
                </w:tblCellMar>
              </w:tblPrEx>
              <w:trPr>
                <w:trHeight w:val="340" w:hRule="atLeast"/>
              </w:trPr>
              <w:tc>
                <w:tcPr>
                  <w:tcW w:w="1387"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794130D5">
                  <w:pPr>
                    <w:pStyle w:val="257"/>
                  </w:pPr>
                  <w:r>
                    <w:rPr>
                      <w:rFonts w:hint="eastAsia"/>
                    </w:rPr>
                    <w:t>自来水</w:t>
                  </w:r>
                </w:p>
              </w:tc>
              <w:tc>
                <w:tcPr>
                  <w:tcW w:w="853" w:type="pct"/>
                  <w:tcBorders>
                    <w:top w:val="nil"/>
                    <w:left w:val="nil"/>
                    <w:bottom w:val="single" w:color="auto" w:sz="4" w:space="0"/>
                    <w:right w:val="single" w:color="auto" w:sz="4" w:space="0"/>
                  </w:tcBorders>
                  <w:shd w:val="clear" w:color="auto" w:fill="auto"/>
                  <w:vAlign w:val="center"/>
                </w:tcPr>
                <w:p w14:paraId="7D6DC8BC">
                  <w:pPr>
                    <w:pStyle w:val="257"/>
                    <w:rPr>
                      <w:rFonts w:hint="default" w:eastAsia="宋体"/>
                      <w:lang w:val="en-US" w:eastAsia="zh-CN"/>
                    </w:rPr>
                  </w:pPr>
                  <w:r>
                    <w:rPr>
                      <w:rFonts w:hint="eastAsia"/>
                      <w:lang w:val="en-US" w:eastAsia="zh-CN"/>
                    </w:rPr>
                    <w:t>224.64</w:t>
                  </w:r>
                </w:p>
              </w:tc>
              <w:tc>
                <w:tcPr>
                  <w:tcW w:w="680" w:type="pct"/>
                  <w:tcBorders>
                    <w:top w:val="nil"/>
                    <w:left w:val="nil"/>
                    <w:bottom w:val="single" w:color="auto" w:sz="4" w:space="0"/>
                    <w:right w:val="single" w:color="auto" w:sz="4" w:space="0"/>
                  </w:tcBorders>
                  <w:shd w:val="clear" w:color="auto" w:fill="auto"/>
                  <w:vAlign w:val="center"/>
                </w:tcPr>
                <w:p w14:paraId="0014E60B">
                  <w:pPr>
                    <w:pStyle w:val="257"/>
                    <w:rPr>
                      <w:rFonts w:hint="default" w:eastAsia="宋体"/>
                      <w:lang w:val="en-US" w:eastAsia="zh-CN"/>
                    </w:rPr>
                  </w:pPr>
                </w:p>
              </w:tc>
              <w:tc>
                <w:tcPr>
                  <w:tcW w:w="1195" w:type="pct"/>
                  <w:tcBorders>
                    <w:top w:val="nil"/>
                    <w:left w:val="nil"/>
                    <w:bottom w:val="single" w:color="auto" w:sz="4" w:space="0"/>
                    <w:right w:val="single" w:color="auto" w:sz="4" w:space="0"/>
                  </w:tcBorders>
                  <w:shd w:val="clear" w:color="auto" w:fill="auto"/>
                  <w:vAlign w:val="center"/>
                </w:tcPr>
                <w:p w14:paraId="568CB0F0">
                  <w:pPr>
                    <w:pStyle w:val="257"/>
                    <w:rPr>
                      <w:rFonts w:hint="eastAsia" w:eastAsia="宋体"/>
                      <w:lang w:eastAsia="zh-CN"/>
                    </w:rPr>
                  </w:pPr>
                </w:p>
              </w:tc>
              <w:tc>
                <w:tcPr>
                  <w:tcW w:w="882" w:type="pct"/>
                  <w:tcBorders>
                    <w:top w:val="nil"/>
                    <w:left w:val="nil"/>
                    <w:bottom w:val="single" w:color="auto" w:sz="4" w:space="0"/>
                    <w:right w:val="single" w:color="auto" w:sz="4" w:space="0"/>
                  </w:tcBorders>
                  <w:shd w:val="clear" w:color="auto" w:fill="auto"/>
                  <w:vAlign w:val="center"/>
                </w:tcPr>
                <w:p w14:paraId="7D78260D">
                  <w:pPr>
                    <w:pStyle w:val="257"/>
                    <w:rPr>
                      <w:rFonts w:hint="default" w:eastAsia="宋体"/>
                      <w:lang w:val="en-US" w:eastAsia="zh-CN"/>
                    </w:rPr>
                  </w:pPr>
                </w:p>
              </w:tc>
            </w:tr>
            <w:tr w14:paraId="7271D78B">
              <w:tblPrEx>
                <w:tblCellMar>
                  <w:top w:w="0" w:type="dxa"/>
                  <w:left w:w="108" w:type="dxa"/>
                  <w:bottom w:w="0" w:type="dxa"/>
                  <w:right w:w="108" w:type="dxa"/>
                </w:tblCellMar>
              </w:tblPrEx>
              <w:trPr>
                <w:trHeight w:val="340" w:hRule="atLeast"/>
              </w:trPr>
              <w:tc>
                <w:tcPr>
                  <w:tcW w:w="1387"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420FD8D1">
                  <w:pPr>
                    <w:pStyle w:val="257"/>
                  </w:pPr>
                  <w:r>
                    <w:rPr>
                      <w:rFonts w:hint="eastAsia"/>
                    </w:rPr>
                    <w:t>合计</w:t>
                  </w:r>
                </w:p>
              </w:tc>
              <w:tc>
                <w:tcPr>
                  <w:tcW w:w="853" w:type="pct"/>
                  <w:tcBorders>
                    <w:top w:val="nil"/>
                    <w:left w:val="nil"/>
                    <w:bottom w:val="single" w:color="auto" w:sz="4" w:space="0"/>
                    <w:right w:val="single" w:color="auto" w:sz="4" w:space="0"/>
                  </w:tcBorders>
                  <w:shd w:val="clear" w:color="auto" w:fill="auto"/>
                  <w:vAlign w:val="center"/>
                </w:tcPr>
                <w:p w14:paraId="51468FA5">
                  <w:pPr>
                    <w:pStyle w:val="257"/>
                    <w:rPr>
                      <w:rFonts w:hint="default" w:eastAsia="宋体"/>
                      <w:lang w:val="en-US" w:eastAsia="zh-CN"/>
                    </w:rPr>
                  </w:pPr>
                  <w:r>
                    <w:rPr>
                      <w:rFonts w:hint="eastAsia"/>
                      <w:lang w:val="en-US" w:eastAsia="zh-CN"/>
                    </w:rPr>
                    <w:t>646.64</w:t>
                  </w:r>
                </w:p>
              </w:tc>
              <w:tc>
                <w:tcPr>
                  <w:tcW w:w="1876" w:type="pct"/>
                  <w:gridSpan w:val="2"/>
                  <w:tcBorders>
                    <w:top w:val="single" w:color="auto" w:sz="4" w:space="0"/>
                    <w:left w:val="nil"/>
                    <w:bottom w:val="single" w:color="auto" w:sz="4" w:space="0"/>
                    <w:right w:val="single" w:color="000000" w:sz="4" w:space="0"/>
                  </w:tcBorders>
                  <w:shd w:val="clear" w:color="auto" w:fill="auto"/>
                  <w:vAlign w:val="center"/>
                </w:tcPr>
                <w:p w14:paraId="24BB5885">
                  <w:pPr>
                    <w:pStyle w:val="257"/>
                  </w:pPr>
                  <w:r>
                    <w:rPr>
                      <w:rFonts w:hint="eastAsia"/>
                    </w:rPr>
                    <w:t>合计</w:t>
                  </w:r>
                </w:p>
              </w:tc>
              <w:tc>
                <w:tcPr>
                  <w:tcW w:w="882" w:type="pct"/>
                  <w:tcBorders>
                    <w:top w:val="nil"/>
                    <w:left w:val="nil"/>
                    <w:bottom w:val="single" w:color="auto" w:sz="4" w:space="0"/>
                    <w:right w:val="single" w:color="auto" w:sz="4" w:space="0"/>
                  </w:tcBorders>
                  <w:shd w:val="clear" w:color="auto" w:fill="auto"/>
                  <w:vAlign w:val="center"/>
                </w:tcPr>
                <w:p w14:paraId="76EC55FC">
                  <w:pPr>
                    <w:pStyle w:val="257"/>
                    <w:rPr>
                      <w:rFonts w:hint="default" w:eastAsia="宋体"/>
                      <w:lang w:val="en-US" w:eastAsia="zh-CN"/>
                    </w:rPr>
                  </w:pPr>
                  <w:r>
                    <w:rPr>
                      <w:rFonts w:hint="eastAsia"/>
                      <w:lang w:val="en-US" w:eastAsia="zh-CN"/>
                    </w:rPr>
                    <w:t>646.64</w:t>
                  </w:r>
                </w:p>
              </w:tc>
            </w:tr>
          </w:tbl>
          <w:p w14:paraId="72CB5F0F">
            <w:pPr>
              <w:pStyle w:val="56"/>
              <w:numPr>
                <w:ilvl w:val="0"/>
                <w:numId w:val="0"/>
              </w:numPr>
              <w:spacing w:before="120"/>
              <w:ind w:left="3150" w:leftChars="0"/>
              <w:jc w:val="both"/>
            </w:pPr>
            <w:r>
              <w:rPr>
                <w:rFonts w:hint="eastAsia"/>
                <w:lang w:val="en-US" w:eastAsia="zh-CN"/>
              </w:rPr>
              <w:t>表15 灰培豆腐</w:t>
            </w:r>
            <w:r>
              <w:rPr>
                <w:rFonts w:hint="eastAsia"/>
              </w:rPr>
              <w:t>物料</w:t>
            </w:r>
            <w:r>
              <w:t>平衡表</w:t>
            </w:r>
          </w:p>
          <w:tbl>
            <w:tblPr>
              <w:tblStyle w:val="47"/>
              <w:tblW w:w="5000" w:type="pct"/>
              <w:tblInd w:w="0" w:type="dxa"/>
              <w:tblLayout w:type="autofit"/>
              <w:tblCellMar>
                <w:top w:w="0" w:type="dxa"/>
                <w:left w:w="108" w:type="dxa"/>
                <w:bottom w:w="0" w:type="dxa"/>
                <w:right w:w="108" w:type="dxa"/>
              </w:tblCellMar>
            </w:tblPr>
            <w:tblGrid>
              <w:gridCol w:w="898"/>
              <w:gridCol w:w="1436"/>
              <w:gridCol w:w="1436"/>
              <w:gridCol w:w="1145"/>
              <w:gridCol w:w="2014"/>
              <w:gridCol w:w="1489"/>
            </w:tblGrid>
            <w:tr w14:paraId="009F94A4">
              <w:tblPrEx>
                <w:tblCellMar>
                  <w:top w:w="0" w:type="dxa"/>
                  <w:left w:w="108" w:type="dxa"/>
                  <w:bottom w:w="0" w:type="dxa"/>
                  <w:right w:w="108" w:type="dxa"/>
                </w:tblCellMar>
              </w:tblPrEx>
              <w:trPr>
                <w:trHeight w:val="340" w:hRule="atLeast"/>
              </w:trPr>
              <w:tc>
                <w:tcPr>
                  <w:tcW w:w="223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75E1F13">
                  <w:pPr>
                    <w:pStyle w:val="257"/>
                  </w:pPr>
                  <w:r>
                    <w:rPr>
                      <w:rFonts w:hint="eastAsia"/>
                    </w:rPr>
                    <w:t>入方</w:t>
                  </w:r>
                </w:p>
              </w:tc>
              <w:tc>
                <w:tcPr>
                  <w:tcW w:w="2760" w:type="pct"/>
                  <w:gridSpan w:val="3"/>
                  <w:tcBorders>
                    <w:top w:val="single" w:color="auto" w:sz="4" w:space="0"/>
                    <w:left w:val="nil"/>
                    <w:bottom w:val="single" w:color="auto" w:sz="4" w:space="0"/>
                    <w:right w:val="single" w:color="auto" w:sz="4" w:space="0"/>
                  </w:tcBorders>
                  <w:shd w:val="clear" w:color="auto" w:fill="auto"/>
                  <w:vAlign w:val="center"/>
                </w:tcPr>
                <w:p w14:paraId="3E3CF773">
                  <w:pPr>
                    <w:pStyle w:val="257"/>
                  </w:pPr>
                  <w:r>
                    <w:rPr>
                      <w:rFonts w:hint="eastAsia"/>
                    </w:rPr>
                    <w:t>出方</w:t>
                  </w:r>
                </w:p>
              </w:tc>
            </w:tr>
            <w:tr w14:paraId="786C6F55">
              <w:tblPrEx>
                <w:tblCellMar>
                  <w:top w:w="0" w:type="dxa"/>
                  <w:left w:w="108" w:type="dxa"/>
                  <w:bottom w:w="0" w:type="dxa"/>
                  <w:right w:w="108" w:type="dxa"/>
                </w:tblCellMar>
              </w:tblPrEx>
              <w:trPr>
                <w:trHeight w:val="340" w:hRule="atLeast"/>
              </w:trPr>
              <w:tc>
                <w:tcPr>
                  <w:tcW w:w="533" w:type="pct"/>
                  <w:tcBorders>
                    <w:top w:val="nil"/>
                    <w:left w:val="single" w:color="auto" w:sz="4" w:space="0"/>
                    <w:bottom w:val="single" w:color="auto" w:sz="4" w:space="0"/>
                    <w:right w:val="single" w:color="auto" w:sz="4" w:space="0"/>
                  </w:tcBorders>
                  <w:shd w:val="clear" w:color="auto" w:fill="auto"/>
                  <w:vAlign w:val="center"/>
                </w:tcPr>
                <w:p w14:paraId="6098B280">
                  <w:pPr>
                    <w:pStyle w:val="257"/>
                  </w:pPr>
                  <w:r>
                    <w:rPr>
                      <w:rFonts w:hint="eastAsia"/>
                    </w:rPr>
                    <w:t>类别</w:t>
                  </w:r>
                </w:p>
              </w:tc>
              <w:tc>
                <w:tcPr>
                  <w:tcW w:w="852" w:type="pct"/>
                  <w:tcBorders>
                    <w:top w:val="nil"/>
                    <w:left w:val="nil"/>
                    <w:bottom w:val="single" w:color="auto" w:sz="4" w:space="0"/>
                    <w:right w:val="single" w:color="auto" w:sz="4" w:space="0"/>
                  </w:tcBorders>
                  <w:shd w:val="clear" w:color="auto" w:fill="auto"/>
                  <w:vAlign w:val="center"/>
                </w:tcPr>
                <w:p w14:paraId="39E0116D">
                  <w:pPr>
                    <w:pStyle w:val="257"/>
                  </w:pPr>
                  <w:r>
                    <w:rPr>
                      <w:rFonts w:hint="eastAsia"/>
                    </w:rPr>
                    <w:t>名称</w:t>
                  </w:r>
                </w:p>
              </w:tc>
              <w:tc>
                <w:tcPr>
                  <w:tcW w:w="852" w:type="pct"/>
                  <w:tcBorders>
                    <w:top w:val="nil"/>
                    <w:left w:val="nil"/>
                    <w:bottom w:val="single" w:color="auto" w:sz="4" w:space="0"/>
                    <w:right w:val="single" w:color="auto" w:sz="4" w:space="0"/>
                  </w:tcBorders>
                  <w:shd w:val="clear" w:color="auto" w:fill="auto"/>
                  <w:vAlign w:val="center"/>
                </w:tcPr>
                <w:p w14:paraId="5313E5E4">
                  <w:pPr>
                    <w:pStyle w:val="257"/>
                    <w:rPr>
                      <w:rFonts w:hint="eastAsia" w:eastAsia="宋体"/>
                      <w:lang w:eastAsia="zh-CN"/>
                    </w:rPr>
                  </w:pPr>
                  <w:r>
                    <w:rPr>
                      <w:rFonts w:hint="eastAsia"/>
                    </w:rPr>
                    <w:t>投入量</w:t>
                  </w:r>
                  <w:r>
                    <w:rPr>
                      <w:rFonts w:hint="eastAsia"/>
                      <w:lang w:eastAsia="zh-CN"/>
                    </w:rPr>
                    <w:t>（</w:t>
                  </w:r>
                  <w:r>
                    <w:rPr>
                      <w:rFonts w:hint="eastAsia"/>
                      <w:lang w:val="en-US" w:eastAsia="zh-CN"/>
                    </w:rPr>
                    <w:t>t</w:t>
                  </w:r>
                  <w:r>
                    <w:rPr>
                      <w:rFonts w:hint="eastAsia"/>
                      <w:lang w:eastAsia="zh-CN"/>
                    </w:rPr>
                    <w:t>）</w:t>
                  </w:r>
                </w:p>
              </w:tc>
              <w:tc>
                <w:tcPr>
                  <w:tcW w:w="1876" w:type="pct"/>
                  <w:gridSpan w:val="2"/>
                  <w:tcBorders>
                    <w:top w:val="single" w:color="auto" w:sz="4" w:space="0"/>
                    <w:left w:val="nil"/>
                    <w:bottom w:val="single" w:color="auto" w:sz="4" w:space="0"/>
                    <w:right w:val="single" w:color="auto" w:sz="4" w:space="0"/>
                  </w:tcBorders>
                  <w:shd w:val="clear" w:color="auto" w:fill="auto"/>
                  <w:vAlign w:val="center"/>
                </w:tcPr>
                <w:p w14:paraId="51BA9101">
                  <w:pPr>
                    <w:pStyle w:val="257"/>
                  </w:pPr>
                  <w:r>
                    <w:rPr>
                      <w:rFonts w:hint="eastAsia"/>
                    </w:rPr>
                    <w:t>名称</w:t>
                  </w:r>
                </w:p>
              </w:tc>
              <w:tc>
                <w:tcPr>
                  <w:tcW w:w="884" w:type="pct"/>
                  <w:tcBorders>
                    <w:top w:val="nil"/>
                    <w:left w:val="nil"/>
                    <w:bottom w:val="single" w:color="auto" w:sz="4" w:space="0"/>
                    <w:right w:val="single" w:color="auto" w:sz="4" w:space="0"/>
                  </w:tcBorders>
                  <w:shd w:val="clear" w:color="auto" w:fill="auto"/>
                  <w:vAlign w:val="center"/>
                </w:tcPr>
                <w:p w14:paraId="5A4DF003">
                  <w:pPr>
                    <w:pStyle w:val="257"/>
                    <w:rPr>
                      <w:rFonts w:hint="eastAsia" w:eastAsia="宋体"/>
                      <w:lang w:eastAsia="zh-CN"/>
                    </w:rPr>
                  </w:pPr>
                  <w:r>
                    <w:rPr>
                      <w:rFonts w:hint="eastAsia"/>
                    </w:rPr>
                    <w:t>产生量</w:t>
                  </w:r>
                  <w:r>
                    <w:rPr>
                      <w:rFonts w:hint="eastAsia"/>
                      <w:lang w:eastAsia="zh-CN"/>
                    </w:rPr>
                    <w:t>（</w:t>
                  </w:r>
                  <w:r>
                    <w:rPr>
                      <w:rFonts w:hint="eastAsia"/>
                      <w:lang w:val="en-US" w:eastAsia="zh-CN"/>
                    </w:rPr>
                    <w:t>t</w:t>
                  </w:r>
                  <w:r>
                    <w:rPr>
                      <w:rFonts w:hint="eastAsia"/>
                      <w:lang w:eastAsia="zh-CN"/>
                    </w:rPr>
                    <w:t>）</w:t>
                  </w:r>
                </w:p>
              </w:tc>
            </w:tr>
            <w:tr w14:paraId="5D84F310">
              <w:tblPrEx>
                <w:tblCellMar>
                  <w:top w:w="0" w:type="dxa"/>
                  <w:left w:w="108" w:type="dxa"/>
                  <w:bottom w:w="0" w:type="dxa"/>
                  <w:right w:w="108" w:type="dxa"/>
                </w:tblCellMar>
              </w:tblPrEx>
              <w:trPr>
                <w:trHeight w:val="340" w:hRule="atLeast"/>
              </w:trPr>
              <w:tc>
                <w:tcPr>
                  <w:tcW w:w="533" w:type="pct"/>
                  <w:vMerge w:val="restart"/>
                  <w:tcBorders>
                    <w:top w:val="nil"/>
                    <w:left w:val="single" w:color="auto" w:sz="4" w:space="0"/>
                    <w:right w:val="single" w:color="auto" w:sz="4" w:space="0"/>
                  </w:tcBorders>
                  <w:shd w:val="clear" w:color="auto" w:fill="auto"/>
                  <w:vAlign w:val="center"/>
                </w:tcPr>
                <w:p w14:paraId="2C30C3CD">
                  <w:pPr>
                    <w:pStyle w:val="257"/>
                  </w:pPr>
                  <w:r>
                    <w:rPr>
                      <w:rFonts w:hint="eastAsia"/>
                    </w:rPr>
                    <w:t>原料购入</w:t>
                  </w:r>
                </w:p>
              </w:tc>
              <w:tc>
                <w:tcPr>
                  <w:tcW w:w="852" w:type="pct"/>
                  <w:tcBorders>
                    <w:top w:val="nil"/>
                    <w:left w:val="nil"/>
                    <w:bottom w:val="single" w:color="auto" w:sz="4" w:space="0"/>
                    <w:right w:val="single" w:color="auto" w:sz="4" w:space="0"/>
                  </w:tcBorders>
                  <w:shd w:val="clear" w:color="auto" w:fill="auto"/>
                  <w:vAlign w:val="center"/>
                </w:tcPr>
                <w:p w14:paraId="7D8C294E">
                  <w:pPr>
                    <w:pStyle w:val="257"/>
                    <w:rPr>
                      <w:rFonts w:hint="eastAsia" w:eastAsia="宋体"/>
                      <w:lang w:eastAsia="zh-CN"/>
                    </w:rPr>
                  </w:pPr>
                  <w:r>
                    <w:rPr>
                      <w:rFonts w:hint="eastAsia"/>
                      <w:lang w:val="en-US" w:eastAsia="zh-CN"/>
                    </w:rPr>
                    <w:t>豆腐</w:t>
                  </w:r>
                </w:p>
              </w:tc>
              <w:tc>
                <w:tcPr>
                  <w:tcW w:w="852" w:type="pct"/>
                  <w:tcBorders>
                    <w:top w:val="nil"/>
                    <w:left w:val="nil"/>
                    <w:bottom w:val="single" w:color="auto" w:sz="4" w:space="0"/>
                    <w:right w:val="single" w:color="auto" w:sz="4" w:space="0"/>
                  </w:tcBorders>
                  <w:shd w:val="clear" w:color="auto" w:fill="auto"/>
                  <w:vAlign w:val="center"/>
                </w:tcPr>
                <w:p w14:paraId="568A5F7B">
                  <w:pPr>
                    <w:pStyle w:val="257"/>
                    <w:rPr>
                      <w:rFonts w:hint="default" w:eastAsia="宋体"/>
                      <w:lang w:val="en-US" w:eastAsia="zh-CN"/>
                    </w:rPr>
                  </w:pPr>
                  <w:r>
                    <w:rPr>
                      <w:rFonts w:hint="eastAsia"/>
                      <w:lang w:val="en-US" w:eastAsia="zh-CN"/>
                    </w:rPr>
                    <w:t>260</w:t>
                  </w:r>
                </w:p>
              </w:tc>
              <w:tc>
                <w:tcPr>
                  <w:tcW w:w="680" w:type="pct"/>
                  <w:tcBorders>
                    <w:top w:val="nil"/>
                    <w:left w:val="nil"/>
                    <w:bottom w:val="single" w:color="auto" w:sz="4" w:space="0"/>
                    <w:right w:val="single" w:color="auto" w:sz="4" w:space="0"/>
                  </w:tcBorders>
                  <w:shd w:val="clear" w:color="auto" w:fill="auto"/>
                  <w:vAlign w:val="center"/>
                </w:tcPr>
                <w:p w14:paraId="78312E2D">
                  <w:pPr>
                    <w:pStyle w:val="257"/>
                  </w:pPr>
                  <w:r>
                    <w:rPr>
                      <w:rFonts w:hint="eastAsia"/>
                    </w:rPr>
                    <w:t>产品</w:t>
                  </w:r>
                </w:p>
              </w:tc>
              <w:tc>
                <w:tcPr>
                  <w:tcW w:w="1196" w:type="pct"/>
                  <w:tcBorders>
                    <w:top w:val="nil"/>
                    <w:left w:val="nil"/>
                    <w:bottom w:val="single" w:color="auto" w:sz="4" w:space="0"/>
                    <w:right w:val="single" w:color="auto" w:sz="4" w:space="0"/>
                  </w:tcBorders>
                  <w:shd w:val="clear" w:color="auto" w:fill="auto"/>
                  <w:vAlign w:val="center"/>
                </w:tcPr>
                <w:p w14:paraId="2EAD4803">
                  <w:pPr>
                    <w:pStyle w:val="257"/>
                    <w:rPr>
                      <w:rFonts w:hint="default" w:eastAsia="宋体"/>
                      <w:lang w:val="en-US" w:eastAsia="zh-CN"/>
                    </w:rPr>
                  </w:pPr>
                  <w:r>
                    <w:rPr>
                      <w:rFonts w:hint="eastAsia"/>
                      <w:lang w:val="en-US" w:eastAsia="zh-CN"/>
                    </w:rPr>
                    <w:t>灰培豆腐</w:t>
                  </w:r>
                </w:p>
              </w:tc>
              <w:tc>
                <w:tcPr>
                  <w:tcW w:w="884" w:type="pct"/>
                  <w:tcBorders>
                    <w:top w:val="nil"/>
                    <w:left w:val="nil"/>
                    <w:bottom w:val="single" w:color="auto" w:sz="4" w:space="0"/>
                    <w:right w:val="single" w:color="auto" w:sz="4" w:space="0"/>
                  </w:tcBorders>
                  <w:shd w:val="clear" w:color="auto" w:fill="auto"/>
                  <w:vAlign w:val="center"/>
                </w:tcPr>
                <w:p w14:paraId="56D133B2">
                  <w:pPr>
                    <w:pStyle w:val="257"/>
                    <w:rPr>
                      <w:rFonts w:hint="default" w:eastAsia="宋体"/>
                      <w:lang w:val="en-US" w:eastAsia="zh-CN"/>
                    </w:rPr>
                  </w:pPr>
                  <w:r>
                    <w:rPr>
                      <w:rFonts w:hint="eastAsia"/>
                      <w:lang w:val="en-US" w:eastAsia="zh-CN"/>
                    </w:rPr>
                    <w:t>260</w:t>
                  </w:r>
                </w:p>
              </w:tc>
            </w:tr>
            <w:tr w14:paraId="1B980532">
              <w:tblPrEx>
                <w:tblCellMar>
                  <w:top w:w="0" w:type="dxa"/>
                  <w:left w:w="108" w:type="dxa"/>
                  <w:bottom w:w="0" w:type="dxa"/>
                  <w:right w:w="108" w:type="dxa"/>
                </w:tblCellMar>
              </w:tblPrEx>
              <w:trPr>
                <w:trHeight w:val="340" w:hRule="atLeast"/>
              </w:trPr>
              <w:tc>
                <w:tcPr>
                  <w:tcW w:w="533" w:type="pct"/>
                  <w:vMerge w:val="continue"/>
                  <w:tcBorders>
                    <w:left w:val="single" w:color="auto" w:sz="4" w:space="0"/>
                    <w:right w:val="single" w:color="auto" w:sz="4" w:space="0"/>
                  </w:tcBorders>
                  <w:vAlign w:val="center"/>
                </w:tcPr>
                <w:p w14:paraId="5B2E03EA">
                  <w:pPr>
                    <w:pStyle w:val="257"/>
                  </w:pPr>
                </w:p>
              </w:tc>
              <w:tc>
                <w:tcPr>
                  <w:tcW w:w="852" w:type="pct"/>
                  <w:tcBorders>
                    <w:top w:val="nil"/>
                    <w:left w:val="nil"/>
                    <w:bottom w:val="single" w:color="auto" w:sz="4" w:space="0"/>
                    <w:right w:val="single" w:color="auto" w:sz="4" w:space="0"/>
                  </w:tcBorders>
                  <w:shd w:val="clear" w:color="auto" w:fill="auto"/>
                  <w:vAlign w:val="center"/>
                </w:tcPr>
                <w:p w14:paraId="36D7734B">
                  <w:pPr>
                    <w:pStyle w:val="257"/>
                    <w:rPr>
                      <w:rFonts w:hint="eastAsia" w:eastAsia="宋体"/>
                      <w:lang w:eastAsia="zh-CN"/>
                    </w:rPr>
                  </w:pPr>
                  <w:r>
                    <w:rPr>
                      <w:rFonts w:hint="eastAsia"/>
                      <w:lang w:val="en-US" w:eastAsia="zh-CN"/>
                    </w:rPr>
                    <w:t>盐</w:t>
                  </w:r>
                </w:p>
              </w:tc>
              <w:tc>
                <w:tcPr>
                  <w:tcW w:w="852" w:type="pct"/>
                  <w:tcBorders>
                    <w:top w:val="nil"/>
                    <w:left w:val="nil"/>
                    <w:bottom w:val="single" w:color="auto" w:sz="4" w:space="0"/>
                    <w:right w:val="single" w:color="auto" w:sz="4" w:space="0"/>
                  </w:tcBorders>
                  <w:shd w:val="clear" w:color="auto" w:fill="auto"/>
                  <w:vAlign w:val="center"/>
                </w:tcPr>
                <w:p w14:paraId="5F7A4665">
                  <w:pPr>
                    <w:pStyle w:val="257"/>
                    <w:rPr>
                      <w:rFonts w:hint="default" w:eastAsia="宋体"/>
                      <w:lang w:val="en-US" w:eastAsia="zh-CN"/>
                    </w:rPr>
                  </w:pPr>
                  <w:r>
                    <w:rPr>
                      <w:rFonts w:hint="eastAsia"/>
                      <w:lang w:val="en-US" w:eastAsia="zh-CN"/>
                    </w:rPr>
                    <w:t>5</w:t>
                  </w:r>
                </w:p>
              </w:tc>
              <w:tc>
                <w:tcPr>
                  <w:tcW w:w="680" w:type="pct"/>
                  <w:tcBorders>
                    <w:top w:val="nil"/>
                    <w:left w:val="nil"/>
                    <w:bottom w:val="single" w:color="auto" w:sz="4" w:space="0"/>
                    <w:right w:val="single" w:color="auto" w:sz="4" w:space="0"/>
                  </w:tcBorders>
                  <w:shd w:val="clear" w:color="auto" w:fill="auto"/>
                  <w:vAlign w:val="center"/>
                </w:tcPr>
                <w:p w14:paraId="3287D80C">
                  <w:pPr>
                    <w:pStyle w:val="257"/>
                    <w:rPr>
                      <w:rFonts w:hint="eastAsia" w:eastAsia="宋体"/>
                      <w:lang w:eastAsia="zh-CN"/>
                    </w:rPr>
                  </w:pPr>
                  <w:r>
                    <w:rPr>
                      <w:rFonts w:hint="eastAsia"/>
                      <w:lang w:val="en-US" w:eastAsia="zh-CN"/>
                    </w:rPr>
                    <w:t>固废</w:t>
                  </w:r>
                </w:p>
              </w:tc>
              <w:tc>
                <w:tcPr>
                  <w:tcW w:w="1196" w:type="pct"/>
                  <w:tcBorders>
                    <w:top w:val="nil"/>
                    <w:left w:val="nil"/>
                    <w:bottom w:val="single" w:color="auto" w:sz="4" w:space="0"/>
                    <w:right w:val="single" w:color="auto" w:sz="4" w:space="0"/>
                  </w:tcBorders>
                  <w:shd w:val="clear" w:color="auto" w:fill="auto"/>
                  <w:vAlign w:val="center"/>
                </w:tcPr>
                <w:p w14:paraId="346F1BFB">
                  <w:pPr>
                    <w:pStyle w:val="257"/>
                    <w:rPr>
                      <w:rFonts w:hint="default" w:ascii="Times New Roman" w:hAnsi="Times New Roman" w:eastAsia="宋体" w:cs="Times New Roman"/>
                      <w:kern w:val="2"/>
                      <w:sz w:val="21"/>
                      <w:szCs w:val="21"/>
                      <w:lang w:val="en-US" w:eastAsia="zh-CN" w:bidi="ar-SA"/>
                    </w:rPr>
                  </w:pPr>
                  <w:r>
                    <w:rPr>
                      <w:rFonts w:hint="eastAsia"/>
                      <w:lang w:val="en-US" w:eastAsia="zh-CN"/>
                    </w:rPr>
                    <w:t>底料</w:t>
                  </w:r>
                </w:p>
              </w:tc>
              <w:tc>
                <w:tcPr>
                  <w:tcW w:w="884" w:type="pct"/>
                  <w:tcBorders>
                    <w:top w:val="nil"/>
                    <w:left w:val="nil"/>
                    <w:bottom w:val="single" w:color="auto" w:sz="4" w:space="0"/>
                    <w:right w:val="single" w:color="auto" w:sz="4" w:space="0"/>
                  </w:tcBorders>
                  <w:shd w:val="clear" w:color="auto" w:fill="auto"/>
                  <w:vAlign w:val="center"/>
                </w:tcPr>
                <w:p w14:paraId="0DE1E417">
                  <w:pPr>
                    <w:pStyle w:val="257"/>
                    <w:rPr>
                      <w:rFonts w:hint="default" w:ascii="Times New Roman" w:hAnsi="Times New Roman" w:eastAsia="宋体" w:cs="Times New Roman"/>
                      <w:kern w:val="2"/>
                      <w:sz w:val="21"/>
                      <w:szCs w:val="21"/>
                      <w:lang w:val="en-US" w:eastAsia="zh-CN" w:bidi="ar-SA"/>
                    </w:rPr>
                  </w:pPr>
                  <w:r>
                    <w:rPr>
                      <w:rFonts w:hint="eastAsia"/>
                      <w:lang w:val="en-US" w:eastAsia="zh-CN"/>
                    </w:rPr>
                    <w:t>9.77</w:t>
                  </w:r>
                </w:p>
              </w:tc>
            </w:tr>
            <w:tr w14:paraId="78C91883">
              <w:tblPrEx>
                <w:tblCellMar>
                  <w:top w:w="0" w:type="dxa"/>
                  <w:left w:w="108" w:type="dxa"/>
                  <w:bottom w:w="0" w:type="dxa"/>
                  <w:right w:w="108" w:type="dxa"/>
                </w:tblCellMar>
              </w:tblPrEx>
              <w:trPr>
                <w:trHeight w:val="340" w:hRule="atLeast"/>
              </w:trPr>
              <w:tc>
                <w:tcPr>
                  <w:tcW w:w="533" w:type="pct"/>
                  <w:vMerge w:val="continue"/>
                  <w:tcBorders>
                    <w:left w:val="single" w:color="auto" w:sz="4" w:space="0"/>
                    <w:right w:val="single" w:color="auto" w:sz="4" w:space="0"/>
                  </w:tcBorders>
                  <w:vAlign w:val="center"/>
                </w:tcPr>
                <w:p w14:paraId="23996620">
                  <w:pPr>
                    <w:pStyle w:val="257"/>
                  </w:pPr>
                </w:p>
              </w:tc>
              <w:tc>
                <w:tcPr>
                  <w:tcW w:w="852" w:type="pct"/>
                  <w:tcBorders>
                    <w:top w:val="nil"/>
                    <w:left w:val="nil"/>
                    <w:bottom w:val="single" w:color="auto" w:sz="4" w:space="0"/>
                    <w:right w:val="single" w:color="auto" w:sz="4" w:space="0"/>
                  </w:tcBorders>
                  <w:shd w:val="clear" w:color="auto" w:fill="auto"/>
                  <w:vAlign w:val="center"/>
                </w:tcPr>
                <w:p w14:paraId="0958DB07">
                  <w:pPr>
                    <w:pStyle w:val="257"/>
                    <w:rPr>
                      <w:rFonts w:hint="eastAsia" w:eastAsia="宋体"/>
                      <w:lang w:eastAsia="zh-CN"/>
                    </w:rPr>
                  </w:pPr>
                  <w:r>
                    <w:rPr>
                      <w:rFonts w:hint="eastAsia"/>
                      <w:lang w:val="en-US" w:eastAsia="zh-CN"/>
                    </w:rPr>
                    <w:t>油</w:t>
                  </w:r>
                </w:p>
              </w:tc>
              <w:tc>
                <w:tcPr>
                  <w:tcW w:w="852" w:type="pct"/>
                  <w:tcBorders>
                    <w:top w:val="nil"/>
                    <w:left w:val="nil"/>
                    <w:bottom w:val="single" w:color="auto" w:sz="4" w:space="0"/>
                    <w:right w:val="single" w:color="auto" w:sz="4" w:space="0"/>
                  </w:tcBorders>
                  <w:shd w:val="clear" w:color="auto" w:fill="auto"/>
                  <w:vAlign w:val="center"/>
                </w:tcPr>
                <w:p w14:paraId="14B55E48">
                  <w:pPr>
                    <w:pStyle w:val="257"/>
                    <w:rPr>
                      <w:rFonts w:hint="default" w:eastAsia="宋体"/>
                      <w:lang w:val="en-US" w:eastAsia="zh-CN"/>
                    </w:rPr>
                  </w:pPr>
                  <w:r>
                    <w:rPr>
                      <w:rFonts w:hint="eastAsia"/>
                      <w:lang w:val="en-US" w:eastAsia="zh-CN"/>
                    </w:rPr>
                    <w:t>1</w:t>
                  </w:r>
                </w:p>
              </w:tc>
              <w:tc>
                <w:tcPr>
                  <w:tcW w:w="1145" w:type="dxa"/>
                  <w:tcBorders>
                    <w:top w:val="nil"/>
                    <w:left w:val="single" w:color="auto" w:sz="4" w:space="0"/>
                    <w:bottom w:val="single" w:color="000000" w:sz="4" w:space="0"/>
                    <w:right w:val="nil"/>
                  </w:tcBorders>
                  <w:shd w:val="clear" w:color="auto" w:fill="auto"/>
                  <w:vAlign w:val="center"/>
                </w:tcPr>
                <w:p w14:paraId="5C1275AA">
                  <w:pPr>
                    <w:pStyle w:val="257"/>
                    <w:rPr>
                      <w:rFonts w:hint="default" w:eastAsia="宋体"/>
                      <w:lang w:val="en-US" w:eastAsia="zh-CN"/>
                    </w:rPr>
                  </w:pPr>
                  <w:r>
                    <w:rPr>
                      <w:rFonts w:hint="eastAsia"/>
                      <w:lang w:val="en-US" w:eastAsia="zh-CN"/>
                    </w:rPr>
                    <w:t>废气</w:t>
                  </w:r>
                </w:p>
              </w:tc>
              <w:tc>
                <w:tcPr>
                  <w:tcW w:w="2014" w:type="dxa"/>
                  <w:tcBorders>
                    <w:top w:val="nil"/>
                    <w:left w:val="single" w:color="auto" w:sz="4" w:space="0"/>
                    <w:bottom w:val="single" w:color="auto" w:sz="4" w:space="0"/>
                    <w:right w:val="single" w:color="auto" w:sz="4" w:space="0"/>
                  </w:tcBorders>
                  <w:shd w:val="clear" w:color="auto" w:fill="auto"/>
                  <w:vAlign w:val="center"/>
                </w:tcPr>
                <w:p w14:paraId="512D9926">
                  <w:pPr>
                    <w:pStyle w:val="257"/>
                    <w:rPr>
                      <w:rFonts w:hint="default" w:eastAsia="宋体"/>
                      <w:lang w:val="en-US" w:eastAsia="zh-CN"/>
                    </w:rPr>
                  </w:pPr>
                  <w:r>
                    <w:rPr>
                      <w:rFonts w:hint="eastAsia"/>
                      <w:lang w:val="en-US" w:eastAsia="zh-CN"/>
                    </w:rPr>
                    <w:t>油烟及水蒸气</w:t>
                  </w:r>
                </w:p>
              </w:tc>
              <w:tc>
                <w:tcPr>
                  <w:tcW w:w="1489" w:type="dxa"/>
                  <w:tcBorders>
                    <w:top w:val="nil"/>
                    <w:left w:val="nil"/>
                    <w:bottom w:val="single" w:color="auto" w:sz="4" w:space="0"/>
                    <w:right w:val="single" w:color="auto" w:sz="4" w:space="0"/>
                  </w:tcBorders>
                  <w:shd w:val="clear" w:color="auto" w:fill="auto"/>
                  <w:vAlign w:val="center"/>
                </w:tcPr>
                <w:p w14:paraId="3C47B928">
                  <w:pPr>
                    <w:pStyle w:val="257"/>
                    <w:rPr>
                      <w:rFonts w:hint="default" w:eastAsia="宋体"/>
                      <w:lang w:val="en-US" w:eastAsia="zh-CN"/>
                    </w:rPr>
                  </w:pPr>
                  <w:r>
                    <w:rPr>
                      <w:rFonts w:hint="eastAsia"/>
                      <w:lang w:val="en-US" w:eastAsia="zh-CN"/>
                    </w:rPr>
                    <w:t>0.23</w:t>
                  </w:r>
                </w:p>
              </w:tc>
            </w:tr>
            <w:tr w14:paraId="6E4689C5">
              <w:tblPrEx>
                <w:tblCellMar>
                  <w:top w:w="0" w:type="dxa"/>
                  <w:left w:w="108" w:type="dxa"/>
                  <w:bottom w:w="0" w:type="dxa"/>
                  <w:right w:w="108" w:type="dxa"/>
                </w:tblCellMar>
              </w:tblPrEx>
              <w:trPr>
                <w:trHeight w:val="340" w:hRule="atLeast"/>
              </w:trPr>
              <w:tc>
                <w:tcPr>
                  <w:tcW w:w="533" w:type="pct"/>
                  <w:vMerge w:val="continue"/>
                  <w:tcBorders>
                    <w:left w:val="single" w:color="auto" w:sz="4" w:space="0"/>
                    <w:right w:val="single" w:color="auto" w:sz="4" w:space="0"/>
                  </w:tcBorders>
                  <w:vAlign w:val="center"/>
                </w:tcPr>
                <w:p w14:paraId="325584A0">
                  <w:pPr>
                    <w:pStyle w:val="257"/>
                  </w:pPr>
                </w:p>
              </w:tc>
              <w:tc>
                <w:tcPr>
                  <w:tcW w:w="852" w:type="pct"/>
                  <w:tcBorders>
                    <w:top w:val="nil"/>
                    <w:left w:val="nil"/>
                    <w:bottom w:val="single" w:color="auto" w:sz="4" w:space="0"/>
                    <w:right w:val="single" w:color="auto" w:sz="4" w:space="0"/>
                  </w:tcBorders>
                  <w:shd w:val="clear" w:color="auto" w:fill="auto"/>
                  <w:vAlign w:val="center"/>
                </w:tcPr>
                <w:p w14:paraId="5560D34F">
                  <w:pPr>
                    <w:pStyle w:val="257"/>
                    <w:rPr>
                      <w:rFonts w:hint="default"/>
                      <w:lang w:val="en-US" w:eastAsia="zh-CN"/>
                    </w:rPr>
                  </w:pPr>
                  <w:r>
                    <w:rPr>
                      <w:rFonts w:hint="eastAsia"/>
                      <w:lang w:val="en-US" w:eastAsia="zh-CN"/>
                    </w:rPr>
                    <w:t>大料</w:t>
                  </w:r>
                </w:p>
              </w:tc>
              <w:tc>
                <w:tcPr>
                  <w:tcW w:w="852" w:type="pct"/>
                  <w:tcBorders>
                    <w:top w:val="nil"/>
                    <w:left w:val="nil"/>
                    <w:bottom w:val="single" w:color="auto" w:sz="4" w:space="0"/>
                    <w:right w:val="single" w:color="auto" w:sz="4" w:space="0"/>
                  </w:tcBorders>
                  <w:shd w:val="clear" w:color="auto" w:fill="auto"/>
                  <w:vAlign w:val="center"/>
                </w:tcPr>
                <w:p w14:paraId="60727B57">
                  <w:pPr>
                    <w:pStyle w:val="257"/>
                    <w:rPr>
                      <w:rFonts w:hint="default"/>
                      <w:lang w:val="en-US" w:eastAsia="zh-CN"/>
                    </w:rPr>
                  </w:pPr>
                  <w:r>
                    <w:rPr>
                      <w:rFonts w:hint="eastAsia"/>
                      <w:lang w:val="en-US" w:eastAsia="zh-CN"/>
                    </w:rPr>
                    <w:t>3</w:t>
                  </w:r>
                </w:p>
              </w:tc>
              <w:tc>
                <w:tcPr>
                  <w:tcW w:w="680" w:type="pct"/>
                  <w:tcBorders>
                    <w:top w:val="nil"/>
                    <w:left w:val="single" w:color="auto" w:sz="4" w:space="0"/>
                    <w:bottom w:val="single" w:color="000000" w:sz="4" w:space="0"/>
                    <w:right w:val="nil"/>
                  </w:tcBorders>
                  <w:shd w:val="clear" w:color="auto" w:fill="auto"/>
                  <w:vAlign w:val="center"/>
                </w:tcPr>
                <w:p w14:paraId="5527255D">
                  <w:pPr>
                    <w:pStyle w:val="257"/>
                    <w:rPr>
                      <w:rFonts w:hint="default" w:eastAsia="宋体"/>
                      <w:lang w:val="en-US" w:eastAsia="zh-CN"/>
                    </w:rPr>
                  </w:pPr>
                </w:p>
              </w:tc>
              <w:tc>
                <w:tcPr>
                  <w:tcW w:w="1196" w:type="pct"/>
                  <w:tcBorders>
                    <w:top w:val="nil"/>
                    <w:left w:val="single" w:color="auto" w:sz="4" w:space="0"/>
                    <w:bottom w:val="single" w:color="auto" w:sz="4" w:space="0"/>
                    <w:right w:val="single" w:color="auto" w:sz="4" w:space="0"/>
                  </w:tcBorders>
                  <w:shd w:val="clear" w:color="auto" w:fill="auto"/>
                  <w:vAlign w:val="center"/>
                </w:tcPr>
                <w:p w14:paraId="49D0EAB0">
                  <w:pPr>
                    <w:pStyle w:val="257"/>
                    <w:rPr>
                      <w:rFonts w:hint="default"/>
                      <w:lang w:val="en-US" w:eastAsia="zh-CN"/>
                    </w:rPr>
                  </w:pPr>
                </w:p>
              </w:tc>
              <w:tc>
                <w:tcPr>
                  <w:tcW w:w="884" w:type="pct"/>
                  <w:tcBorders>
                    <w:top w:val="nil"/>
                    <w:left w:val="nil"/>
                    <w:bottom w:val="single" w:color="auto" w:sz="4" w:space="0"/>
                    <w:right w:val="single" w:color="auto" w:sz="4" w:space="0"/>
                  </w:tcBorders>
                  <w:shd w:val="clear" w:color="auto" w:fill="auto"/>
                  <w:vAlign w:val="center"/>
                </w:tcPr>
                <w:p w14:paraId="2E11DB1E">
                  <w:pPr>
                    <w:pStyle w:val="257"/>
                    <w:rPr>
                      <w:rFonts w:hint="default"/>
                      <w:lang w:val="en-US" w:eastAsia="zh-CN"/>
                    </w:rPr>
                  </w:pPr>
                </w:p>
              </w:tc>
            </w:tr>
            <w:tr w14:paraId="390FC176">
              <w:tblPrEx>
                <w:tblCellMar>
                  <w:top w:w="0" w:type="dxa"/>
                  <w:left w:w="108" w:type="dxa"/>
                  <w:bottom w:w="0" w:type="dxa"/>
                  <w:right w:w="108" w:type="dxa"/>
                </w:tblCellMar>
              </w:tblPrEx>
              <w:trPr>
                <w:trHeight w:val="340" w:hRule="atLeast"/>
              </w:trPr>
              <w:tc>
                <w:tcPr>
                  <w:tcW w:w="533" w:type="pct"/>
                  <w:vMerge w:val="continue"/>
                  <w:tcBorders>
                    <w:left w:val="single" w:color="auto" w:sz="4" w:space="0"/>
                    <w:bottom w:val="single" w:color="auto" w:sz="4" w:space="0"/>
                    <w:right w:val="single" w:color="auto" w:sz="4" w:space="0"/>
                  </w:tcBorders>
                  <w:vAlign w:val="center"/>
                </w:tcPr>
                <w:p w14:paraId="1FA4C495">
                  <w:pPr>
                    <w:pStyle w:val="257"/>
                  </w:pPr>
                </w:p>
              </w:tc>
              <w:tc>
                <w:tcPr>
                  <w:tcW w:w="852" w:type="pct"/>
                  <w:tcBorders>
                    <w:top w:val="nil"/>
                    <w:left w:val="nil"/>
                    <w:bottom w:val="single" w:color="auto" w:sz="4" w:space="0"/>
                    <w:right w:val="single" w:color="auto" w:sz="4" w:space="0"/>
                  </w:tcBorders>
                  <w:shd w:val="clear" w:color="auto" w:fill="auto"/>
                  <w:vAlign w:val="center"/>
                </w:tcPr>
                <w:p w14:paraId="40F19AA4">
                  <w:pPr>
                    <w:pStyle w:val="257"/>
                    <w:rPr>
                      <w:rFonts w:hint="default"/>
                      <w:lang w:val="en-US" w:eastAsia="zh-CN"/>
                    </w:rPr>
                  </w:pPr>
                  <w:r>
                    <w:rPr>
                      <w:rFonts w:hint="eastAsia"/>
                      <w:lang w:val="en-US" w:eastAsia="zh-CN"/>
                    </w:rPr>
                    <w:t>水</w:t>
                  </w:r>
                </w:p>
              </w:tc>
              <w:tc>
                <w:tcPr>
                  <w:tcW w:w="852" w:type="pct"/>
                  <w:tcBorders>
                    <w:top w:val="nil"/>
                    <w:left w:val="nil"/>
                    <w:bottom w:val="single" w:color="auto" w:sz="4" w:space="0"/>
                    <w:right w:val="single" w:color="auto" w:sz="4" w:space="0"/>
                  </w:tcBorders>
                  <w:shd w:val="clear" w:color="auto" w:fill="auto"/>
                  <w:vAlign w:val="center"/>
                </w:tcPr>
                <w:p w14:paraId="16C4EFD7">
                  <w:pPr>
                    <w:pStyle w:val="257"/>
                    <w:rPr>
                      <w:rFonts w:hint="default"/>
                      <w:lang w:val="en-US" w:eastAsia="zh-CN"/>
                    </w:rPr>
                  </w:pPr>
                  <w:r>
                    <w:rPr>
                      <w:rFonts w:hint="eastAsia"/>
                      <w:lang w:val="en-US" w:eastAsia="zh-CN"/>
                    </w:rPr>
                    <w:t>1</w:t>
                  </w:r>
                </w:p>
              </w:tc>
              <w:tc>
                <w:tcPr>
                  <w:tcW w:w="680" w:type="pct"/>
                  <w:tcBorders>
                    <w:top w:val="nil"/>
                    <w:left w:val="single" w:color="auto" w:sz="4" w:space="0"/>
                    <w:bottom w:val="single" w:color="000000" w:sz="4" w:space="0"/>
                    <w:right w:val="nil"/>
                  </w:tcBorders>
                  <w:shd w:val="clear" w:color="auto" w:fill="auto"/>
                  <w:vAlign w:val="center"/>
                </w:tcPr>
                <w:p w14:paraId="68D5F8A2">
                  <w:pPr>
                    <w:pStyle w:val="257"/>
                    <w:rPr>
                      <w:rFonts w:hint="default" w:eastAsia="宋体"/>
                      <w:lang w:val="en-US" w:eastAsia="zh-CN"/>
                    </w:rPr>
                  </w:pPr>
                </w:p>
              </w:tc>
              <w:tc>
                <w:tcPr>
                  <w:tcW w:w="1196" w:type="pct"/>
                  <w:tcBorders>
                    <w:top w:val="nil"/>
                    <w:left w:val="single" w:color="auto" w:sz="4" w:space="0"/>
                    <w:bottom w:val="single" w:color="auto" w:sz="4" w:space="0"/>
                    <w:right w:val="single" w:color="auto" w:sz="4" w:space="0"/>
                  </w:tcBorders>
                  <w:shd w:val="clear" w:color="auto" w:fill="auto"/>
                  <w:vAlign w:val="center"/>
                </w:tcPr>
                <w:p w14:paraId="60BCFBA9">
                  <w:pPr>
                    <w:pStyle w:val="257"/>
                    <w:rPr>
                      <w:rFonts w:hint="default"/>
                      <w:lang w:val="en-US" w:eastAsia="zh-CN"/>
                    </w:rPr>
                  </w:pPr>
                </w:p>
              </w:tc>
              <w:tc>
                <w:tcPr>
                  <w:tcW w:w="884" w:type="pct"/>
                  <w:tcBorders>
                    <w:top w:val="nil"/>
                    <w:left w:val="nil"/>
                    <w:bottom w:val="single" w:color="auto" w:sz="4" w:space="0"/>
                    <w:right w:val="single" w:color="auto" w:sz="4" w:space="0"/>
                  </w:tcBorders>
                  <w:shd w:val="clear" w:color="auto" w:fill="auto"/>
                  <w:vAlign w:val="center"/>
                </w:tcPr>
                <w:p w14:paraId="455DD962">
                  <w:pPr>
                    <w:pStyle w:val="257"/>
                    <w:rPr>
                      <w:rFonts w:hint="default"/>
                      <w:lang w:val="en-US" w:eastAsia="zh-CN"/>
                    </w:rPr>
                  </w:pPr>
                </w:p>
              </w:tc>
            </w:tr>
            <w:tr w14:paraId="54B219EA">
              <w:tblPrEx>
                <w:tblCellMar>
                  <w:top w:w="0" w:type="dxa"/>
                  <w:left w:w="108" w:type="dxa"/>
                  <w:bottom w:w="0" w:type="dxa"/>
                  <w:right w:w="108" w:type="dxa"/>
                </w:tblCellMar>
              </w:tblPrEx>
              <w:trPr>
                <w:trHeight w:val="340" w:hRule="atLeast"/>
              </w:trPr>
              <w:tc>
                <w:tcPr>
                  <w:tcW w:w="1386" w:type="pct"/>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2BB2F40F">
                  <w:pPr>
                    <w:pStyle w:val="257"/>
                  </w:pPr>
                  <w:r>
                    <w:rPr>
                      <w:rFonts w:hint="eastAsia"/>
                    </w:rPr>
                    <w:t>合计</w:t>
                  </w:r>
                </w:p>
              </w:tc>
              <w:tc>
                <w:tcPr>
                  <w:tcW w:w="852" w:type="pct"/>
                  <w:tcBorders>
                    <w:top w:val="nil"/>
                    <w:left w:val="nil"/>
                    <w:bottom w:val="single" w:color="auto" w:sz="4" w:space="0"/>
                    <w:right w:val="single" w:color="auto" w:sz="4" w:space="0"/>
                  </w:tcBorders>
                  <w:shd w:val="clear" w:color="auto" w:fill="auto"/>
                  <w:vAlign w:val="center"/>
                </w:tcPr>
                <w:p w14:paraId="110DB521">
                  <w:pPr>
                    <w:pStyle w:val="257"/>
                    <w:rPr>
                      <w:rFonts w:hint="default" w:eastAsia="宋体"/>
                      <w:lang w:val="en-US" w:eastAsia="zh-CN"/>
                    </w:rPr>
                  </w:pPr>
                  <w:r>
                    <w:rPr>
                      <w:rFonts w:hint="eastAsia"/>
                      <w:lang w:val="en-US" w:eastAsia="zh-CN"/>
                    </w:rPr>
                    <w:t>270</w:t>
                  </w:r>
                </w:p>
              </w:tc>
              <w:tc>
                <w:tcPr>
                  <w:tcW w:w="1876" w:type="pct"/>
                  <w:gridSpan w:val="2"/>
                  <w:tcBorders>
                    <w:top w:val="single" w:color="auto" w:sz="4" w:space="0"/>
                    <w:left w:val="nil"/>
                    <w:bottom w:val="single" w:color="auto" w:sz="4" w:space="0"/>
                    <w:right w:val="single" w:color="000000" w:sz="4" w:space="0"/>
                  </w:tcBorders>
                  <w:shd w:val="clear" w:color="auto" w:fill="auto"/>
                  <w:vAlign w:val="center"/>
                </w:tcPr>
                <w:p w14:paraId="2278A5A0">
                  <w:pPr>
                    <w:pStyle w:val="257"/>
                  </w:pPr>
                  <w:r>
                    <w:rPr>
                      <w:rFonts w:hint="eastAsia"/>
                    </w:rPr>
                    <w:t>合计</w:t>
                  </w:r>
                </w:p>
              </w:tc>
              <w:tc>
                <w:tcPr>
                  <w:tcW w:w="884" w:type="pct"/>
                  <w:tcBorders>
                    <w:top w:val="nil"/>
                    <w:left w:val="nil"/>
                    <w:bottom w:val="single" w:color="auto" w:sz="4" w:space="0"/>
                    <w:right w:val="single" w:color="auto" w:sz="4" w:space="0"/>
                  </w:tcBorders>
                  <w:shd w:val="clear" w:color="auto" w:fill="auto"/>
                  <w:vAlign w:val="center"/>
                </w:tcPr>
                <w:p w14:paraId="5D9DECDB">
                  <w:pPr>
                    <w:pStyle w:val="257"/>
                    <w:rPr>
                      <w:rFonts w:hint="default" w:eastAsia="宋体"/>
                      <w:lang w:val="en-US" w:eastAsia="zh-CN"/>
                    </w:rPr>
                  </w:pPr>
                  <w:r>
                    <w:rPr>
                      <w:rFonts w:hint="eastAsia"/>
                      <w:lang w:val="en-US" w:eastAsia="zh-CN"/>
                    </w:rPr>
                    <w:t>270</w:t>
                  </w:r>
                </w:p>
              </w:tc>
            </w:tr>
          </w:tbl>
          <w:p w14:paraId="256E32BB">
            <w:pPr>
              <w:pStyle w:val="144"/>
              <w:numPr>
                <w:ilvl w:val="0"/>
                <w:numId w:val="0"/>
              </w:numPr>
              <w:ind w:left="23" w:leftChars="11" w:firstLine="480" w:firstLineChars="200"/>
              <w:rPr>
                <w:rFonts w:hint="eastAsia"/>
                <w:lang w:val="en-US" w:eastAsia="zh-CN"/>
              </w:rPr>
            </w:pPr>
            <w:r>
              <w:rPr>
                <w:rFonts w:hint="eastAsia" w:ascii="Times New Roman" w:hAnsi="Times New Roman" w:eastAsia="宋体" w:cs="Times New Roman"/>
                <w:kern w:val="2"/>
                <w:sz w:val="24"/>
                <w:szCs w:val="24"/>
                <w:lang w:val="en-US" w:eastAsia="zh-CN" w:bidi="ar-SA"/>
              </w:rPr>
              <w:t>（2）</w:t>
            </w:r>
            <w:r>
              <w:rPr>
                <w:rFonts w:hint="eastAsia"/>
                <w:lang w:val="en-US" w:eastAsia="zh-CN"/>
              </w:rPr>
              <w:t>水平衡</w:t>
            </w:r>
          </w:p>
          <w:p w14:paraId="19CFFA0F">
            <w:pPr>
              <w:pStyle w:val="144"/>
              <w:numPr>
                <w:ilvl w:val="0"/>
                <w:numId w:val="0"/>
              </w:numPr>
              <w:ind w:leftChars="211"/>
              <w:jc w:val="left"/>
            </w:pPr>
            <w:r>
              <w:drawing>
                <wp:anchor distT="0" distB="0" distL="114300" distR="114300" simplePos="0" relativeHeight="251662336" behindDoc="0" locked="0" layoutInCell="1" allowOverlap="1">
                  <wp:simplePos x="0" y="0"/>
                  <wp:positionH relativeFrom="column">
                    <wp:posOffset>82550</wp:posOffset>
                  </wp:positionH>
                  <wp:positionV relativeFrom="paragraph">
                    <wp:posOffset>296545</wp:posOffset>
                  </wp:positionV>
                  <wp:extent cx="5158105" cy="3405505"/>
                  <wp:effectExtent l="0" t="0" r="4445" b="444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5158105" cy="3405505"/>
                          </a:xfrm>
                          <a:prstGeom prst="rect">
                            <a:avLst/>
                          </a:prstGeom>
                          <a:noFill/>
                          <a:ln>
                            <a:noFill/>
                          </a:ln>
                        </pic:spPr>
                      </pic:pic>
                    </a:graphicData>
                  </a:graphic>
                </wp:anchor>
              </w:drawing>
            </w:r>
            <w:r>
              <w:rPr>
                <w:rFonts w:hint="eastAsia"/>
              </w:rPr>
              <w:t>由上文</w:t>
            </w:r>
            <w:r>
              <w:t>计算，本项目水平衡情况如下：</w:t>
            </w:r>
          </w:p>
          <w:p w14:paraId="394E6396">
            <w:pPr>
              <w:pStyle w:val="144"/>
              <w:ind w:firstLine="3360" w:firstLineChars="1400"/>
              <w:rPr>
                <w:rFonts w:hint="eastAsia" w:ascii="Times New Roman" w:hAnsi="Times New Roman"/>
                <w:lang w:val="en-US"/>
              </w:rPr>
            </w:pPr>
            <w:r>
              <w:rPr>
                <w:rFonts w:hint="eastAsia"/>
                <w:lang w:val="en-US" w:eastAsia="zh-CN"/>
              </w:rPr>
              <w:t xml:space="preserve">图1  </w:t>
            </w:r>
            <w:r>
              <w:rPr>
                <w:rFonts w:hint="eastAsia" w:ascii="Times New Roman" w:hAnsi="Times New Roman"/>
                <w:lang w:val="en-US"/>
              </w:rPr>
              <w:t>水平衡图（t/a）</w:t>
            </w:r>
          </w:p>
          <w:p w14:paraId="7C21ADB8">
            <w:pPr>
              <w:pStyle w:val="259"/>
              <w:spacing w:before="120" w:after="120"/>
            </w:pPr>
            <w:bookmarkStart w:id="27" w:name="_Toc197848432"/>
            <w:r>
              <w:t>8、</w:t>
            </w:r>
            <w:r>
              <w:rPr>
                <w:rFonts w:hint="eastAsia"/>
              </w:rPr>
              <w:t>平面布置简述</w:t>
            </w:r>
            <w:bookmarkEnd w:id="27"/>
          </w:p>
          <w:p w14:paraId="53F04938">
            <w:pPr>
              <w:spacing w:line="360" w:lineRule="auto"/>
              <w:ind w:firstLine="480" w:firstLineChars="200"/>
              <w:rPr>
                <w:rFonts w:hint="eastAsia"/>
                <w:sz w:val="24"/>
                <w:szCs w:val="32"/>
              </w:rPr>
            </w:pPr>
            <w:r>
              <w:rPr>
                <w:sz w:val="24"/>
                <w:szCs w:val="32"/>
              </w:rPr>
              <w:t>本项目场地内按功能主要分为</w:t>
            </w:r>
            <w:r>
              <w:rPr>
                <w:kern w:val="0"/>
                <w:sz w:val="24"/>
                <w:szCs w:val="32"/>
                <w:lang w:bidi="ar"/>
              </w:rPr>
              <w:t>生产车间、</w:t>
            </w:r>
            <w:r>
              <w:rPr>
                <w:rFonts w:hint="eastAsia"/>
                <w:kern w:val="0"/>
                <w:sz w:val="24"/>
                <w:szCs w:val="32"/>
                <w:lang w:val="en-US" w:eastAsia="zh-CN" w:bidi="ar"/>
              </w:rPr>
              <w:t>办公室</w:t>
            </w:r>
            <w:r>
              <w:rPr>
                <w:kern w:val="0"/>
                <w:sz w:val="24"/>
                <w:szCs w:val="32"/>
                <w:lang w:bidi="ar"/>
              </w:rPr>
              <w:t>、废水处理站等</w:t>
            </w:r>
            <w:r>
              <w:rPr>
                <w:sz w:val="24"/>
                <w:szCs w:val="32"/>
              </w:rPr>
              <w:t>；生产区设置</w:t>
            </w:r>
            <w:r>
              <w:rPr>
                <w:rFonts w:hint="eastAsia"/>
                <w:sz w:val="24"/>
                <w:szCs w:val="32"/>
                <w:lang w:val="en-US" w:eastAsia="zh-CN"/>
              </w:rPr>
              <w:t>车间</w:t>
            </w:r>
            <w:r>
              <w:rPr>
                <w:sz w:val="24"/>
                <w:szCs w:val="32"/>
              </w:rPr>
              <w:t>中间，紧邻</w:t>
            </w:r>
            <w:r>
              <w:rPr>
                <w:rFonts w:hint="eastAsia"/>
                <w:sz w:val="24"/>
                <w:szCs w:val="32"/>
                <w:lang w:val="en-US" w:eastAsia="zh-CN"/>
              </w:rPr>
              <w:t>原料库和</w:t>
            </w:r>
            <w:r>
              <w:rPr>
                <w:sz w:val="24"/>
                <w:szCs w:val="32"/>
              </w:rPr>
              <w:t>成品库，节省了搬运的时间。各生产工序按照工艺流程</w:t>
            </w:r>
            <w:r>
              <w:rPr>
                <w:rFonts w:hint="eastAsia"/>
                <w:sz w:val="24"/>
                <w:szCs w:val="32"/>
              </w:rPr>
              <w:t>流水线</w:t>
            </w:r>
            <w:r>
              <w:rPr>
                <w:sz w:val="24"/>
                <w:szCs w:val="32"/>
              </w:rPr>
              <w:t>布设，项目功能分区明确，总平面布置能保证物料运输畅通，有效</w:t>
            </w:r>
            <w:r>
              <w:rPr>
                <w:rFonts w:hint="eastAsia"/>
                <w:sz w:val="24"/>
                <w:szCs w:val="32"/>
                <w:lang w:val="en-US" w:eastAsia="zh-CN"/>
              </w:rPr>
              <w:t>得</w:t>
            </w:r>
            <w:r>
              <w:rPr>
                <w:sz w:val="24"/>
                <w:szCs w:val="32"/>
              </w:rPr>
              <w:t>利用空间，最大限度</w:t>
            </w:r>
            <w:r>
              <w:rPr>
                <w:rFonts w:hint="eastAsia"/>
                <w:sz w:val="24"/>
                <w:szCs w:val="32"/>
                <w:lang w:eastAsia="zh-CN"/>
              </w:rPr>
              <w:t>地</w:t>
            </w:r>
            <w:r>
              <w:rPr>
                <w:sz w:val="24"/>
                <w:szCs w:val="32"/>
              </w:rPr>
              <w:t>减少物料搬运、简化作业流程；各生产设备均合理布设后安装在厂内，最大程度减轻对外环境的影响。本项目建设污水</w:t>
            </w:r>
            <w:r>
              <w:rPr>
                <w:rFonts w:hint="eastAsia"/>
                <w:sz w:val="24"/>
                <w:szCs w:val="32"/>
                <w:lang w:val="en-US" w:eastAsia="zh-CN"/>
              </w:rPr>
              <w:t>处理</w:t>
            </w:r>
            <w:r>
              <w:rPr>
                <w:sz w:val="24"/>
                <w:szCs w:val="32"/>
              </w:rPr>
              <w:t>站位于厂房</w:t>
            </w:r>
            <w:r>
              <w:rPr>
                <w:rFonts w:hint="eastAsia"/>
                <w:sz w:val="24"/>
                <w:szCs w:val="32"/>
                <w:lang w:val="en-US" w:eastAsia="zh-CN"/>
              </w:rPr>
              <w:t>西</w:t>
            </w:r>
            <w:r>
              <w:rPr>
                <w:rFonts w:hint="eastAsia"/>
                <w:sz w:val="24"/>
                <w:szCs w:val="32"/>
              </w:rPr>
              <w:t>侧</w:t>
            </w:r>
            <w:r>
              <w:rPr>
                <w:sz w:val="24"/>
                <w:szCs w:val="32"/>
              </w:rPr>
              <w:t>。厂房平面布置详见附图</w:t>
            </w:r>
            <w:r>
              <w:rPr>
                <w:rFonts w:hint="eastAsia"/>
                <w:sz w:val="24"/>
                <w:szCs w:val="32"/>
              </w:rPr>
              <w:t>。</w:t>
            </w:r>
          </w:p>
        </w:tc>
      </w:tr>
      <w:tr w14:paraId="7BA963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2" w:hRule="atLeast"/>
          <w:jc w:val="center"/>
        </w:trPr>
        <w:tc>
          <w:tcPr>
            <w:tcW w:w="534" w:type="dxa"/>
            <w:vAlign w:val="center"/>
          </w:tcPr>
          <w:p w14:paraId="3CEA5990">
            <w:pPr>
              <w:pStyle w:val="42"/>
              <w:adjustRightInd w:val="0"/>
              <w:snapToGrid w:val="0"/>
              <w:spacing w:before="0" w:beforeAutospacing="0" w:after="0" w:afterAutospacing="0"/>
              <w:jc w:val="center"/>
              <w:rPr>
                <w:rFonts w:ascii="Times New Roman" w:hAnsi="Times New Roman"/>
                <w:sz w:val="21"/>
                <w:szCs w:val="21"/>
              </w:rPr>
            </w:pPr>
            <w:r>
              <w:rPr>
                <w:rFonts w:ascii="Times New Roman" w:hAnsi="Times New Roman"/>
                <w:sz w:val="21"/>
                <w:szCs w:val="21"/>
              </w:rPr>
              <w:t>工艺流程和产排污环节</w:t>
            </w:r>
          </w:p>
        </w:tc>
        <w:tc>
          <w:tcPr>
            <w:tcW w:w="8526" w:type="dxa"/>
          </w:tcPr>
          <w:p w14:paraId="5837AD22">
            <w:pPr>
              <w:pStyle w:val="259"/>
              <w:spacing w:before="120" w:after="120"/>
            </w:pPr>
            <w:bookmarkStart w:id="28" w:name="_Toc197848433"/>
            <w:r>
              <w:t>1、施工期工艺流程</w:t>
            </w:r>
            <w:bookmarkEnd w:id="28"/>
          </w:p>
          <w:p w14:paraId="53B99FC7">
            <w:pPr>
              <w:pStyle w:val="100"/>
            </w:pPr>
            <w:r>
              <w:rPr>
                <w:rFonts w:hint="eastAsia"/>
              </w:rPr>
              <w:t>本项目</w:t>
            </w:r>
            <w:r>
              <w:t>租赁</w:t>
            </w:r>
            <w:r>
              <w:rPr>
                <w:rFonts w:hint="eastAsia"/>
              </w:rPr>
              <w:t>现有厂房进行建设，施工期仅为</w:t>
            </w:r>
            <w:r>
              <w:rPr>
                <w:rFonts w:hint="eastAsia"/>
                <w:lang w:val="en-US" w:eastAsia="zh-CN"/>
              </w:rPr>
              <w:t>生产</w:t>
            </w:r>
            <w:r>
              <w:rPr>
                <w:rFonts w:hint="eastAsia"/>
              </w:rPr>
              <w:t>设备</w:t>
            </w:r>
            <w:r>
              <w:t>的</w:t>
            </w:r>
            <w:r>
              <w:rPr>
                <w:rFonts w:hint="eastAsia"/>
                <w:lang w:val="en-US" w:eastAsia="zh-CN"/>
              </w:rPr>
              <w:t>安装和</w:t>
            </w:r>
            <w:r>
              <w:t>修复调试，</w:t>
            </w:r>
            <w:r>
              <w:rPr>
                <w:rFonts w:hint="eastAsia"/>
              </w:rPr>
              <w:t>因此，本次环评对施工期环境影响不作详细分析。</w:t>
            </w:r>
          </w:p>
          <w:p w14:paraId="78E09329">
            <w:pPr>
              <w:pStyle w:val="259"/>
              <w:spacing w:before="120" w:after="120"/>
            </w:pPr>
            <w:bookmarkStart w:id="29" w:name="_Toc197848434"/>
            <w:r>
              <w:t>2、运营期工艺流程</w:t>
            </w:r>
            <w:r>
              <w:rPr>
                <w:rFonts w:hint="eastAsia"/>
              </w:rPr>
              <w:t>产污</w:t>
            </w:r>
            <w:r>
              <w:t>环节</w:t>
            </w:r>
            <w:bookmarkEnd w:id="29"/>
          </w:p>
          <w:p w14:paraId="21B3D163">
            <w:pPr>
              <w:pStyle w:val="100"/>
              <w:rPr>
                <w:rFonts w:hint="eastAsia"/>
                <w:lang w:val="en-US" w:eastAsia="zh-CN"/>
              </w:rPr>
            </w:pPr>
            <w:r>
              <w:rPr>
                <w:rFonts w:hint="eastAsia"/>
                <w:lang w:eastAsia="zh-CN"/>
              </w:rPr>
              <w:t>（</w:t>
            </w:r>
            <w:r>
              <w:rPr>
                <w:rFonts w:hint="eastAsia"/>
                <w:lang w:val="en-US" w:eastAsia="zh-CN"/>
              </w:rPr>
              <w:t>1</w:t>
            </w:r>
            <w:r>
              <w:rPr>
                <w:rFonts w:hint="eastAsia"/>
                <w:lang w:eastAsia="zh-CN"/>
              </w:rPr>
              <w:t>）</w:t>
            </w:r>
            <w:r>
              <w:rPr>
                <w:rFonts w:hint="eastAsia"/>
                <w:lang w:val="en-US" w:eastAsia="zh-CN"/>
              </w:rPr>
              <w:t>黄豆酱生产工艺</w:t>
            </w:r>
          </w:p>
          <w:p w14:paraId="4D425B39">
            <w:pPr>
              <w:pStyle w:val="100"/>
              <w:rPr>
                <w:rFonts w:hint="default"/>
                <w:lang w:val="en-US" w:eastAsia="zh-CN"/>
              </w:rPr>
            </w:pPr>
            <w:r>
              <w:drawing>
                <wp:anchor distT="0" distB="0" distL="114300" distR="114300" simplePos="0" relativeHeight="251661312" behindDoc="0" locked="0" layoutInCell="1" allowOverlap="1">
                  <wp:simplePos x="0" y="0"/>
                  <wp:positionH relativeFrom="column">
                    <wp:posOffset>312420</wp:posOffset>
                  </wp:positionH>
                  <wp:positionV relativeFrom="paragraph">
                    <wp:posOffset>0</wp:posOffset>
                  </wp:positionV>
                  <wp:extent cx="5367655" cy="858520"/>
                  <wp:effectExtent l="0" t="0" r="4445" b="17780"/>
                  <wp:wrapSquare wrapText="bothSides"/>
                  <wp:docPr id="2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
                          <pic:cNvPicPr>
                            <a:picLocks noChangeAspect="1"/>
                          </pic:cNvPicPr>
                        </pic:nvPicPr>
                        <pic:blipFill>
                          <a:blip r:embed="rId7"/>
                          <a:stretch>
                            <a:fillRect/>
                          </a:stretch>
                        </pic:blipFill>
                        <pic:spPr>
                          <a:xfrm>
                            <a:off x="0" y="0"/>
                            <a:ext cx="5367655" cy="858520"/>
                          </a:xfrm>
                          <a:prstGeom prst="rect">
                            <a:avLst/>
                          </a:prstGeom>
                          <a:noFill/>
                          <a:ln>
                            <a:noFill/>
                          </a:ln>
                        </pic:spPr>
                      </pic:pic>
                    </a:graphicData>
                  </a:graphic>
                </wp:anchor>
              </w:drawing>
            </w:r>
          </w:p>
          <w:p w14:paraId="22F99012">
            <w:pPr>
              <w:pStyle w:val="110"/>
              <w:numPr>
                <w:ilvl w:val="0"/>
                <w:numId w:val="0"/>
              </w:numPr>
              <w:spacing w:after="120"/>
              <w:ind w:leftChars="0"/>
              <w:rPr>
                <w:rFonts w:ascii="Times New Roman" w:hAnsi="Times New Roman"/>
              </w:rPr>
            </w:pPr>
            <w:r>
              <w:rPr>
                <w:rFonts w:hint="eastAsia" w:ascii="Times New Roman" w:hAnsi="Times New Roman"/>
                <w:lang w:val="en-US" w:eastAsia="zh-CN"/>
              </w:rPr>
              <w:t xml:space="preserve">图2 </w:t>
            </w:r>
            <w:r>
              <w:rPr>
                <w:rFonts w:hint="eastAsia" w:ascii="Times New Roman" w:hAnsi="Times New Roman"/>
                <w:lang w:val="en-US"/>
              </w:rPr>
              <w:t>生产</w:t>
            </w:r>
            <w:r>
              <w:rPr>
                <w:rFonts w:ascii="Times New Roman" w:hAnsi="Times New Roman"/>
              </w:rPr>
              <w:t>工艺流程</w:t>
            </w:r>
            <w:r>
              <w:rPr>
                <w:rFonts w:hint="eastAsia" w:ascii="Times New Roman" w:hAnsi="Times New Roman"/>
                <w:lang w:val="en-US"/>
              </w:rPr>
              <w:t>及产污环节</w:t>
            </w:r>
            <w:r>
              <w:rPr>
                <w:rFonts w:ascii="Times New Roman" w:hAnsi="Times New Roman"/>
              </w:rPr>
              <w:t>图</w:t>
            </w:r>
          </w:p>
          <w:p w14:paraId="381A87FF">
            <w:pPr>
              <w:pStyle w:val="100"/>
            </w:pPr>
            <w:r>
              <w:rPr>
                <w:rFonts w:hint="eastAsia"/>
              </w:rPr>
              <w:t>工艺流程及产污</w:t>
            </w:r>
            <w:r>
              <w:t>环节</w:t>
            </w:r>
            <w:r>
              <w:rPr>
                <w:rFonts w:hint="eastAsia"/>
              </w:rPr>
              <w:t>说明：</w:t>
            </w:r>
          </w:p>
          <w:p w14:paraId="722EA8EA">
            <w:pPr>
              <w:spacing w:line="360" w:lineRule="auto"/>
              <w:ind w:firstLine="480" w:firstLineChars="200"/>
              <w:rPr>
                <w:sz w:val="24"/>
              </w:rPr>
            </w:pPr>
            <w:r>
              <w:rPr>
                <w:rFonts w:hint="eastAsia"/>
                <w:sz w:val="24"/>
                <w:lang w:val="en-US" w:eastAsia="zh-CN"/>
              </w:rPr>
              <w:t>原料外购</w:t>
            </w:r>
            <w:r>
              <w:rPr>
                <w:sz w:val="24"/>
              </w:rPr>
              <w:t>：外购</w:t>
            </w:r>
            <w:r>
              <w:rPr>
                <w:rFonts w:hint="eastAsia"/>
                <w:sz w:val="24"/>
                <w:lang w:val="en-US" w:eastAsia="zh-CN"/>
              </w:rPr>
              <w:t>符合要求的大豆入库</w:t>
            </w:r>
            <w:r>
              <w:rPr>
                <w:sz w:val="24"/>
              </w:rPr>
              <w:t>。</w:t>
            </w:r>
          </w:p>
          <w:p w14:paraId="2123B38D">
            <w:pPr>
              <w:spacing w:line="360" w:lineRule="auto"/>
              <w:ind w:firstLine="480" w:firstLineChars="200"/>
              <w:rPr>
                <w:sz w:val="24"/>
              </w:rPr>
            </w:pPr>
            <w:r>
              <w:rPr>
                <w:rFonts w:hint="eastAsia"/>
                <w:sz w:val="24"/>
                <w:lang w:val="en-US" w:eastAsia="zh-CN"/>
              </w:rPr>
              <w:t>清洗浸泡</w:t>
            </w:r>
            <w:r>
              <w:rPr>
                <w:sz w:val="24"/>
              </w:rPr>
              <w:t>：</w:t>
            </w:r>
            <w:r>
              <w:rPr>
                <w:rFonts w:hint="eastAsia"/>
                <w:sz w:val="24"/>
                <w:lang w:val="en-US" w:eastAsia="zh-CN"/>
              </w:rPr>
              <w:t>人工分拣出原料中多余的石子、杂质后将大豆放入水池浸泡清洗，捞出上层杂质，使豆子吸水膨胀，便于煮豆。该工序有清洗浸泡废水W1及杂质S1产生</w:t>
            </w:r>
            <w:r>
              <w:rPr>
                <w:sz w:val="24"/>
              </w:rPr>
              <w:t>。</w:t>
            </w:r>
          </w:p>
          <w:p w14:paraId="19D8A797">
            <w:pPr>
              <w:spacing w:line="360" w:lineRule="auto"/>
              <w:ind w:firstLine="480" w:firstLineChars="200"/>
              <w:rPr>
                <w:rFonts w:hint="default" w:eastAsia="宋体"/>
                <w:sz w:val="24"/>
                <w:lang w:val="en-US" w:eastAsia="zh-CN"/>
              </w:rPr>
            </w:pPr>
            <w:r>
              <w:rPr>
                <w:rFonts w:hint="eastAsia"/>
                <w:sz w:val="24"/>
                <w:lang w:val="en-US" w:eastAsia="zh-CN"/>
              </w:rPr>
              <w:t>煮豆</w:t>
            </w:r>
            <w:r>
              <w:rPr>
                <w:sz w:val="24"/>
              </w:rPr>
              <w:t>：</w:t>
            </w:r>
            <w:r>
              <w:rPr>
                <w:rFonts w:hint="eastAsia"/>
                <w:sz w:val="24"/>
                <w:lang w:val="en-US" w:eastAsia="zh-CN"/>
              </w:rPr>
              <w:t>将泡好的黄豆放入煮锅加工30min，使豆子熟化、蛋白质变形</w:t>
            </w:r>
            <w:r>
              <w:rPr>
                <w:sz w:val="24"/>
              </w:rPr>
              <w:t>。</w:t>
            </w:r>
            <w:r>
              <w:rPr>
                <w:rFonts w:hint="eastAsia"/>
                <w:sz w:val="24"/>
                <w:lang w:val="en-US" w:eastAsia="zh-CN"/>
              </w:rPr>
              <w:t>冷却后进入下一工序。</w:t>
            </w:r>
            <w:r>
              <w:rPr>
                <w:sz w:val="24"/>
              </w:rPr>
              <w:t>此过程会产生水蒸气</w:t>
            </w:r>
            <w:r>
              <w:rPr>
                <w:rFonts w:hint="eastAsia"/>
                <w:sz w:val="24"/>
              </w:rPr>
              <w:t>，通过排风扇排出车间</w:t>
            </w:r>
            <w:r>
              <w:rPr>
                <w:sz w:val="24"/>
              </w:rPr>
              <w:t>。</w:t>
            </w:r>
            <w:r>
              <w:rPr>
                <w:rFonts w:hint="eastAsia"/>
                <w:sz w:val="24"/>
                <w:lang w:val="en-US" w:eastAsia="zh-CN"/>
              </w:rPr>
              <w:t>该工序还有燃气废气G1及煮豆废水W2产生。</w:t>
            </w:r>
          </w:p>
          <w:p w14:paraId="6BA62793">
            <w:pPr>
              <w:spacing w:line="360" w:lineRule="auto"/>
              <w:ind w:firstLine="480" w:firstLineChars="200"/>
              <w:rPr>
                <w:rFonts w:hint="default" w:eastAsia="宋体"/>
                <w:sz w:val="24"/>
                <w:lang w:val="en-US" w:eastAsia="zh-CN"/>
              </w:rPr>
            </w:pPr>
            <w:r>
              <w:rPr>
                <w:rFonts w:hint="eastAsia"/>
                <w:sz w:val="24"/>
                <w:lang w:val="en-US" w:eastAsia="zh-CN"/>
              </w:rPr>
              <w:t>熬制</w:t>
            </w:r>
            <w:r>
              <w:rPr>
                <w:sz w:val="24"/>
              </w:rPr>
              <w:t>：</w:t>
            </w:r>
            <w:r>
              <w:rPr>
                <w:rFonts w:hint="eastAsia"/>
                <w:sz w:val="24"/>
                <w:lang w:val="en-US" w:eastAsia="zh-CN"/>
              </w:rPr>
              <w:t>将煮好的大豆放入炒锅内，并按比例投入食用油、盐、味精等熬制</w:t>
            </w:r>
            <w:r>
              <w:rPr>
                <w:sz w:val="24"/>
              </w:rPr>
              <w:t>。</w:t>
            </w:r>
            <w:r>
              <w:rPr>
                <w:rFonts w:hint="eastAsia"/>
                <w:sz w:val="24"/>
                <w:lang w:val="en-US" w:eastAsia="zh-CN"/>
              </w:rPr>
              <w:t>此过程会有燃气废气G1、油烟G2等产生。</w:t>
            </w:r>
          </w:p>
          <w:p w14:paraId="1E2BBEE6">
            <w:pPr>
              <w:spacing w:line="360" w:lineRule="auto"/>
              <w:ind w:firstLine="480" w:firstLineChars="200"/>
              <w:rPr>
                <w:rFonts w:hint="default" w:eastAsia="宋体"/>
                <w:sz w:val="24"/>
                <w:lang w:val="en-US" w:eastAsia="zh-CN"/>
              </w:rPr>
            </w:pPr>
            <w:r>
              <w:rPr>
                <w:rFonts w:hint="eastAsia"/>
                <w:sz w:val="24"/>
                <w:lang w:val="en-US" w:eastAsia="zh-CN"/>
              </w:rPr>
              <w:t>灌装杀菌</w:t>
            </w:r>
            <w:r>
              <w:rPr>
                <w:sz w:val="24"/>
              </w:rPr>
              <w:t>：</w:t>
            </w:r>
            <w:r>
              <w:rPr>
                <w:rFonts w:hint="eastAsia"/>
                <w:sz w:val="24"/>
                <w:lang w:val="en-US" w:eastAsia="zh-CN"/>
              </w:rPr>
              <w:t>熬制好的黄豆酱通过自动灌装机装入玻璃瓶，并且自动封盖</w:t>
            </w:r>
            <w:r>
              <w:rPr>
                <w:sz w:val="24"/>
              </w:rPr>
              <w:t>。</w:t>
            </w:r>
            <w:r>
              <w:rPr>
                <w:rFonts w:hint="eastAsia"/>
                <w:sz w:val="24"/>
                <w:lang w:val="en-US" w:eastAsia="zh-CN"/>
              </w:rPr>
              <w:t>随后通过18m水浴巴氏杀菌机清除玻璃瓶身表面的细菌，延长保质期。该工序玻璃瓶也需清洗并灭菌烘干，烘干使用电。有蒸汽发生器燃气废气G3产生。</w:t>
            </w:r>
          </w:p>
          <w:p w14:paraId="4665534A">
            <w:pPr>
              <w:spacing w:line="360" w:lineRule="auto"/>
              <w:ind w:firstLine="480" w:firstLineChars="200"/>
              <w:rPr>
                <w:b w:val="0"/>
                <w:bCs w:val="0"/>
                <w:sz w:val="24"/>
                <w:u w:val="none"/>
                <w:shd w:val="clear" w:color="auto" w:fill="FFFFFF"/>
              </w:rPr>
            </w:pPr>
            <w:r>
              <w:rPr>
                <w:rFonts w:hint="eastAsia"/>
                <w:b w:val="0"/>
                <w:bCs w:val="0"/>
                <w:sz w:val="24"/>
                <w:u w:val="none"/>
                <w:lang w:val="en-US" w:eastAsia="zh-CN"/>
              </w:rPr>
              <w:t>检验成品</w:t>
            </w:r>
            <w:r>
              <w:rPr>
                <w:b w:val="0"/>
                <w:bCs w:val="0"/>
                <w:sz w:val="24"/>
                <w:u w:val="none"/>
              </w:rPr>
              <w:t>：</w:t>
            </w:r>
            <w:r>
              <w:rPr>
                <w:rFonts w:hint="eastAsia"/>
                <w:b w:val="0"/>
                <w:bCs w:val="0"/>
                <w:sz w:val="24"/>
                <w:u w:val="none"/>
                <w:lang w:val="en-US" w:eastAsia="zh-CN"/>
              </w:rPr>
              <w:t>检验合格后即为成品，该工序无废气产生</w:t>
            </w:r>
            <w:r>
              <w:rPr>
                <w:rFonts w:hint="eastAsia"/>
                <w:b w:val="0"/>
                <w:bCs w:val="0"/>
                <w:sz w:val="24"/>
                <w:u w:val="none"/>
              </w:rPr>
              <w:t>。</w:t>
            </w:r>
          </w:p>
          <w:p w14:paraId="629B1DA7">
            <w:pPr>
              <w:pStyle w:val="100"/>
              <w:rPr>
                <w:rFonts w:hint="eastAsia"/>
              </w:rPr>
            </w:pPr>
            <w:r>
              <w:rPr>
                <w:rFonts w:hint="eastAsia"/>
                <w:b w:val="0"/>
                <w:bCs w:val="0"/>
                <w:u w:val="none"/>
              </w:rPr>
              <w:t>此外</w:t>
            </w:r>
            <w:r>
              <w:rPr>
                <w:rFonts w:hint="eastAsia"/>
                <w:b w:val="0"/>
                <w:bCs w:val="0"/>
                <w:u w:val="none"/>
                <w:lang w:eastAsia="zh-CN"/>
              </w:rPr>
              <w:t>在</w:t>
            </w:r>
            <w:r>
              <w:rPr>
                <w:rFonts w:hint="eastAsia"/>
                <w:b w:val="0"/>
                <w:bCs w:val="0"/>
                <w:u w:val="none"/>
                <w:lang w:val="en-US" w:eastAsia="zh-CN"/>
              </w:rPr>
              <w:t>整个生产过程中还会</w:t>
            </w:r>
            <w:r>
              <w:rPr>
                <w:rFonts w:hint="eastAsia"/>
                <w:b w:val="0"/>
                <w:bCs w:val="0"/>
                <w:u w:val="none"/>
              </w:rPr>
              <w:t>产生设备清洗废水W</w:t>
            </w:r>
            <w:r>
              <w:rPr>
                <w:rFonts w:hint="eastAsia"/>
                <w:b w:val="0"/>
                <w:bCs w:val="0"/>
                <w:u w:val="none"/>
                <w:lang w:val="en-US" w:eastAsia="zh-CN"/>
              </w:rPr>
              <w:t>3</w:t>
            </w:r>
            <w:r>
              <w:rPr>
                <w:rFonts w:hint="eastAsia"/>
                <w:b w:val="0"/>
                <w:bCs w:val="0"/>
                <w:u w:val="none"/>
              </w:rPr>
              <w:t>，车间</w:t>
            </w:r>
            <w:r>
              <w:rPr>
                <w:b w:val="0"/>
                <w:bCs w:val="0"/>
                <w:u w:val="none"/>
              </w:rPr>
              <w:t>地面</w:t>
            </w:r>
            <w:r>
              <w:rPr>
                <w:rFonts w:hint="eastAsia"/>
                <w:b w:val="0"/>
                <w:bCs w:val="0"/>
                <w:u w:val="none"/>
              </w:rPr>
              <w:t>清洗</w:t>
            </w:r>
            <w:r>
              <w:rPr>
                <w:b w:val="0"/>
                <w:bCs w:val="0"/>
                <w:u w:val="none"/>
              </w:rPr>
              <w:t>废水</w:t>
            </w:r>
            <w:r>
              <w:rPr>
                <w:rFonts w:hint="eastAsia"/>
                <w:b w:val="0"/>
                <w:bCs w:val="0"/>
                <w:u w:val="none"/>
              </w:rPr>
              <w:t>W</w:t>
            </w:r>
            <w:r>
              <w:rPr>
                <w:rFonts w:hint="eastAsia"/>
                <w:b w:val="0"/>
                <w:bCs w:val="0"/>
                <w:u w:val="none"/>
                <w:lang w:val="en-US" w:eastAsia="zh-CN"/>
              </w:rPr>
              <w:t>4，洗瓶废水W5、制纯水废水W6</w:t>
            </w:r>
            <w:r>
              <w:rPr>
                <w:rStyle w:val="254"/>
                <w:rFonts w:hint="eastAsia"/>
                <w:b w:val="0"/>
                <w:bCs w:val="0"/>
                <w:u w:val="none"/>
              </w:rPr>
              <w:t>以及</w:t>
            </w:r>
            <w:r>
              <w:rPr>
                <w:rStyle w:val="254"/>
                <w:b w:val="0"/>
                <w:bCs w:val="0"/>
                <w:u w:val="none"/>
              </w:rPr>
              <w:t>职工生活污水W</w:t>
            </w:r>
            <w:r>
              <w:rPr>
                <w:rStyle w:val="254"/>
                <w:rFonts w:hint="eastAsia"/>
                <w:b w:val="0"/>
                <w:bCs w:val="0"/>
                <w:u w:val="none"/>
                <w:lang w:val="en-US" w:eastAsia="zh-CN"/>
              </w:rPr>
              <w:t>7</w:t>
            </w:r>
            <w:r>
              <w:rPr>
                <w:rFonts w:hint="eastAsia"/>
                <w:b w:val="0"/>
                <w:bCs w:val="0"/>
                <w:u w:val="none"/>
              </w:rPr>
              <w:t>；</w:t>
            </w:r>
            <w:r>
              <w:rPr>
                <w:rFonts w:hint="eastAsia"/>
              </w:rPr>
              <w:t>污水</w:t>
            </w:r>
            <w:r>
              <w:t>处理站产生的恶臭</w:t>
            </w:r>
            <w:r>
              <w:rPr>
                <w:rFonts w:hint="eastAsia"/>
              </w:rPr>
              <w:t>G</w:t>
            </w:r>
            <w:r>
              <w:rPr>
                <w:rFonts w:hint="eastAsia"/>
                <w:lang w:val="en-US" w:eastAsia="zh-CN"/>
              </w:rPr>
              <w:t>4</w:t>
            </w:r>
            <w:r>
              <w:rPr>
                <w:rFonts w:hint="eastAsia"/>
              </w:rPr>
              <w:t>；</w:t>
            </w:r>
            <w:r>
              <w:rPr>
                <w:rFonts w:hint="eastAsia"/>
                <w:lang w:val="en-US" w:eastAsia="zh-CN"/>
              </w:rPr>
              <w:t>废包装袋S2；废离子交换树脂S3；废活性炭S4；生活垃圾S5；</w:t>
            </w:r>
            <w:r>
              <w:rPr>
                <w:rFonts w:hint="eastAsia"/>
              </w:rPr>
              <w:t>设备作业时</w:t>
            </w:r>
            <w:r>
              <w:t>产生机械噪声</w:t>
            </w:r>
            <w:r>
              <w:rPr>
                <w:rFonts w:hint="eastAsia"/>
              </w:rPr>
              <w:t>N。</w:t>
            </w:r>
          </w:p>
          <w:p w14:paraId="0808A0F4">
            <w:pPr>
              <w:pStyle w:val="100"/>
              <w:numPr>
                <w:ilvl w:val="0"/>
                <w:numId w:val="0"/>
              </w:numPr>
              <w:ind w:left="0" w:leftChars="0" w:firstLine="0" w:firstLineChars="0"/>
              <w:rPr>
                <w:rFonts w:hint="eastAsia"/>
                <w:lang w:val="en-US" w:eastAsia="zh-CN"/>
              </w:rPr>
            </w:pP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2</w:t>
            </w:r>
            <w:r>
              <w:rPr>
                <w:rFonts w:hint="eastAsia" w:ascii="Times New Roman" w:hAnsi="Times New Roman" w:eastAsia="宋体" w:cs="Times New Roman"/>
                <w:kern w:val="2"/>
                <w:sz w:val="24"/>
                <w:szCs w:val="24"/>
                <w:lang w:val="en-US" w:eastAsia="zh-CN" w:bidi="ar-SA"/>
              </w:rPr>
              <w:t>）</w:t>
            </w:r>
            <w:r>
              <w:rPr>
                <w:rFonts w:hint="eastAsia"/>
                <w:lang w:val="en-US" w:eastAsia="zh-CN"/>
              </w:rPr>
              <w:t>灰培豆腐生产工艺</w:t>
            </w:r>
          </w:p>
          <w:p w14:paraId="02AD3045">
            <w:pPr>
              <w:pStyle w:val="100"/>
              <w:numPr>
                <w:ilvl w:val="0"/>
                <w:numId w:val="0"/>
              </w:numPr>
              <w:ind w:leftChars="0"/>
              <w:jc w:val="center"/>
              <w:rPr>
                <w:rFonts w:hint="default"/>
                <w:lang w:val="en-US" w:eastAsia="zh-CN"/>
              </w:rPr>
            </w:pPr>
            <w:r>
              <w:drawing>
                <wp:inline distT="0" distB="0" distL="114300" distR="114300">
                  <wp:extent cx="4705350" cy="895350"/>
                  <wp:effectExtent l="0" t="0" r="0" b="0"/>
                  <wp:docPr id="2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
                          <pic:cNvPicPr>
                            <a:picLocks noChangeAspect="1"/>
                          </pic:cNvPicPr>
                        </pic:nvPicPr>
                        <pic:blipFill>
                          <a:blip r:embed="rId8"/>
                          <a:stretch>
                            <a:fillRect/>
                          </a:stretch>
                        </pic:blipFill>
                        <pic:spPr>
                          <a:xfrm>
                            <a:off x="0" y="0"/>
                            <a:ext cx="4705350" cy="895350"/>
                          </a:xfrm>
                          <a:prstGeom prst="rect">
                            <a:avLst/>
                          </a:prstGeom>
                          <a:noFill/>
                          <a:ln>
                            <a:noFill/>
                          </a:ln>
                        </pic:spPr>
                      </pic:pic>
                    </a:graphicData>
                  </a:graphic>
                </wp:inline>
              </w:drawing>
            </w:r>
          </w:p>
          <w:p w14:paraId="4975F297">
            <w:pPr>
              <w:pStyle w:val="110"/>
              <w:numPr>
                <w:ilvl w:val="0"/>
                <w:numId w:val="0"/>
              </w:numPr>
              <w:spacing w:after="120"/>
              <w:ind w:leftChars="0"/>
              <w:rPr>
                <w:rFonts w:hint="default" w:ascii="Times New Roman" w:hAnsi="Times New Roman"/>
                <w:lang w:val="en-US" w:eastAsia="zh-CN"/>
              </w:rPr>
            </w:pPr>
            <w:bookmarkStart w:id="30" w:name="_Toc197848435"/>
            <w:r>
              <w:rPr>
                <w:rFonts w:hint="eastAsia" w:ascii="Times New Roman" w:hAnsi="Times New Roman"/>
                <w:lang w:val="en-US" w:eastAsia="zh-CN"/>
              </w:rPr>
              <w:t>图3   灰培豆腐生产工艺流程图</w:t>
            </w:r>
          </w:p>
          <w:p w14:paraId="301C707A">
            <w:pPr>
              <w:pStyle w:val="100"/>
            </w:pPr>
            <w:r>
              <w:rPr>
                <w:rFonts w:hint="eastAsia"/>
                <w:lang w:val="en-US" w:eastAsia="zh-CN"/>
              </w:rPr>
              <w:t>工艺流程及</w:t>
            </w:r>
            <w:r>
              <w:rPr>
                <w:rFonts w:hint="eastAsia"/>
              </w:rPr>
              <w:t>工艺流程及产污</w:t>
            </w:r>
            <w:r>
              <w:t>环节</w:t>
            </w:r>
            <w:r>
              <w:rPr>
                <w:rFonts w:hint="eastAsia"/>
              </w:rPr>
              <w:t>说明：</w:t>
            </w:r>
          </w:p>
          <w:p w14:paraId="631D8464">
            <w:pPr>
              <w:pStyle w:val="259"/>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firstLine="240" w:firstLineChars="1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kern w:val="2"/>
                <w:sz w:val="24"/>
                <w:szCs w:val="24"/>
                <w:lang w:val="en-US" w:eastAsia="zh-CN" w:bidi="ar-SA"/>
              </w:rPr>
              <w:t>（1）</w:t>
            </w:r>
            <w:r>
              <w:rPr>
                <w:rFonts w:hint="default" w:ascii="Times New Roman" w:hAnsi="Times New Roman" w:eastAsia="宋体" w:cs="Times New Roman"/>
                <w:b w:val="0"/>
                <w:bCs w:val="0"/>
                <w:sz w:val="24"/>
                <w:szCs w:val="24"/>
                <w:lang w:val="en-US" w:eastAsia="zh-CN"/>
              </w:rPr>
              <w:t>原料外购：</w:t>
            </w:r>
            <w:r>
              <w:rPr>
                <w:rFonts w:hint="eastAsia" w:ascii="Times New Roman" w:hAnsi="Times New Roman" w:eastAsia="宋体" w:cs="Times New Roman"/>
                <w:b w:val="0"/>
                <w:bCs w:val="0"/>
                <w:sz w:val="24"/>
                <w:szCs w:val="24"/>
                <w:lang w:val="en-US" w:eastAsia="zh-CN"/>
              </w:rPr>
              <w:t>每日由灰培豆腐生产厂家送货，到厂检验合格后即用于生产。</w:t>
            </w:r>
          </w:p>
          <w:p w14:paraId="4804EDF2">
            <w:pPr>
              <w:pStyle w:val="259"/>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firstLine="240" w:firstLineChars="100"/>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kern w:val="2"/>
                <w:sz w:val="24"/>
                <w:szCs w:val="24"/>
                <w:lang w:val="en-US" w:eastAsia="zh-CN" w:bidi="ar-SA"/>
              </w:rPr>
              <w:t>（2）</w:t>
            </w:r>
            <w:r>
              <w:rPr>
                <w:rFonts w:hint="eastAsia" w:ascii="Times New Roman" w:hAnsi="Times New Roman" w:eastAsia="宋体" w:cs="Times New Roman"/>
                <w:b w:val="0"/>
                <w:bCs w:val="0"/>
                <w:sz w:val="24"/>
                <w:szCs w:val="24"/>
                <w:lang w:val="en-US" w:eastAsia="zh-CN"/>
              </w:rPr>
              <w:t>卤制：将灰培豆腐和调味品按比例加入炒锅内卤制，卤制后将豆腐和大料捞出，底料留作下次生产使用。</w:t>
            </w:r>
          </w:p>
          <w:p w14:paraId="575DE700">
            <w:pPr>
              <w:pStyle w:val="259"/>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firstLine="240" w:firstLineChars="100"/>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kern w:val="2"/>
                <w:sz w:val="24"/>
                <w:szCs w:val="24"/>
                <w:lang w:val="en-US" w:eastAsia="zh-CN" w:bidi="ar-SA"/>
              </w:rPr>
              <w:t>（3）</w:t>
            </w:r>
            <w:r>
              <w:rPr>
                <w:rFonts w:hint="eastAsia" w:ascii="Times New Roman" w:hAnsi="Times New Roman" w:eastAsia="宋体" w:cs="Times New Roman"/>
                <w:b w:val="0"/>
                <w:bCs w:val="0"/>
                <w:sz w:val="24"/>
                <w:szCs w:val="24"/>
                <w:lang w:val="en-US" w:eastAsia="zh-CN"/>
              </w:rPr>
              <w:t>包装：将卤制好的豆腐通过包装机包装成袋。</w:t>
            </w:r>
          </w:p>
          <w:p w14:paraId="53C65317">
            <w:pPr>
              <w:pStyle w:val="259"/>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uto"/>
              <w:ind w:firstLine="240" w:firstLineChars="100"/>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kern w:val="2"/>
                <w:sz w:val="24"/>
                <w:szCs w:val="24"/>
                <w:lang w:val="en-US" w:eastAsia="zh-CN" w:bidi="ar-SA"/>
              </w:rPr>
              <w:t>（4）</w:t>
            </w:r>
            <w:r>
              <w:rPr>
                <w:rFonts w:hint="eastAsia" w:ascii="Times New Roman" w:hAnsi="Times New Roman" w:eastAsia="宋体" w:cs="Times New Roman"/>
                <w:b w:val="0"/>
                <w:bCs w:val="0"/>
                <w:sz w:val="24"/>
                <w:szCs w:val="24"/>
                <w:lang w:val="en-US" w:eastAsia="zh-CN"/>
              </w:rPr>
              <w:t>杀菌：经装好的袋装豆腐通过水浴杀菌后即为成品，入冷库后即可外售。</w:t>
            </w:r>
          </w:p>
          <w:p w14:paraId="3DA2ED87">
            <w:pPr>
              <w:pStyle w:val="259"/>
              <w:spacing w:before="120" w:after="120"/>
            </w:pPr>
            <w:r>
              <w:t>3、主要污染工序及污染因子</w:t>
            </w:r>
            <w:bookmarkEnd w:id="30"/>
          </w:p>
          <w:p w14:paraId="396A0BF2">
            <w:pPr>
              <w:pStyle w:val="100"/>
            </w:pPr>
            <w:r>
              <w:t>本项目生产工艺中产污环节如下表所示</w:t>
            </w:r>
            <w:r>
              <w:rPr>
                <w:rFonts w:hint="eastAsia"/>
              </w:rPr>
              <w:t>：</w:t>
            </w:r>
          </w:p>
          <w:p w14:paraId="7200BF13">
            <w:pPr>
              <w:pStyle w:val="56"/>
              <w:keepNext w:val="0"/>
              <w:keepLines w:val="0"/>
              <w:pageBreakBefore w:val="0"/>
              <w:widowControl w:val="0"/>
              <w:numPr>
                <w:ilvl w:val="0"/>
                <w:numId w:val="0"/>
              </w:numPr>
              <w:kinsoku/>
              <w:wordWrap/>
              <w:overflowPunct/>
              <w:topLinePunct w:val="0"/>
              <w:autoSpaceDE w:val="0"/>
              <w:autoSpaceDN w:val="0"/>
              <w:bidi w:val="0"/>
              <w:adjustRightInd w:val="0"/>
              <w:snapToGrid/>
              <w:spacing w:before="120"/>
              <w:ind w:left="0" w:leftChars="0"/>
              <w:jc w:val="center"/>
              <w:textAlignment w:val="auto"/>
            </w:pPr>
            <w:r>
              <w:rPr>
                <w:rFonts w:hint="eastAsia"/>
                <w:lang w:val="en-US" w:eastAsia="zh-CN"/>
              </w:rPr>
              <w:t xml:space="preserve">表16 </w:t>
            </w:r>
            <w:r>
              <w:t>本项目产污环节</w:t>
            </w:r>
            <w:r>
              <w:rPr>
                <w:rFonts w:hint="eastAsia"/>
              </w:rPr>
              <w:t>及</w:t>
            </w:r>
            <w:r>
              <w:t>治理措施一览表</w:t>
            </w:r>
          </w:p>
          <w:tbl>
            <w:tblPr>
              <w:tblStyle w:val="48"/>
              <w:tblW w:w="8326"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769"/>
              <w:gridCol w:w="971"/>
              <w:gridCol w:w="1635"/>
              <w:gridCol w:w="2058"/>
              <w:gridCol w:w="2893"/>
            </w:tblGrid>
            <w:tr w14:paraId="5687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69" w:type="dxa"/>
                  <w:vAlign w:val="center"/>
                </w:tcPr>
                <w:p w14:paraId="2A3228A1">
                  <w:pPr>
                    <w:pStyle w:val="257"/>
                  </w:pPr>
                  <w:r>
                    <w:t>类别</w:t>
                  </w:r>
                </w:p>
              </w:tc>
              <w:tc>
                <w:tcPr>
                  <w:tcW w:w="971" w:type="dxa"/>
                  <w:vAlign w:val="center"/>
                </w:tcPr>
                <w:p w14:paraId="44114A2D">
                  <w:pPr>
                    <w:pStyle w:val="257"/>
                  </w:pPr>
                  <w:r>
                    <w:t>编号</w:t>
                  </w:r>
                </w:p>
              </w:tc>
              <w:tc>
                <w:tcPr>
                  <w:tcW w:w="1635" w:type="dxa"/>
                  <w:vAlign w:val="center"/>
                </w:tcPr>
                <w:p w14:paraId="49FD2275">
                  <w:pPr>
                    <w:pStyle w:val="257"/>
                  </w:pPr>
                  <w:r>
                    <w:t>产生工序</w:t>
                  </w:r>
                </w:p>
              </w:tc>
              <w:tc>
                <w:tcPr>
                  <w:tcW w:w="2058" w:type="dxa"/>
                  <w:vAlign w:val="center"/>
                </w:tcPr>
                <w:p w14:paraId="576D6D80">
                  <w:pPr>
                    <w:pStyle w:val="257"/>
                  </w:pPr>
                  <w:r>
                    <w:t>主要污染因子</w:t>
                  </w:r>
                </w:p>
              </w:tc>
              <w:tc>
                <w:tcPr>
                  <w:tcW w:w="2893" w:type="dxa"/>
                  <w:vAlign w:val="center"/>
                </w:tcPr>
                <w:p w14:paraId="45601186">
                  <w:pPr>
                    <w:pStyle w:val="257"/>
                  </w:pPr>
                  <w:r>
                    <w:t>污染防治措施</w:t>
                  </w:r>
                </w:p>
              </w:tc>
            </w:tr>
            <w:tr w14:paraId="087B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trPr>
              <w:tc>
                <w:tcPr>
                  <w:tcW w:w="769" w:type="dxa"/>
                  <w:vMerge w:val="restart"/>
                  <w:vAlign w:val="center"/>
                </w:tcPr>
                <w:p w14:paraId="4B33E49D">
                  <w:pPr>
                    <w:pStyle w:val="257"/>
                  </w:pPr>
                  <w:r>
                    <w:rPr>
                      <w:rFonts w:hint="eastAsia"/>
                    </w:rPr>
                    <w:t>废气</w:t>
                  </w:r>
                </w:p>
              </w:tc>
              <w:tc>
                <w:tcPr>
                  <w:tcW w:w="971" w:type="dxa"/>
                  <w:vAlign w:val="center"/>
                </w:tcPr>
                <w:p w14:paraId="40ABFAA1">
                  <w:pPr>
                    <w:pStyle w:val="257"/>
                  </w:pPr>
                  <w:r>
                    <w:rPr>
                      <w:rFonts w:hint="eastAsia"/>
                    </w:rPr>
                    <w:t>G</w:t>
                  </w:r>
                  <w:r>
                    <w:t>1</w:t>
                  </w:r>
                </w:p>
              </w:tc>
              <w:tc>
                <w:tcPr>
                  <w:tcW w:w="1635" w:type="dxa"/>
                  <w:vAlign w:val="center"/>
                </w:tcPr>
                <w:p w14:paraId="020E1EC0">
                  <w:pPr>
                    <w:pStyle w:val="257"/>
                    <w:rPr>
                      <w:rFonts w:hint="default" w:eastAsia="宋体"/>
                      <w:lang w:val="en-US" w:eastAsia="zh-CN"/>
                    </w:rPr>
                  </w:pPr>
                  <w:r>
                    <w:rPr>
                      <w:rFonts w:hint="eastAsia"/>
                      <w:b w:val="0"/>
                      <w:bCs w:val="0"/>
                      <w:u w:val="none"/>
                      <w:lang w:val="en-US" w:eastAsia="zh-CN"/>
                    </w:rPr>
                    <w:t>燃气废气</w:t>
                  </w:r>
                </w:p>
              </w:tc>
              <w:tc>
                <w:tcPr>
                  <w:tcW w:w="2058" w:type="dxa"/>
                  <w:vAlign w:val="center"/>
                </w:tcPr>
                <w:p w14:paraId="745C26DB">
                  <w:pPr>
                    <w:pStyle w:val="257"/>
                    <w:rPr>
                      <w:rFonts w:hint="default" w:eastAsia="宋体"/>
                      <w:lang w:val="en-US" w:eastAsia="zh-CN"/>
                    </w:rPr>
                  </w:pPr>
                  <w:r>
                    <w:t>颗粒物</w:t>
                  </w:r>
                  <w:r>
                    <w:rPr>
                      <w:rFonts w:hint="eastAsia"/>
                      <w:lang w:eastAsia="zh-CN"/>
                    </w:rPr>
                    <w:t>，</w:t>
                  </w:r>
                  <w:r>
                    <w:rPr>
                      <w:rFonts w:hint="eastAsia"/>
                      <w:lang w:val="en-US" w:eastAsia="zh-CN"/>
                    </w:rPr>
                    <w:t>二氧化硫，氮氧化物，烟气黑度</w:t>
                  </w:r>
                </w:p>
              </w:tc>
              <w:tc>
                <w:tcPr>
                  <w:tcW w:w="2893" w:type="dxa"/>
                  <w:vAlign w:val="center"/>
                </w:tcPr>
                <w:p w14:paraId="14851C02">
                  <w:pPr>
                    <w:pStyle w:val="257"/>
                  </w:pPr>
                  <w:r>
                    <w:rPr>
                      <w:rFonts w:hint="eastAsia"/>
                      <w:lang w:val="en-US" w:eastAsia="zh-CN"/>
                    </w:rPr>
                    <w:t>集气罩</w:t>
                  </w:r>
                  <w:r>
                    <w:t>+</w:t>
                  </w:r>
                  <w:r>
                    <w:rPr>
                      <w:rFonts w:hint="eastAsia"/>
                      <w:lang w:val="en-US" w:eastAsia="zh-CN"/>
                    </w:rPr>
                    <w:t>15</w:t>
                  </w:r>
                  <w:r>
                    <w:t>m高排气筒（DA001）</w:t>
                  </w:r>
                </w:p>
              </w:tc>
            </w:tr>
            <w:tr w14:paraId="576E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trPr>
              <w:tc>
                <w:tcPr>
                  <w:tcW w:w="769" w:type="dxa"/>
                  <w:vMerge w:val="continue"/>
                  <w:vAlign w:val="center"/>
                </w:tcPr>
                <w:p w14:paraId="3F22B8B7">
                  <w:pPr>
                    <w:pStyle w:val="257"/>
                    <w:rPr>
                      <w:rFonts w:hint="eastAsia"/>
                    </w:rPr>
                  </w:pPr>
                </w:p>
              </w:tc>
              <w:tc>
                <w:tcPr>
                  <w:tcW w:w="971" w:type="dxa"/>
                  <w:vAlign w:val="center"/>
                </w:tcPr>
                <w:p w14:paraId="22FAD114">
                  <w:pPr>
                    <w:pStyle w:val="257"/>
                    <w:rPr>
                      <w:rFonts w:hint="default" w:eastAsia="宋体"/>
                      <w:lang w:val="en-US" w:eastAsia="zh-CN"/>
                    </w:rPr>
                  </w:pPr>
                  <w:r>
                    <w:rPr>
                      <w:rFonts w:hint="eastAsia"/>
                      <w:lang w:val="en-US" w:eastAsia="zh-CN"/>
                    </w:rPr>
                    <w:t>G2</w:t>
                  </w:r>
                </w:p>
              </w:tc>
              <w:tc>
                <w:tcPr>
                  <w:tcW w:w="1635" w:type="dxa"/>
                  <w:vAlign w:val="center"/>
                </w:tcPr>
                <w:p w14:paraId="0F9032F2">
                  <w:pPr>
                    <w:pStyle w:val="257"/>
                    <w:rPr>
                      <w:rFonts w:hint="default"/>
                      <w:b w:val="0"/>
                      <w:bCs w:val="0"/>
                      <w:u w:val="none"/>
                      <w:lang w:val="en-US" w:eastAsia="zh-CN"/>
                    </w:rPr>
                  </w:pPr>
                  <w:r>
                    <w:rPr>
                      <w:rFonts w:hint="eastAsia"/>
                      <w:b w:val="0"/>
                      <w:bCs w:val="0"/>
                      <w:u w:val="none"/>
                      <w:lang w:val="en-US" w:eastAsia="zh-CN"/>
                    </w:rPr>
                    <w:t>熬制</w:t>
                  </w:r>
                </w:p>
              </w:tc>
              <w:tc>
                <w:tcPr>
                  <w:tcW w:w="2058" w:type="dxa"/>
                  <w:vAlign w:val="center"/>
                </w:tcPr>
                <w:p w14:paraId="65F66469">
                  <w:pPr>
                    <w:pStyle w:val="257"/>
                    <w:rPr>
                      <w:rFonts w:hint="eastAsia" w:eastAsia="宋体"/>
                      <w:lang w:val="en-US" w:eastAsia="zh-CN"/>
                    </w:rPr>
                  </w:pPr>
                  <w:r>
                    <w:rPr>
                      <w:rFonts w:hint="eastAsia"/>
                      <w:lang w:val="en-US" w:eastAsia="zh-CN"/>
                    </w:rPr>
                    <w:t>油烟</w:t>
                  </w:r>
                </w:p>
              </w:tc>
              <w:tc>
                <w:tcPr>
                  <w:tcW w:w="2893" w:type="dxa"/>
                  <w:vAlign w:val="center"/>
                </w:tcPr>
                <w:p w14:paraId="503944DE">
                  <w:pPr>
                    <w:pStyle w:val="257"/>
                    <w:rPr>
                      <w:rFonts w:hint="default"/>
                      <w:lang w:val="en-US" w:eastAsia="zh-CN"/>
                    </w:rPr>
                  </w:pPr>
                  <w:r>
                    <w:rPr>
                      <w:rFonts w:hint="eastAsia"/>
                      <w:lang w:val="en-US" w:eastAsia="zh-CN"/>
                    </w:rPr>
                    <w:t>集气罩+油烟净化器+活性炭吸附+15</w:t>
                  </w:r>
                  <w:r>
                    <w:t>m高排气筒（DA001）</w:t>
                  </w:r>
                </w:p>
              </w:tc>
            </w:tr>
            <w:tr w14:paraId="4846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trPr>
              <w:tc>
                <w:tcPr>
                  <w:tcW w:w="769" w:type="dxa"/>
                  <w:vMerge w:val="continue"/>
                  <w:vAlign w:val="center"/>
                </w:tcPr>
                <w:p w14:paraId="2B22397E">
                  <w:pPr>
                    <w:pStyle w:val="257"/>
                    <w:rPr>
                      <w:rFonts w:hint="eastAsia"/>
                    </w:rPr>
                  </w:pPr>
                </w:p>
              </w:tc>
              <w:tc>
                <w:tcPr>
                  <w:tcW w:w="971" w:type="dxa"/>
                  <w:vAlign w:val="center"/>
                </w:tcPr>
                <w:p w14:paraId="7CD94F11">
                  <w:pPr>
                    <w:pStyle w:val="257"/>
                    <w:rPr>
                      <w:rFonts w:hint="default"/>
                      <w:lang w:val="en-US" w:eastAsia="zh-CN"/>
                    </w:rPr>
                  </w:pPr>
                  <w:r>
                    <w:rPr>
                      <w:rFonts w:hint="eastAsia"/>
                      <w:lang w:val="en-US" w:eastAsia="zh-CN"/>
                    </w:rPr>
                    <w:t>G3</w:t>
                  </w:r>
                </w:p>
              </w:tc>
              <w:tc>
                <w:tcPr>
                  <w:tcW w:w="1635" w:type="dxa"/>
                  <w:vAlign w:val="center"/>
                </w:tcPr>
                <w:p w14:paraId="3060924C">
                  <w:pPr>
                    <w:pStyle w:val="257"/>
                    <w:rPr>
                      <w:rFonts w:hint="default"/>
                      <w:b w:val="0"/>
                      <w:bCs w:val="0"/>
                      <w:u w:val="none"/>
                      <w:lang w:val="en-US" w:eastAsia="zh-CN"/>
                    </w:rPr>
                  </w:pPr>
                  <w:r>
                    <w:rPr>
                      <w:rFonts w:hint="eastAsia"/>
                      <w:b w:val="0"/>
                      <w:bCs w:val="0"/>
                      <w:u w:val="none"/>
                      <w:lang w:val="en-US" w:eastAsia="zh-CN"/>
                    </w:rPr>
                    <w:t>蒸汽发生器</w:t>
                  </w:r>
                </w:p>
              </w:tc>
              <w:tc>
                <w:tcPr>
                  <w:tcW w:w="2058" w:type="dxa"/>
                  <w:vAlign w:val="center"/>
                </w:tcPr>
                <w:p w14:paraId="5068ABB1">
                  <w:pPr>
                    <w:pStyle w:val="257"/>
                    <w:rPr>
                      <w:rFonts w:hint="default"/>
                      <w:lang w:val="en-US" w:eastAsia="zh-CN"/>
                    </w:rPr>
                  </w:pPr>
                  <w:r>
                    <w:t>颗粒物</w:t>
                  </w:r>
                  <w:r>
                    <w:rPr>
                      <w:rFonts w:hint="eastAsia"/>
                      <w:lang w:eastAsia="zh-CN"/>
                    </w:rPr>
                    <w:t>，</w:t>
                  </w:r>
                  <w:r>
                    <w:rPr>
                      <w:rFonts w:hint="eastAsia"/>
                      <w:lang w:val="en-US" w:eastAsia="zh-CN"/>
                    </w:rPr>
                    <w:t>二氧化硫，氮氧化物，烟气黑度</w:t>
                  </w:r>
                </w:p>
              </w:tc>
              <w:tc>
                <w:tcPr>
                  <w:tcW w:w="2893" w:type="dxa"/>
                  <w:vAlign w:val="center"/>
                </w:tcPr>
                <w:p w14:paraId="7CABD218">
                  <w:pPr>
                    <w:pStyle w:val="257"/>
                    <w:rPr>
                      <w:rFonts w:hint="default" w:eastAsia="宋体"/>
                      <w:lang w:val="en-US" w:eastAsia="zh-CN"/>
                    </w:rPr>
                  </w:pPr>
                  <w:r>
                    <w:rPr>
                      <w:rFonts w:hint="eastAsia"/>
                      <w:lang w:val="en-US" w:eastAsia="zh-CN"/>
                    </w:rPr>
                    <w:t>低氮燃烧+8m高排气筒（DA002）</w:t>
                  </w:r>
                </w:p>
              </w:tc>
            </w:tr>
            <w:tr w14:paraId="04697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trPr>
              <w:tc>
                <w:tcPr>
                  <w:tcW w:w="769" w:type="dxa"/>
                  <w:vMerge w:val="continue"/>
                  <w:vAlign w:val="center"/>
                </w:tcPr>
                <w:p w14:paraId="36475519">
                  <w:pPr>
                    <w:pStyle w:val="257"/>
                  </w:pPr>
                </w:p>
              </w:tc>
              <w:tc>
                <w:tcPr>
                  <w:tcW w:w="971" w:type="dxa"/>
                  <w:vAlign w:val="center"/>
                </w:tcPr>
                <w:p w14:paraId="660288D5">
                  <w:pPr>
                    <w:pStyle w:val="257"/>
                    <w:rPr>
                      <w:rFonts w:hint="eastAsia" w:eastAsia="宋体"/>
                      <w:lang w:eastAsia="zh-CN"/>
                    </w:rPr>
                  </w:pPr>
                  <w:r>
                    <w:rPr>
                      <w:rFonts w:hint="eastAsia"/>
                    </w:rPr>
                    <w:t>G</w:t>
                  </w:r>
                  <w:r>
                    <w:rPr>
                      <w:rFonts w:hint="eastAsia"/>
                      <w:lang w:val="en-US" w:eastAsia="zh-CN"/>
                    </w:rPr>
                    <w:t>4</w:t>
                  </w:r>
                </w:p>
              </w:tc>
              <w:tc>
                <w:tcPr>
                  <w:tcW w:w="1635" w:type="dxa"/>
                  <w:vAlign w:val="center"/>
                </w:tcPr>
                <w:p w14:paraId="635EE985">
                  <w:pPr>
                    <w:pStyle w:val="257"/>
                    <w:rPr>
                      <w:rFonts w:hint="default" w:eastAsia="宋体"/>
                      <w:lang w:val="en-US" w:eastAsia="zh-CN"/>
                    </w:rPr>
                  </w:pPr>
                  <w:r>
                    <w:rPr>
                      <w:rFonts w:hint="eastAsia"/>
                      <w:lang w:val="en-US" w:eastAsia="zh-CN"/>
                    </w:rPr>
                    <w:t>污水处理站</w:t>
                  </w:r>
                </w:p>
              </w:tc>
              <w:tc>
                <w:tcPr>
                  <w:tcW w:w="2058" w:type="dxa"/>
                  <w:vAlign w:val="center"/>
                </w:tcPr>
                <w:p w14:paraId="0F76FFED">
                  <w:pPr>
                    <w:pStyle w:val="257"/>
                  </w:pPr>
                  <w:r>
                    <w:rPr>
                      <w:rFonts w:hint="eastAsia"/>
                    </w:rPr>
                    <w:t>N</w:t>
                  </w:r>
                  <w:r>
                    <w:t>H</w:t>
                  </w:r>
                  <w:r>
                    <w:rPr>
                      <w:vertAlign w:val="subscript"/>
                    </w:rPr>
                    <w:t>3</w:t>
                  </w:r>
                  <w:r>
                    <w:rPr>
                      <w:rFonts w:hint="eastAsia"/>
                    </w:rPr>
                    <w:t>、</w:t>
                  </w:r>
                  <w:r>
                    <w:t>H</w:t>
                  </w:r>
                  <w:r>
                    <w:rPr>
                      <w:vertAlign w:val="subscript"/>
                    </w:rPr>
                    <w:t>2</w:t>
                  </w:r>
                  <w:r>
                    <w:t>S</w:t>
                  </w:r>
                  <w:r>
                    <w:rPr>
                      <w:rFonts w:hint="eastAsia"/>
                    </w:rPr>
                    <w:t>、</w:t>
                  </w:r>
                  <w:r>
                    <w:t>臭气浓度</w:t>
                  </w:r>
                </w:p>
              </w:tc>
              <w:tc>
                <w:tcPr>
                  <w:tcW w:w="2893" w:type="dxa"/>
                  <w:vAlign w:val="center"/>
                </w:tcPr>
                <w:p w14:paraId="3807B012">
                  <w:pPr>
                    <w:pStyle w:val="257"/>
                  </w:pPr>
                  <w:r>
                    <w:rPr>
                      <w:rFonts w:hint="eastAsia"/>
                    </w:rPr>
                    <w:t>构筑物加盖密封，投加除臭剂</w:t>
                  </w:r>
                </w:p>
              </w:tc>
            </w:tr>
            <w:tr w14:paraId="750A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trPr>
              <w:tc>
                <w:tcPr>
                  <w:tcW w:w="769" w:type="dxa"/>
                  <w:vMerge w:val="restart"/>
                  <w:vAlign w:val="center"/>
                </w:tcPr>
                <w:p w14:paraId="62FD109C">
                  <w:pPr>
                    <w:pStyle w:val="257"/>
                  </w:pPr>
                  <w:r>
                    <w:t>废水</w:t>
                  </w:r>
                </w:p>
              </w:tc>
              <w:tc>
                <w:tcPr>
                  <w:tcW w:w="971" w:type="dxa"/>
                  <w:vAlign w:val="center"/>
                </w:tcPr>
                <w:p w14:paraId="4AD58B0B">
                  <w:pPr>
                    <w:pStyle w:val="257"/>
                  </w:pPr>
                  <w:r>
                    <w:t>W1</w:t>
                  </w:r>
                </w:p>
              </w:tc>
              <w:tc>
                <w:tcPr>
                  <w:tcW w:w="1635" w:type="dxa"/>
                  <w:vAlign w:val="center"/>
                </w:tcPr>
                <w:p w14:paraId="7BFF271B">
                  <w:pPr>
                    <w:pStyle w:val="257"/>
                    <w:rPr>
                      <w:rFonts w:hint="default" w:eastAsia="宋体"/>
                      <w:lang w:val="en-US" w:eastAsia="zh-CN"/>
                    </w:rPr>
                  </w:pPr>
                  <w:r>
                    <w:rPr>
                      <w:rFonts w:hint="eastAsia"/>
                      <w:lang w:val="en-US" w:eastAsia="zh-CN"/>
                    </w:rPr>
                    <w:t>大豆清洗废水</w:t>
                  </w:r>
                </w:p>
              </w:tc>
              <w:tc>
                <w:tcPr>
                  <w:tcW w:w="2058" w:type="dxa"/>
                  <w:vMerge w:val="restart"/>
                  <w:vAlign w:val="center"/>
                </w:tcPr>
                <w:p w14:paraId="0BB80A60">
                  <w:pPr>
                    <w:pStyle w:val="257"/>
                  </w:pPr>
                  <w:r>
                    <w:rPr>
                      <w:rFonts w:hint="eastAsia"/>
                    </w:rPr>
                    <w:t>pH、</w:t>
                  </w:r>
                  <w:r>
                    <w:t>COD、BOD</w:t>
                  </w:r>
                  <w:r>
                    <w:rPr>
                      <w:vertAlign w:val="subscript"/>
                    </w:rPr>
                    <w:t>5</w:t>
                  </w:r>
                  <w:r>
                    <w:t>、SS、</w:t>
                  </w:r>
                  <w:r>
                    <w:rPr>
                      <w:rFonts w:hint="eastAsia"/>
                    </w:rPr>
                    <w:t>NH</w:t>
                  </w:r>
                  <w:r>
                    <w:rPr>
                      <w:rFonts w:hint="eastAsia"/>
                      <w:vertAlign w:val="subscript"/>
                    </w:rPr>
                    <w:t>3</w:t>
                  </w:r>
                  <w:r>
                    <w:rPr>
                      <w:rFonts w:hint="eastAsia"/>
                    </w:rPr>
                    <w:t>-N</w:t>
                  </w:r>
                  <w:r>
                    <w:t>、</w:t>
                  </w:r>
                  <w:r>
                    <w:rPr>
                      <w:rFonts w:hint="eastAsia"/>
                    </w:rPr>
                    <w:t>TN、TP</w:t>
                  </w:r>
                </w:p>
              </w:tc>
              <w:tc>
                <w:tcPr>
                  <w:tcW w:w="2893" w:type="dxa"/>
                  <w:vMerge w:val="restart"/>
                  <w:vAlign w:val="center"/>
                </w:tcPr>
                <w:p w14:paraId="7CD4DED6">
                  <w:pPr>
                    <w:pStyle w:val="257"/>
                  </w:pPr>
                  <w:r>
                    <w:rPr>
                      <w:rFonts w:hint="eastAsia"/>
                    </w:rPr>
                    <w:t>经污水</w:t>
                  </w:r>
                  <w:r>
                    <w:t>处理站</w:t>
                  </w:r>
                  <w:r>
                    <w:rPr>
                      <w:rFonts w:hint="eastAsia"/>
                      <w:lang w:eastAsia="zh-CN"/>
                    </w:rPr>
                    <w:t>（</w:t>
                  </w:r>
                  <w:r>
                    <w:rPr>
                      <w:rFonts w:hint="eastAsia"/>
                      <w:lang w:val="en-US" w:eastAsia="zh-CN"/>
                    </w:rPr>
                    <w:t>处理工艺</w:t>
                  </w:r>
                  <w:r>
                    <w:rPr>
                      <w:rFonts w:hint="eastAsia"/>
                      <w:lang w:eastAsia="zh-CN"/>
                    </w:rPr>
                    <w:t>“</w:t>
                  </w:r>
                  <w:r>
                    <w:rPr>
                      <w:rFonts w:hint="eastAsia" w:cs="Times New Roman"/>
                      <w:b/>
                      <w:bCs/>
                      <w:color w:val="auto"/>
                      <w:sz w:val="21"/>
                      <w:szCs w:val="21"/>
                      <w:highlight w:val="none"/>
                      <w:u w:val="single" w:color="auto"/>
                      <w:lang w:val="en-US" w:eastAsia="zh-CN"/>
                    </w:rPr>
                    <w:t>物理法+厌氧/好氧组合法+化学法</w:t>
                  </w:r>
                  <w:r>
                    <w:rPr>
                      <w:rFonts w:hint="eastAsia"/>
                      <w:sz w:val="21"/>
                      <w:szCs w:val="21"/>
                      <w:lang w:eastAsia="zh-CN"/>
                    </w:rPr>
                    <w:t>”）</w:t>
                  </w:r>
                  <w:r>
                    <w:t>处理后</w:t>
                  </w:r>
                  <w:r>
                    <w:rPr>
                      <w:rFonts w:hint="eastAsia"/>
                    </w:rPr>
                    <w:t>，排</w:t>
                  </w:r>
                  <w:r>
                    <w:t>入</w:t>
                  </w:r>
                  <w:r>
                    <w:rPr>
                      <w:rFonts w:hint="eastAsia"/>
                    </w:rPr>
                    <w:t>污水处理厂</w:t>
                  </w:r>
                  <w:r>
                    <w:t>深度处理。</w:t>
                  </w:r>
                </w:p>
              </w:tc>
            </w:tr>
            <w:tr w14:paraId="19F2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trPr>
              <w:tc>
                <w:tcPr>
                  <w:tcW w:w="769" w:type="dxa"/>
                  <w:vMerge w:val="continue"/>
                  <w:vAlign w:val="center"/>
                </w:tcPr>
                <w:p w14:paraId="312DEBAF">
                  <w:pPr>
                    <w:pStyle w:val="257"/>
                  </w:pPr>
                </w:p>
              </w:tc>
              <w:tc>
                <w:tcPr>
                  <w:tcW w:w="971" w:type="dxa"/>
                  <w:vAlign w:val="center"/>
                </w:tcPr>
                <w:p w14:paraId="02F9160D">
                  <w:pPr>
                    <w:pStyle w:val="257"/>
                    <w:rPr>
                      <w:rFonts w:hint="default" w:eastAsia="宋体"/>
                      <w:lang w:val="en-US" w:eastAsia="zh-CN"/>
                    </w:rPr>
                  </w:pPr>
                  <w:r>
                    <w:rPr>
                      <w:rFonts w:hint="eastAsia"/>
                      <w:lang w:val="en-US" w:eastAsia="zh-CN"/>
                    </w:rPr>
                    <w:t>W2</w:t>
                  </w:r>
                </w:p>
              </w:tc>
              <w:tc>
                <w:tcPr>
                  <w:tcW w:w="1635" w:type="dxa"/>
                  <w:vAlign w:val="center"/>
                </w:tcPr>
                <w:p w14:paraId="1F54A2AE">
                  <w:pPr>
                    <w:pStyle w:val="257"/>
                    <w:rPr>
                      <w:rFonts w:hint="default"/>
                      <w:lang w:val="en-US" w:eastAsia="zh-CN"/>
                    </w:rPr>
                  </w:pPr>
                  <w:r>
                    <w:rPr>
                      <w:rFonts w:hint="eastAsia"/>
                      <w:lang w:val="en-US" w:eastAsia="zh-CN"/>
                    </w:rPr>
                    <w:t>煮豆废水</w:t>
                  </w:r>
                </w:p>
              </w:tc>
              <w:tc>
                <w:tcPr>
                  <w:tcW w:w="2058" w:type="dxa"/>
                  <w:vMerge w:val="continue"/>
                  <w:vAlign w:val="center"/>
                </w:tcPr>
                <w:p w14:paraId="0B6ADA84">
                  <w:pPr>
                    <w:pStyle w:val="257"/>
                    <w:rPr>
                      <w:rFonts w:hint="eastAsia"/>
                    </w:rPr>
                  </w:pPr>
                </w:p>
              </w:tc>
              <w:tc>
                <w:tcPr>
                  <w:tcW w:w="2893" w:type="dxa"/>
                  <w:vMerge w:val="continue"/>
                  <w:vAlign w:val="center"/>
                </w:tcPr>
                <w:p w14:paraId="42D81262">
                  <w:pPr>
                    <w:pStyle w:val="257"/>
                    <w:rPr>
                      <w:rFonts w:hint="eastAsia"/>
                    </w:rPr>
                  </w:pPr>
                </w:p>
              </w:tc>
            </w:tr>
            <w:tr w14:paraId="1DAD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69" w:type="dxa"/>
                  <w:vMerge w:val="continue"/>
                  <w:vAlign w:val="center"/>
                </w:tcPr>
                <w:p w14:paraId="0DBD0313">
                  <w:pPr>
                    <w:pStyle w:val="257"/>
                  </w:pPr>
                </w:p>
              </w:tc>
              <w:tc>
                <w:tcPr>
                  <w:tcW w:w="971" w:type="dxa"/>
                  <w:vAlign w:val="center"/>
                </w:tcPr>
                <w:p w14:paraId="32E7449B">
                  <w:pPr>
                    <w:pStyle w:val="257"/>
                    <w:rPr>
                      <w:rFonts w:hint="eastAsia" w:eastAsia="宋体"/>
                      <w:lang w:eastAsia="zh-CN"/>
                    </w:rPr>
                  </w:pPr>
                  <w:r>
                    <w:t>W</w:t>
                  </w:r>
                  <w:r>
                    <w:rPr>
                      <w:rFonts w:hint="eastAsia"/>
                      <w:lang w:val="en-US" w:eastAsia="zh-CN"/>
                    </w:rPr>
                    <w:t>3</w:t>
                  </w:r>
                </w:p>
              </w:tc>
              <w:tc>
                <w:tcPr>
                  <w:tcW w:w="1635" w:type="dxa"/>
                  <w:vAlign w:val="center"/>
                </w:tcPr>
                <w:p w14:paraId="42BC3190">
                  <w:pPr>
                    <w:pStyle w:val="257"/>
                    <w:rPr>
                      <w:rFonts w:hint="eastAsia" w:eastAsia="宋体"/>
                      <w:lang w:val="en-US" w:eastAsia="zh-CN"/>
                    </w:rPr>
                  </w:pPr>
                  <w:r>
                    <w:t>设备清洗</w:t>
                  </w:r>
                  <w:r>
                    <w:rPr>
                      <w:rFonts w:hint="eastAsia"/>
                      <w:lang w:val="en-US" w:eastAsia="zh-CN"/>
                    </w:rPr>
                    <w:t>废水</w:t>
                  </w:r>
                </w:p>
              </w:tc>
              <w:tc>
                <w:tcPr>
                  <w:tcW w:w="2058" w:type="dxa"/>
                  <w:vMerge w:val="continue"/>
                  <w:vAlign w:val="center"/>
                </w:tcPr>
                <w:p w14:paraId="76AC296F">
                  <w:pPr>
                    <w:pStyle w:val="257"/>
                    <w:rPr>
                      <w:rFonts w:hint="eastAsia"/>
                    </w:rPr>
                  </w:pPr>
                </w:p>
              </w:tc>
              <w:tc>
                <w:tcPr>
                  <w:tcW w:w="2893" w:type="dxa"/>
                  <w:vMerge w:val="continue"/>
                  <w:vAlign w:val="center"/>
                </w:tcPr>
                <w:p w14:paraId="0D31717B">
                  <w:pPr>
                    <w:pStyle w:val="257"/>
                    <w:rPr>
                      <w:rFonts w:hint="eastAsia"/>
                    </w:rPr>
                  </w:pPr>
                </w:p>
              </w:tc>
            </w:tr>
            <w:tr w14:paraId="5DA4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trPr>
              <w:tc>
                <w:tcPr>
                  <w:tcW w:w="769" w:type="dxa"/>
                  <w:vMerge w:val="continue"/>
                  <w:vAlign w:val="center"/>
                </w:tcPr>
                <w:p w14:paraId="37DBD624">
                  <w:pPr>
                    <w:pStyle w:val="257"/>
                  </w:pPr>
                </w:p>
              </w:tc>
              <w:tc>
                <w:tcPr>
                  <w:tcW w:w="971" w:type="dxa"/>
                  <w:vAlign w:val="center"/>
                </w:tcPr>
                <w:p w14:paraId="36FD6B1F">
                  <w:pPr>
                    <w:pStyle w:val="257"/>
                  </w:pPr>
                  <w:r>
                    <w:t>W</w:t>
                  </w:r>
                  <w:r>
                    <w:rPr>
                      <w:rFonts w:hint="eastAsia"/>
                      <w:lang w:val="en-US" w:eastAsia="zh-CN"/>
                    </w:rPr>
                    <w:t>4</w:t>
                  </w:r>
                </w:p>
              </w:tc>
              <w:tc>
                <w:tcPr>
                  <w:tcW w:w="1635" w:type="dxa"/>
                  <w:vAlign w:val="center"/>
                </w:tcPr>
                <w:p w14:paraId="4B8531CE">
                  <w:pPr>
                    <w:pStyle w:val="257"/>
                    <w:rPr>
                      <w:rFonts w:hint="default" w:eastAsia="宋体"/>
                      <w:lang w:val="en-US" w:eastAsia="zh-CN"/>
                    </w:rPr>
                  </w:pPr>
                  <w:r>
                    <w:rPr>
                      <w:rFonts w:hint="eastAsia"/>
                      <w:lang w:val="en-US" w:eastAsia="zh-CN"/>
                    </w:rPr>
                    <w:t>地面清洗废水</w:t>
                  </w:r>
                </w:p>
              </w:tc>
              <w:tc>
                <w:tcPr>
                  <w:tcW w:w="2058" w:type="dxa"/>
                  <w:vMerge w:val="continue"/>
                  <w:vAlign w:val="center"/>
                </w:tcPr>
                <w:p w14:paraId="75DDC47E">
                  <w:pPr>
                    <w:pStyle w:val="257"/>
                  </w:pPr>
                </w:p>
              </w:tc>
              <w:tc>
                <w:tcPr>
                  <w:tcW w:w="2893" w:type="dxa"/>
                  <w:vMerge w:val="continue"/>
                  <w:vAlign w:val="center"/>
                </w:tcPr>
                <w:p w14:paraId="16355D6F">
                  <w:pPr>
                    <w:pStyle w:val="257"/>
                  </w:pPr>
                </w:p>
              </w:tc>
            </w:tr>
            <w:tr w14:paraId="0E42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trPr>
              <w:tc>
                <w:tcPr>
                  <w:tcW w:w="769" w:type="dxa"/>
                  <w:vMerge w:val="continue"/>
                  <w:vAlign w:val="center"/>
                </w:tcPr>
                <w:p w14:paraId="0B6EAAA1">
                  <w:pPr>
                    <w:pStyle w:val="257"/>
                  </w:pPr>
                </w:p>
              </w:tc>
              <w:tc>
                <w:tcPr>
                  <w:tcW w:w="971" w:type="dxa"/>
                  <w:vAlign w:val="center"/>
                </w:tcPr>
                <w:p w14:paraId="77376308">
                  <w:pPr>
                    <w:pStyle w:val="257"/>
                    <w:rPr>
                      <w:rFonts w:hint="default" w:eastAsia="宋体"/>
                      <w:lang w:val="en-US" w:eastAsia="zh-CN"/>
                    </w:rPr>
                  </w:pPr>
                  <w:r>
                    <w:rPr>
                      <w:rFonts w:hint="eastAsia"/>
                      <w:lang w:val="en-US" w:eastAsia="zh-CN"/>
                    </w:rPr>
                    <w:t>W5</w:t>
                  </w:r>
                </w:p>
              </w:tc>
              <w:tc>
                <w:tcPr>
                  <w:tcW w:w="1635" w:type="dxa"/>
                  <w:vAlign w:val="center"/>
                </w:tcPr>
                <w:p w14:paraId="0FECE8B4">
                  <w:pPr>
                    <w:pStyle w:val="257"/>
                    <w:rPr>
                      <w:rFonts w:hint="default" w:eastAsia="宋体"/>
                      <w:lang w:val="en-US" w:eastAsia="zh-CN"/>
                    </w:rPr>
                  </w:pPr>
                  <w:r>
                    <w:rPr>
                      <w:rFonts w:hint="eastAsia"/>
                      <w:lang w:val="en-US" w:eastAsia="zh-CN"/>
                    </w:rPr>
                    <w:t>洗瓶废水</w:t>
                  </w:r>
                </w:p>
              </w:tc>
              <w:tc>
                <w:tcPr>
                  <w:tcW w:w="2058" w:type="dxa"/>
                  <w:vMerge w:val="continue"/>
                  <w:vAlign w:val="center"/>
                </w:tcPr>
                <w:p w14:paraId="5D7D1C8C">
                  <w:pPr>
                    <w:pStyle w:val="257"/>
                  </w:pPr>
                </w:p>
              </w:tc>
              <w:tc>
                <w:tcPr>
                  <w:tcW w:w="2893" w:type="dxa"/>
                  <w:vMerge w:val="continue"/>
                  <w:vAlign w:val="center"/>
                </w:tcPr>
                <w:p w14:paraId="5BD8D868">
                  <w:pPr>
                    <w:pStyle w:val="257"/>
                  </w:pPr>
                </w:p>
              </w:tc>
            </w:tr>
            <w:tr w14:paraId="2E38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trPr>
              <w:tc>
                <w:tcPr>
                  <w:tcW w:w="769" w:type="dxa"/>
                  <w:vMerge w:val="continue"/>
                  <w:vAlign w:val="center"/>
                </w:tcPr>
                <w:p w14:paraId="38169FEC">
                  <w:pPr>
                    <w:pStyle w:val="257"/>
                  </w:pPr>
                </w:p>
              </w:tc>
              <w:tc>
                <w:tcPr>
                  <w:tcW w:w="971" w:type="dxa"/>
                  <w:vAlign w:val="center"/>
                </w:tcPr>
                <w:p w14:paraId="2409AF92">
                  <w:pPr>
                    <w:pStyle w:val="257"/>
                    <w:rPr>
                      <w:rFonts w:hint="default"/>
                      <w:lang w:val="en-US" w:eastAsia="zh-CN"/>
                    </w:rPr>
                  </w:pPr>
                  <w:r>
                    <w:rPr>
                      <w:rFonts w:hint="eastAsia"/>
                      <w:lang w:val="en-US" w:eastAsia="zh-CN"/>
                    </w:rPr>
                    <w:t>W6</w:t>
                  </w:r>
                </w:p>
              </w:tc>
              <w:tc>
                <w:tcPr>
                  <w:tcW w:w="1635" w:type="dxa"/>
                  <w:vAlign w:val="center"/>
                </w:tcPr>
                <w:p w14:paraId="4231C18F">
                  <w:pPr>
                    <w:pStyle w:val="257"/>
                    <w:rPr>
                      <w:rFonts w:hint="default"/>
                      <w:lang w:val="en-US" w:eastAsia="zh-CN"/>
                    </w:rPr>
                  </w:pPr>
                  <w:r>
                    <w:rPr>
                      <w:rFonts w:hint="eastAsia"/>
                      <w:lang w:val="en-US" w:eastAsia="zh-CN"/>
                    </w:rPr>
                    <w:t>制纯水废水</w:t>
                  </w:r>
                </w:p>
              </w:tc>
              <w:tc>
                <w:tcPr>
                  <w:tcW w:w="2058" w:type="dxa"/>
                  <w:vAlign w:val="center"/>
                </w:tcPr>
                <w:p w14:paraId="0F40F020">
                  <w:pPr>
                    <w:pStyle w:val="257"/>
                    <w:rPr>
                      <w:rFonts w:hint="default" w:eastAsia="宋体"/>
                      <w:lang w:val="en-US" w:eastAsia="zh-CN"/>
                    </w:rPr>
                  </w:pPr>
                  <w:r>
                    <w:rPr>
                      <w:rFonts w:hint="eastAsia"/>
                      <w:lang w:val="en-US" w:eastAsia="zh-CN"/>
                    </w:rPr>
                    <w:t>COD、氨氮、总磷</w:t>
                  </w:r>
                </w:p>
              </w:tc>
              <w:tc>
                <w:tcPr>
                  <w:tcW w:w="2893" w:type="dxa"/>
                  <w:vAlign w:val="center"/>
                </w:tcPr>
                <w:p w14:paraId="26ADAE70">
                  <w:pPr>
                    <w:pStyle w:val="257"/>
                    <w:rPr>
                      <w:rFonts w:hint="default" w:eastAsia="宋体"/>
                      <w:lang w:val="en-US" w:eastAsia="zh-CN"/>
                    </w:rPr>
                  </w:pPr>
                  <w:r>
                    <w:rPr>
                      <w:rFonts w:hint="eastAsia"/>
                      <w:lang w:val="en-US" w:eastAsia="zh-CN"/>
                    </w:rPr>
                    <w:t>直接进入污水处理厂</w:t>
                  </w:r>
                </w:p>
              </w:tc>
            </w:tr>
            <w:tr w14:paraId="742D2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trPr>
              <w:tc>
                <w:tcPr>
                  <w:tcW w:w="769" w:type="dxa"/>
                  <w:vMerge w:val="continue"/>
                  <w:vAlign w:val="center"/>
                </w:tcPr>
                <w:p w14:paraId="02E3ADD6">
                  <w:pPr>
                    <w:pStyle w:val="257"/>
                  </w:pPr>
                </w:p>
              </w:tc>
              <w:tc>
                <w:tcPr>
                  <w:tcW w:w="971" w:type="dxa"/>
                  <w:vAlign w:val="center"/>
                </w:tcPr>
                <w:p w14:paraId="142FFFEE">
                  <w:pPr>
                    <w:pStyle w:val="257"/>
                    <w:rPr>
                      <w:rFonts w:hint="default" w:eastAsia="宋体"/>
                      <w:lang w:val="en-US" w:eastAsia="zh-CN"/>
                    </w:rPr>
                  </w:pPr>
                  <w:r>
                    <w:rPr>
                      <w:rFonts w:hint="eastAsia"/>
                      <w:lang w:val="en-US" w:eastAsia="zh-CN"/>
                    </w:rPr>
                    <w:t>W7</w:t>
                  </w:r>
                </w:p>
              </w:tc>
              <w:tc>
                <w:tcPr>
                  <w:tcW w:w="1635" w:type="dxa"/>
                  <w:vAlign w:val="center"/>
                </w:tcPr>
                <w:p w14:paraId="0822553C">
                  <w:pPr>
                    <w:pStyle w:val="257"/>
                  </w:pPr>
                  <w:r>
                    <w:t>职工生活</w:t>
                  </w:r>
                </w:p>
              </w:tc>
              <w:tc>
                <w:tcPr>
                  <w:tcW w:w="2058" w:type="dxa"/>
                  <w:vAlign w:val="center"/>
                </w:tcPr>
                <w:p w14:paraId="343958B2">
                  <w:pPr>
                    <w:pStyle w:val="257"/>
                  </w:pPr>
                  <w:r>
                    <w:rPr>
                      <w:rFonts w:hint="eastAsia"/>
                      <w:b w:val="0"/>
                      <w:bCs w:val="0"/>
                      <w:u w:val="none"/>
                    </w:rPr>
                    <w:t>pH、</w:t>
                  </w:r>
                  <w:r>
                    <w:rPr>
                      <w:b w:val="0"/>
                      <w:bCs w:val="0"/>
                      <w:u w:val="none"/>
                    </w:rPr>
                    <w:t>COD、BOD</w:t>
                  </w:r>
                  <w:r>
                    <w:rPr>
                      <w:b w:val="0"/>
                      <w:bCs w:val="0"/>
                      <w:u w:val="none"/>
                      <w:vertAlign w:val="subscript"/>
                    </w:rPr>
                    <w:t>5</w:t>
                  </w:r>
                  <w:r>
                    <w:rPr>
                      <w:b w:val="0"/>
                      <w:bCs w:val="0"/>
                      <w:u w:val="none"/>
                    </w:rPr>
                    <w:t>、SS、</w:t>
                  </w:r>
                  <w:r>
                    <w:rPr>
                      <w:rFonts w:hint="eastAsia"/>
                      <w:b w:val="0"/>
                      <w:bCs w:val="0"/>
                      <w:u w:val="none"/>
                    </w:rPr>
                    <w:t>NH</w:t>
                  </w:r>
                  <w:r>
                    <w:rPr>
                      <w:rFonts w:hint="eastAsia"/>
                      <w:b w:val="0"/>
                      <w:bCs w:val="0"/>
                      <w:u w:val="none"/>
                      <w:vertAlign w:val="subscript"/>
                    </w:rPr>
                    <w:t>3</w:t>
                  </w:r>
                  <w:r>
                    <w:rPr>
                      <w:rFonts w:hint="eastAsia"/>
                      <w:b w:val="0"/>
                      <w:bCs w:val="0"/>
                      <w:u w:val="none"/>
                    </w:rPr>
                    <w:t>-N</w:t>
                  </w:r>
                  <w:r>
                    <w:rPr>
                      <w:b w:val="0"/>
                      <w:bCs w:val="0"/>
                      <w:u w:val="none"/>
                    </w:rPr>
                    <w:t>、</w:t>
                  </w:r>
                  <w:r>
                    <w:rPr>
                      <w:rFonts w:hint="eastAsia"/>
                      <w:b w:val="0"/>
                      <w:bCs w:val="0"/>
                      <w:u w:val="none"/>
                    </w:rPr>
                    <w:t>TN、TP</w:t>
                  </w:r>
                </w:p>
              </w:tc>
              <w:tc>
                <w:tcPr>
                  <w:tcW w:w="2893" w:type="dxa"/>
                  <w:vAlign w:val="center"/>
                </w:tcPr>
                <w:p w14:paraId="507FE238">
                  <w:pPr>
                    <w:pStyle w:val="257"/>
                  </w:pPr>
                  <w:r>
                    <w:t>生活污水</w:t>
                  </w:r>
                  <w:r>
                    <w:rPr>
                      <w:rFonts w:hint="eastAsia"/>
                    </w:rPr>
                    <w:t>经化粪池预处理后，排</w:t>
                  </w:r>
                  <w:r>
                    <w:t>入</w:t>
                  </w:r>
                  <w:r>
                    <w:rPr>
                      <w:rFonts w:hint="eastAsia"/>
                    </w:rPr>
                    <w:t>污水处理厂</w:t>
                  </w:r>
                  <w:r>
                    <w:t>深度处理。</w:t>
                  </w:r>
                </w:p>
              </w:tc>
            </w:tr>
            <w:tr w14:paraId="4209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trPr>
              <w:tc>
                <w:tcPr>
                  <w:tcW w:w="769" w:type="dxa"/>
                  <w:vAlign w:val="center"/>
                </w:tcPr>
                <w:p w14:paraId="46E66FCF">
                  <w:pPr>
                    <w:pStyle w:val="257"/>
                  </w:pPr>
                  <w:r>
                    <w:t>噪声</w:t>
                  </w:r>
                </w:p>
              </w:tc>
              <w:tc>
                <w:tcPr>
                  <w:tcW w:w="971" w:type="dxa"/>
                  <w:vAlign w:val="center"/>
                </w:tcPr>
                <w:p w14:paraId="7B189EFF">
                  <w:pPr>
                    <w:pStyle w:val="257"/>
                  </w:pPr>
                  <w:r>
                    <w:t>/</w:t>
                  </w:r>
                </w:p>
              </w:tc>
              <w:tc>
                <w:tcPr>
                  <w:tcW w:w="1635" w:type="dxa"/>
                  <w:vAlign w:val="center"/>
                </w:tcPr>
                <w:p w14:paraId="7432A816">
                  <w:pPr>
                    <w:pStyle w:val="257"/>
                  </w:pPr>
                  <w:r>
                    <w:t>设备运行</w:t>
                  </w:r>
                </w:p>
              </w:tc>
              <w:tc>
                <w:tcPr>
                  <w:tcW w:w="2058" w:type="dxa"/>
                  <w:vAlign w:val="center"/>
                </w:tcPr>
                <w:p w14:paraId="0C10619D">
                  <w:pPr>
                    <w:pStyle w:val="257"/>
                  </w:pPr>
                  <w:r>
                    <w:t>LAeq</w:t>
                  </w:r>
                </w:p>
              </w:tc>
              <w:tc>
                <w:tcPr>
                  <w:tcW w:w="2893" w:type="dxa"/>
                  <w:vAlign w:val="center"/>
                </w:tcPr>
                <w:p w14:paraId="20CF5336">
                  <w:pPr>
                    <w:pStyle w:val="257"/>
                  </w:pPr>
                  <w:r>
                    <w:t>选用低噪声设备，对高噪声设备安装减振垫、环保设备风机安装消声器，建筑隔声</w:t>
                  </w:r>
                </w:p>
              </w:tc>
            </w:tr>
            <w:tr w14:paraId="44FD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trPr>
              <w:tc>
                <w:tcPr>
                  <w:tcW w:w="769" w:type="dxa"/>
                  <w:vMerge w:val="restart"/>
                  <w:vAlign w:val="center"/>
                </w:tcPr>
                <w:p w14:paraId="0ACB078F">
                  <w:pPr>
                    <w:pStyle w:val="257"/>
                  </w:pPr>
                  <w:r>
                    <w:rPr>
                      <w:rFonts w:hint="eastAsia"/>
                    </w:rPr>
                    <w:t>固废</w:t>
                  </w:r>
                </w:p>
              </w:tc>
              <w:tc>
                <w:tcPr>
                  <w:tcW w:w="971" w:type="dxa"/>
                  <w:vAlign w:val="center"/>
                </w:tcPr>
                <w:p w14:paraId="79E62AB2">
                  <w:pPr>
                    <w:pStyle w:val="257"/>
                  </w:pPr>
                  <w:r>
                    <w:t>S1</w:t>
                  </w:r>
                </w:p>
              </w:tc>
              <w:tc>
                <w:tcPr>
                  <w:tcW w:w="1635" w:type="dxa"/>
                  <w:vAlign w:val="center"/>
                </w:tcPr>
                <w:p w14:paraId="1F8EF06A">
                  <w:pPr>
                    <w:pStyle w:val="257"/>
                    <w:rPr>
                      <w:rFonts w:hint="default" w:eastAsia="宋体"/>
                      <w:lang w:val="en-US" w:eastAsia="zh-CN"/>
                    </w:rPr>
                  </w:pPr>
                  <w:r>
                    <w:rPr>
                      <w:rFonts w:hint="eastAsia"/>
                      <w:lang w:val="en-US" w:eastAsia="zh-CN"/>
                    </w:rPr>
                    <w:t>杂质</w:t>
                  </w:r>
                </w:p>
              </w:tc>
              <w:tc>
                <w:tcPr>
                  <w:tcW w:w="2058" w:type="dxa"/>
                  <w:vAlign w:val="center"/>
                </w:tcPr>
                <w:p w14:paraId="120B8ADF">
                  <w:pPr>
                    <w:pStyle w:val="257"/>
                    <w:rPr>
                      <w:rFonts w:hint="default" w:eastAsia="宋体"/>
                      <w:lang w:val="en-US" w:eastAsia="zh-CN"/>
                    </w:rPr>
                  </w:pPr>
                  <w:r>
                    <w:rPr>
                      <w:rFonts w:hint="eastAsia"/>
                      <w:lang w:val="en-US" w:eastAsia="zh-CN"/>
                    </w:rPr>
                    <w:t>石子等</w:t>
                  </w:r>
                </w:p>
              </w:tc>
              <w:tc>
                <w:tcPr>
                  <w:tcW w:w="2893" w:type="dxa"/>
                  <w:vAlign w:val="center"/>
                </w:tcPr>
                <w:p w14:paraId="308A33F2">
                  <w:pPr>
                    <w:pStyle w:val="257"/>
                  </w:pPr>
                  <w:r>
                    <w:t>委托环卫部门清运处理</w:t>
                  </w:r>
                </w:p>
              </w:tc>
            </w:tr>
            <w:tr w14:paraId="3BF2D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trPr>
              <w:tc>
                <w:tcPr>
                  <w:tcW w:w="769" w:type="dxa"/>
                  <w:vMerge w:val="continue"/>
                  <w:vAlign w:val="center"/>
                </w:tcPr>
                <w:p w14:paraId="44F35413">
                  <w:pPr>
                    <w:pStyle w:val="257"/>
                  </w:pPr>
                </w:p>
              </w:tc>
              <w:tc>
                <w:tcPr>
                  <w:tcW w:w="971" w:type="dxa"/>
                  <w:vAlign w:val="center"/>
                </w:tcPr>
                <w:p w14:paraId="463A6F31">
                  <w:pPr>
                    <w:pStyle w:val="257"/>
                  </w:pPr>
                  <w:r>
                    <w:t>S</w:t>
                  </w:r>
                  <w:r>
                    <w:rPr>
                      <w:rFonts w:hint="eastAsia"/>
                    </w:rPr>
                    <w:t>2</w:t>
                  </w:r>
                </w:p>
              </w:tc>
              <w:tc>
                <w:tcPr>
                  <w:tcW w:w="1635" w:type="dxa"/>
                  <w:vAlign w:val="center"/>
                </w:tcPr>
                <w:p w14:paraId="413840D7">
                  <w:pPr>
                    <w:pStyle w:val="257"/>
                    <w:rPr>
                      <w:rFonts w:hint="default" w:eastAsia="宋体"/>
                      <w:lang w:val="en-US" w:eastAsia="zh-CN"/>
                    </w:rPr>
                  </w:pPr>
                  <w:r>
                    <w:rPr>
                      <w:rFonts w:hint="eastAsia"/>
                      <w:lang w:val="en-US" w:eastAsia="zh-CN"/>
                    </w:rPr>
                    <w:t>废包装袋</w:t>
                  </w:r>
                </w:p>
              </w:tc>
              <w:tc>
                <w:tcPr>
                  <w:tcW w:w="2058" w:type="dxa"/>
                  <w:vAlign w:val="center"/>
                </w:tcPr>
                <w:p w14:paraId="349AF032">
                  <w:pPr>
                    <w:pStyle w:val="257"/>
                    <w:rPr>
                      <w:rFonts w:hint="default" w:eastAsia="宋体"/>
                      <w:lang w:val="en-US" w:eastAsia="zh-CN"/>
                    </w:rPr>
                  </w:pPr>
                  <w:r>
                    <w:rPr>
                      <w:rFonts w:hint="eastAsia"/>
                      <w:lang w:val="en-US" w:eastAsia="zh-CN"/>
                    </w:rPr>
                    <w:t>包装袋</w:t>
                  </w:r>
                </w:p>
              </w:tc>
              <w:tc>
                <w:tcPr>
                  <w:tcW w:w="2893" w:type="dxa"/>
                  <w:vAlign w:val="center"/>
                </w:tcPr>
                <w:p w14:paraId="2ECE6091">
                  <w:pPr>
                    <w:pStyle w:val="257"/>
                    <w:rPr>
                      <w:rFonts w:hint="default" w:eastAsia="宋体"/>
                      <w:lang w:val="en-US" w:eastAsia="zh-CN"/>
                    </w:rPr>
                  </w:pPr>
                  <w:r>
                    <w:rPr>
                      <w:rFonts w:hint="eastAsia"/>
                    </w:rPr>
                    <w:t>收集后</w:t>
                  </w:r>
                  <w:r>
                    <w:rPr>
                      <w:rFonts w:hint="eastAsia"/>
                      <w:lang w:eastAsia="zh-CN"/>
                    </w:rPr>
                    <w:t>出售</w:t>
                  </w:r>
                  <w:r>
                    <w:rPr>
                      <w:rFonts w:hint="eastAsia"/>
                    </w:rPr>
                    <w:t>给</w:t>
                  </w:r>
                  <w:r>
                    <w:rPr>
                      <w:rFonts w:hint="eastAsia"/>
                      <w:lang w:val="en-US" w:eastAsia="zh-CN"/>
                    </w:rPr>
                    <w:t>物资回收部门</w:t>
                  </w:r>
                </w:p>
              </w:tc>
            </w:tr>
            <w:tr w14:paraId="5B47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trPr>
              <w:tc>
                <w:tcPr>
                  <w:tcW w:w="769" w:type="dxa"/>
                  <w:vMerge w:val="continue"/>
                  <w:vAlign w:val="center"/>
                </w:tcPr>
                <w:p w14:paraId="5BF9D246">
                  <w:pPr>
                    <w:pStyle w:val="257"/>
                  </w:pPr>
                </w:p>
                <w:p w14:paraId="656D2D06">
                  <w:pPr>
                    <w:pStyle w:val="257"/>
                  </w:pPr>
                </w:p>
              </w:tc>
              <w:tc>
                <w:tcPr>
                  <w:tcW w:w="971" w:type="dxa"/>
                  <w:vAlign w:val="center"/>
                </w:tcPr>
                <w:p w14:paraId="5A043160">
                  <w:pPr>
                    <w:pStyle w:val="257"/>
                    <w:rPr>
                      <w:rFonts w:hint="default" w:eastAsia="宋体"/>
                      <w:lang w:val="en-US" w:eastAsia="zh-CN"/>
                    </w:rPr>
                  </w:pPr>
                  <w:r>
                    <w:rPr>
                      <w:rFonts w:hint="eastAsia"/>
                      <w:lang w:val="en-US" w:eastAsia="zh-CN"/>
                    </w:rPr>
                    <w:t>S3</w:t>
                  </w:r>
                </w:p>
              </w:tc>
              <w:tc>
                <w:tcPr>
                  <w:tcW w:w="1635" w:type="dxa"/>
                  <w:vAlign w:val="center"/>
                </w:tcPr>
                <w:p w14:paraId="546E7BAB">
                  <w:pPr>
                    <w:pStyle w:val="257"/>
                    <w:rPr>
                      <w:rFonts w:hint="default"/>
                      <w:lang w:val="en-US" w:eastAsia="zh-CN"/>
                    </w:rPr>
                  </w:pPr>
                  <w:r>
                    <w:rPr>
                      <w:rFonts w:hint="eastAsia"/>
                      <w:lang w:val="en-US" w:eastAsia="zh-CN"/>
                    </w:rPr>
                    <w:t>纯水制备</w:t>
                  </w:r>
                </w:p>
              </w:tc>
              <w:tc>
                <w:tcPr>
                  <w:tcW w:w="2058" w:type="dxa"/>
                  <w:vAlign w:val="center"/>
                </w:tcPr>
                <w:p w14:paraId="050C08D9">
                  <w:pPr>
                    <w:pStyle w:val="257"/>
                    <w:rPr>
                      <w:rFonts w:hint="default"/>
                      <w:lang w:val="en-US" w:eastAsia="zh-CN"/>
                    </w:rPr>
                  </w:pPr>
                  <w:r>
                    <w:rPr>
                      <w:rFonts w:hint="eastAsia"/>
                      <w:lang w:val="en-US" w:eastAsia="zh-CN"/>
                    </w:rPr>
                    <w:t>废离子交换树脂</w:t>
                  </w:r>
                </w:p>
              </w:tc>
              <w:tc>
                <w:tcPr>
                  <w:tcW w:w="2893" w:type="dxa"/>
                  <w:vAlign w:val="center"/>
                </w:tcPr>
                <w:p w14:paraId="5074E49E">
                  <w:pPr>
                    <w:pStyle w:val="257"/>
                    <w:rPr>
                      <w:rFonts w:hint="eastAsia"/>
                    </w:rPr>
                  </w:pPr>
                  <w:r>
                    <w:rPr>
                      <w:rFonts w:hint="eastAsia"/>
                      <w:lang w:val="en-US" w:eastAsia="zh-CN"/>
                    </w:rPr>
                    <w:t>收集后外售给物资回收部门</w:t>
                  </w:r>
                </w:p>
              </w:tc>
            </w:tr>
            <w:tr w14:paraId="42A5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trPr>
              <w:tc>
                <w:tcPr>
                  <w:tcW w:w="769" w:type="dxa"/>
                  <w:vMerge w:val="continue"/>
                  <w:vAlign w:val="center"/>
                </w:tcPr>
                <w:p w14:paraId="53A50289">
                  <w:pPr>
                    <w:pStyle w:val="257"/>
                  </w:pPr>
                </w:p>
              </w:tc>
              <w:tc>
                <w:tcPr>
                  <w:tcW w:w="971" w:type="dxa"/>
                  <w:vAlign w:val="center"/>
                </w:tcPr>
                <w:p w14:paraId="0776FDE3">
                  <w:pPr>
                    <w:pStyle w:val="257"/>
                    <w:rPr>
                      <w:rFonts w:hint="eastAsia"/>
                      <w:lang w:val="en-US" w:eastAsia="zh-CN"/>
                    </w:rPr>
                  </w:pPr>
                  <w:r>
                    <w:t>S</w:t>
                  </w:r>
                  <w:r>
                    <w:rPr>
                      <w:rFonts w:hint="eastAsia"/>
                      <w:lang w:val="en-US" w:eastAsia="zh-CN"/>
                    </w:rPr>
                    <w:t>4</w:t>
                  </w:r>
                </w:p>
              </w:tc>
              <w:tc>
                <w:tcPr>
                  <w:tcW w:w="1635" w:type="dxa"/>
                  <w:vAlign w:val="center"/>
                </w:tcPr>
                <w:p w14:paraId="055BB321">
                  <w:pPr>
                    <w:pStyle w:val="257"/>
                    <w:rPr>
                      <w:rFonts w:hint="default"/>
                      <w:lang w:val="en-US" w:eastAsia="zh-CN"/>
                    </w:rPr>
                  </w:pPr>
                  <w:r>
                    <w:rPr>
                      <w:rFonts w:hint="eastAsia"/>
                      <w:lang w:val="en-US" w:eastAsia="zh-CN"/>
                    </w:rPr>
                    <w:t>车间异味</w:t>
                  </w:r>
                </w:p>
              </w:tc>
              <w:tc>
                <w:tcPr>
                  <w:tcW w:w="2058" w:type="dxa"/>
                  <w:vAlign w:val="center"/>
                </w:tcPr>
                <w:p w14:paraId="781138CF">
                  <w:pPr>
                    <w:pStyle w:val="257"/>
                    <w:rPr>
                      <w:rFonts w:hint="default"/>
                      <w:lang w:val="en-US" w:eastAsia="zh-CN"/>
                    </w:rPr>
                  </w:pPr>
                  <w:r>
                    <w:rPr>
                      <w:rFonts w:hint="eastAsia"/>
                      <w:lang w:val="en-US" w:eastAsia="zh-CN"/>
                    </w:rPr>
                    <w:t>废活性炭</w:t>
                  </w:r>
                </w:p>
              </w:tc>
              <w:tc>
                <w:tcPr>
                  <w:tcW w:w="2893" w:type="dxa"/>
                  <w:vAlign w:val="center"/>
                </w:tcPr>
                <w:p w14:paraId="6598D3B9">
                  <w:pPr>
                    <w:pStyle w:val="257"/>
                    <w:rPr>
                      <w:rFonts w:hint="eastAsia"/>
                      <w:lang w:val="en-US" w:eastAsia="zh-CN"/>
                    </w:rPr>
                  </w:pPr>
                  <w:r>
                    <w:rPr>
                      <w:rFonts w:hint="eastAsia"/>
                      <w:lang w:val="en-US" w:eastAsia="zh-CN"/>
                    </w:rPr>
                    <w:t>收集后外售给物资回收部门</w:t>
                  </w:r>
                </w:p>
              </w:tc>
            </w:tr>
            <w:tr w14:paraId="11B6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trPr>
              <w:tc>
                <w:tcPr>
                  <w:tcW w:w="769" w:type="dxa"/>
                  <w:vMerge w:val="continue"/>
                  <w:vAlign w:val="center"/>
                </w:tcPr>
                <w:p w14:paraId="3AFA35C7">
                  <w:pPr>
                    <w:pStyle w:val="257"/>
                  </w:pPr>
                </w:p>
              </w:tc>
              <w:tc>
                <w:tcPr>
                  <w:tcW w:w="971" w:type="dxa"/>
                  <w:vAlign w:val="center"/>
                </w:tcPr>
                <w:p w14:paraId="029383AD">
                  <w:pPr>
                    <w:pStyle w:val="257"/>
                    <w:rPr>
                      <w:rFonts w:hint="default" w:eastAsia="宋体"/>
                      <w:lang w:val="en-US" w:eastAsia="zh-CN"/>
                    </w:rPr>
                  </w:pPr>
                  <w:r>
                    <w:rPr>
                      <w:rFonts w:hint="eastAsia"/>
                      <w:lang w:val="en-US" w:eastAsia="zh-CN"/>
                    </w:rPr>
                    <w:t>S5</w:t>
                  </w:r>
                </w:p>
              </w:tc>
              <w:tc>
                <w:tcPr>
                  <w:tcW w:w="1635" w:type="dxa"/>
                  <w:vAlign w:val="center"/>
                </w:tcPr>
                <w:p w14:paraId="7EAC84CF">
                  <w:pPr>
                    <w:pStyle w:val="257"/>
                  </w:pPr>
                  <w:r>
                    <w:t>职工生活</w:t>
                  </w:r>
                </w:p>
              </w:tc>
              <w:tc>
                <w:tcPr>
                  <w:tcW w:w="2058" w:type="dxa"/>
                  <w:vAlign w:val="center"/>
                </w:tcPr>
                <w:p w14:paraId="544D165A">
                  <w:pPr>
                    <w:pStyle w:val="257"/>
                  </w:pPr>
                  <w:r>
                    <w:t>生活垃圾</w:t>
                  </w:r>
                </w:p>
              </w:tc>
              <w:tc>
                <w:tcPr>
                  <w:tcW w:w="2893" w:type="dxa"/>
                  <w:vAlign w:val="center"/>
                </w:tcPr>
                <w:p w14:paraId="369538CF">
                  <w:pPr>
                    <w:pStyle w:val="257"/>
                  </w:pPr>
                  <w:r>
                    <w:t>委托环卫部门清运处理</w:t>
                  </w:r>
                </w:p>
              </w:tc>
            </w:tr>
          </w:tbl>
          <w:p w14:paraId="199EF9F1">
            <w:pPr>
              <w:pStyle w:val="100"/>
              <w:rPr>
                <w:bCs/>
              </w:rPr>
            </w:pPr>
          </w:p>
        </w:tc>
      </w:tr>
      <w:tr w14:paraId="5F3201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66" w:hRule="atLeast"/>
          <w:jc w:val="center"/>
        </w:trPr>
        <w:tc>
          <w:tcPr>
            <w:tcW w:w="534" w:type="dxa"/>
            <w:vAlign w:val="center"/>
          </w:tcPr>
          <w:p w14:paraId="3EE1EDC5">
            <w:pPr>
              <w:pStyle w:val="42"/>
              <w:adjustRightInd w:val="0"/>
              <w:snapToGrid w:val="0"/>
              <w:spacing w:before="0" w:beforeAutospacing="0" w:after="0" w:afterAutospacing="0"/>
              <w:jc w:val="center"/>
              <w:rPr>
                <w:rFonts w:ascii="Times New Roman" w:hAnsi="Times New Roman"/>
                <w:sz w:val="21"/>
                <w:szCs w:val="21"/>
              </w:rPr>
            </w:pPr>
            <w:r>
              <w:rPr>
                <w:rFonts w:ascii="Times New Roman" w:hAnsi="Times New Roman"/>
                <w:bCs/>
                <w:kern w:val="2"/>
                <w:sz w:val="21"/>
                <w:szCs w:val="21"/>
              </w:rPr>
              <w:t>与项目有关的原有环境污染问题</w:t>
            </w:r>
          </w:p>
        </w:tc>
        <w:tc>
          <w:tcPr>
            <w:tcW w:w="8526" w:type="dxa"/>
            <w:vAlign w:val="center"/>
          </w:tcPr>
          <w:p w14:paraId="54F075D3">
            <w:pPr>
              <w:pStyle w:val="100"/>
              <w:snapToGrid w:val="0"/>
            </w:pPr>
            <w:r>
              <w:rPr>
                <w:rFonts w:hint="eastAsia"/>
              </w:rPr>
              <w:t>本项目为</w:t>
            </w:r>
            <w:r>
              <w:t>新建项目</w:t>
            </w:r>
            <w:r>
              <w:rPr>
                <w:rFonts w:hint="eastAsia"/>
              </w:rPr>
              <w:t>，租赁</w:t>
            </w:r>
            <w:r>
              <w:rPr>
                <w:rFonts w:hint="eastAsia"/>
                <w:lang w:val="en-US" w:eastAsia="zh-CN"/>
              </w:rPr>
              <w:t>园区</w:t>
            </w:r>
            <w:r>
              <w:rPr>
                <w:rFonts w:hint="eastAsia"/>
              </w:rPr>
              <w:t>现有厂房进行建设，</w:t>
            </w:r>
            <w:r>
              <w:rPr>
                <w:rFonts w:hint="eastAsia"/>
                <w:b/>
                <w:bCs/>
                <w:u w:val="single"/>
              </w:rPr>
              <w:t>厂房为</w:t>
            </w:r>
            <w:r>
              <w:rPr>
                <w:rFonts w:hint="eastAsia"/>
                <w:b/>
                <w:bCs/>
                <w:u w:val="single"/>
                <w:lang w:val="en-US" w:eastAsia="zh-CN"/>
              </w:rPr>
              <w:t>安阳博然防火制品有限公司</w:t>
            </w:r>
            <w:r>
              <w:rPr>
                <w:rFonts w:hint="eastAsia"/>
                <w:b/>
                <w:bCs/>
                <w:u w:val="single"/>
              </w:rPr>
              <w:t>新建厂房，</w:t>
            </w:r>
            <w:r>
              <w:rPr>
                <w:rFonts w:hint="eastAsia"/>
                <w:b/>
                <w:bCs/>
                <w:u w:val="single"/>
                <w:lang w:val="en-US" w:eastAsia="zh-CN"/>
              </w:rPr>
              <w:t>该公司生产设备未安装，</w:t>
            </w:r>
            <w:r>
              <w:rPr>
                <w:rFonts w:hint="eastAsia"/>
                <w:b/>
                <w:bCs/>
                <w:u w:val="single"/>
              </w:rPr>
              <w:t>在本项目入驻前无其他生产项目使用</w:t>
            </w:r>
            <w:r>
              <w:rPr>
                <w:rFonts w:hint="eastAsia"/>
                <w:b/>
                <w:bCs/>
                <w:u w:val="single"/>
                <w:lang w:val="en-US" w:eastAsia="zh-CN"/>
              </w:rPr>
              <w:t>，</w:t>
            </w:r>
            <w:r>
              <w:rPr>
                <w:rFonts w:hint="eastAsia"/>
                <w:b/>
                <w:bCs/>
                <w:u w:val="single"/>
              </w:rPr>
              <w:t>各项基础设施完善</w:t>
            </w:r>
            <w:r>
              <w:rPr>
                <w:rFonts w:hint="eastAsia"/>
                <w:b/>
                <w:bCs/>
                <w:u w:val="single"/>
                <w:lang w:eastAsia="zh-CN"/>
              </w:rPr>
              <w:t>。</w:t>
            </w:r>
            <w:r>
              <w:rPr>
                <w:rFonts w:hint="eastAsia"/>
              </w:rPr>
              <w:t>本项目属于新建项目，不存在原有环境污染问题。</w:t>
            </w:r>
          </w:p>
        </w:tc>
      </w:tr>
    </w:tbl>
    <w:p w14:paraId="44C31752">
      <w:pPr>
        <w:pStyle w:val="42"/>
        <w:adjustRightInd w:val="0"/>
        <w:snapToGrid w:val="0"/>
        <w:jc w:val="center"/>
        <w:rPr>
          <w:rFonts w:ascii="Times New Roman" w:hAnsi="Times New Roman" w:eastAsia="黑体"/>
          <w:snapToGrid w:val="0"/>
          <w:sz w:val="36"/>
          <w:szCs w:val="36"/>
        </w:rPr>
        <w:sectPr>
          <w:pgSz w:w="11906" w:h="16838"/>
          <w:pgMar w:top="1701" w:right="1531" w:bottom="1701" w:left="1531" w:header="851" w:footer="851" w:gutter="0"/>
          <w:cols w:space="720" w:num="1"/>
          <w:docGrid w:linePitch="312" w:charSpace="0"/>
        </w:sectPr>
      </w:pPr>
    </w:p>
    <w:p w14:paraId="219583FD">
      <w:pPr>
        <w:pStyle w:val="263"/>
        <w:spacing w:before="120" w:after="120"/>
        <w:rPr>
          <w:snapToGrid w:val="0"/>
        </w:rPr>
      </w:pPr>
      <w:bookmarkStart w:id="31" w:name="_Toc197848436"/>
      <w:r>
        <w:rPr>
          <w:snapToGrid w:val="0"/>
        </w:rPr>
        <w:t>三、区域环境质量现状、环境保护目标及评价标准</w:t>
      </w:r>
      <w:bookmarkEnd w:id="31"/>
    </w:p>
    <w:tbl>
      <w:tblPr>
        <w:tblStyle w:val="4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8605"/>
      </w:tblGrid>
      <w:tr w14:paraId="3BDEE4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499" w:type="dxa"/>
            <w:vAlign w:val="center"/>
          </w:tcPr>
          <w:p w14:paraId="75C2184B">
            <w:pPr>
              <w:adjustRightInd w:val="0"/>
              <w:snapToGrid w:val="0"/>
              <w:jc w:val="center"/>
              <w:rPr>
                <w:kern w:val="0"/>
                <w:szCs w:val="21"/>
              </w:rPr>
            </w:pPr>
            <w:r>
              <w:rPr>
                <w:kern w:val="0"/>
                <w:szCs w:val="21"/>
              </w:rPr>
              <w:t>区域</w:t>
            </w:r>
          </w:p>
          <w:p w14:paraId="5AEA652C">
            <w:pPr>
              <w:adjustRightInd w:val="0"/>
              <w:snapToGrid w:val="0"/>
              <w:jc w:val="center"/>
              <w:rPr>
                <w:kern w:val="0"/>
                <w:szCs w:val="21"/>
              </w:rPr>
            </w:pPr>
            <w:r>
              <w:rPr>
                <w:kern w:val="0"/>
                <w:szCs w:val="21"/>
              </w:rPr>
              <w:t>环境</w:t>
            </w:r>
          </w:p>
          <w:p w14:paraId="4059497B">
            <w:pPr>
              <w:adjustRightInd w:val="0"/>
              <w:snapToGrid w:val="0"/>
              <w:jc w:val="center"/>
              <w:rPr>
                <w:kern w:val="0"/>
                <w:szCs w:val="21"/>
              </w:rPr>
            </w:pPr>
            <w:r>
              <w:rPr>
                <w:kern w:val="0"/>
                <w:szCs w:val="21"/>
              </w:rPr>
              <w:t>质量</w:t>
            </w:r>
          </w:p>
          <w:p w14:paraId="5F54DEA6">
            <w:pPr>
              <w:adjustRightInd w:val="0"/>
              <w:snapToGrid w:val="0"/>
              <w:jc w:val="center"/>
              <w:rPr>
                <w:kern w:val="0"/>
                <w:szCs w:val="21"/>
              </w:rPr>
            </w:pPr>
            <w:r>
              <w:rPr>
                <w:kern w:val="0"/>
                <w:szCs w:val="21"/>
              </w:rPr>
              <w:t>现状</w:t>
            </w:r>
          </w:p>
        </w:tc>
        <w:tc>
          <w:tcPr>
            <w:tcW w:w="8491" w:type="dxa"/>
          </w:tcPr>
          <w:p w14:paraId="07FB6750">
            <w:pPr>
              <w:pStyle w:val="261"/>
              <w:ind w:firstLine="240"/>
            </w:pPr>
            <w:r>
              <w:t>1、环境空气</w:t>
            </w:r>
          </w:p>
          <w:p w14:paraId="2FF2297E">
            <w:pPr>
              <w:adjustRightInd w:val="0"/>
              <w:snapToGrid w:val="0"/>
              <w:spacing w:line="360" w:lineRule="auto"/>
              <w:ind w:firstLine="480" w:firstLineChars="200"/>
              <w:rPr>
                <w:rFonts w:hint="eastAsia"/>
                <w:color w:val="auto"/>
                <w:sz w:val="24"/>
                <w:szCs w:val="24"/>
                <w:lang w:eastAsia="zh-CN"/>
              </w:rPr>
            </w:pPr>
            <w:r>
              <w:rPr>
                <w:rFonts w:hint="eastAsia"/>
                <w:color w:val="auto"/>
                <w:sz w:val="24"/>
                <w:szCs w:val="24"/>
                <w:lang w:eastAsia="zh-CN"/>
              </w:rPr>
              <w:t>根据安阳市人民政府办公室《关于印发安阳市环境空气质量功能区划（2021-2025年）的通知》（安政办</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2022</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3</w:t>
            </w:r>
            <w:r>
              <w:rPr>
                <w:rFonts w:hint="eastAsia"/>
                <w:color w:val="auto"/>
                <w:sz w:val="24"/>
                <w:szCs w:val="24"/>
                <w:lang w:eastAsia="zh-CN"/>
              </w:rPr>
              <w:t>9号）可知，本项目所在区域属于《环境空气质量标准》（GB3095-2026）二类区，应执行《环境空气质量标准》（GB3095-2026）中的二级标准。</w:t>
            </w:r>
          </w:p>
          <w:p w14:paraId="21A1926F">
            <w:pPr>
              <w:adjustRightInd w:val="0"/>
              <w:snapToGrid w:val="0"/>
              <w:spacing w:line="360" w:lineRule="auto"/>
              <w:ind w:firstLine="480" w:firstLineChars="200"/>
              <w:rPr>
                <w:rFonts w:hint="eastAsia"/>
                <w:color w:val="auto"/>
                <w:sz w:val="24"/>
                <w:szCs w:val="24"/>
                <w:lang w:eastAsia="zh-CN"/>
              </w:rPr>
            </w:pPr>
            <w:r>
              <w:rPr>
                <w:rFonts w:hint="eastAsia"/>
                <w:color w:val="auto"/>
                <w:sz w:val="24"/>
                <w:szCs w:val="24"/>
                <w:lang w:eastAsia="zh-CN"/>
              </w:rPr>
              <w:t>根据汤阴一中常规监测点，汤阴县202</w:t>
            </w:r>
            <w:r>
              <w:rPr>
                <w:rFonts w:hint="eastAsia"/>
                <w:color w:val="auto"/>
                <w:sz w:val="24"/>
                <w:szCs w:val="24"/>
                <w:lang w:val="en-US" w:eastAsia="zh-CN"/>
              </w:rPr>
              <w:t>4</w:t>
            </w:r>
            <w:r>
              <w:rPr>
                <w:rFonts w:hint="eastAsia"/>
                <w:color w:val="auto"/>
                <w:sz w:val="24"/>
                <w:szCs w:val="24"/>
                <w:lang w:eastAsia="zh-CN"/>
              </w:rPr>
              <w:t>年环境空气质量数据各项指数统计数据见下表。</w:t>
            </w:r>
          </w:p>
          <w:p w14:paraId="34F1BC3C">
            <w:pPr>
              <w:pStyle w:val="56"/>
              <w:numPr>
                <w:ilvl w:val="0"/>
                <w:numId w:val="0"/>
              </w:numPr>
              <w:bidi w:val="0"/>
              <w:ind w:leftChars="0"/>
              <w:rPr>
                <w:rFonts w:hint="eastAsia"/>
                <w:color w:val="auto"/>
                <w:lang w:eastAsia="zh-CN"/>
              </w:rPr>
            </w:pPr>
            <w:r>
              <w:rPr>
                <w:rFonts w:hint="eastAsia"/>
                <w:color w:val="auto"/>
                <w:lang w:val="en-US" w:eastAsia="zh-CN"/>
              </w:rPr>
              <w:t xml:space="preserve">表17  </w:t>
            </w:r>
            <w:r>
              <w:rPr>
                <w:rFonts w:hint="eastAsia"/>
                <w:color w:val="auto"/>
                <w:lang w:eastAsia="zh-CN"/>
              </w:rPr>
              <w:t>202</w:t>
            </w:r>
            <w:r>
              <w:rPr>
                <w:rFonts w:hint="eastAsia"/>
                <w:color w:val="auto"/>
                <w:lang w:val="en-US" w:eastAsia="zh-CN"/>
              </w:rPr>
              <w:t>4</w:t>
            </w:r>
            <w:r>
              <w:rPr>
                <w:rFonts w:hint="eastAsia"/>
                <w:color w:val="auto"/>
                <w:lang w:eastAsia="zh-CN"/>
              </w:rPr>
              <w:t>年汤阴县环境空气质量现状基本污染物数据一览表</w:t>
            </w:r>
          </w:p>
          <w:tbl>
            <w:tblPr>
              <w:tblStyle w:val="4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682"/>
              <w:gridCol w:w="1534"/>
              <w:gridCol w:w="1932"/>
              <w:gridCol w:w="1042"/>
              <w:gridCol w:w="1175"/>
              <w:gridCol w:w="1098"/>
              <w:gridCol w:w="923"/>
            </w:tblGrid>
            <w:tr w14:paraId="66FB10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06" w:type="pct"/>
                  <w:tcBorders>
                    <w:tl2br w:val="nil"/>
                    <w:tr2bl w:val="nil"/>
                  </w:tcBorders>
                  <w:noWrap w:val="0"/>
                  <w:tcMar>
                    <w:top w:w="0" w:type="dxa"/>
                    <w:left w:w="57" w:type="dxa"/>
                    <w:bottom w:w="0" w:type="dxa"/>
                    <w:right w:w="57" w:type="dxa"/>
                  </w:tcMar>
                  <w:vAlign w:val="center"/>
                </w:tcPr>
                <w:p w14:paraId="79D21F30">
                  <w:pPr>
                    <w:pStyle w:val="58"/>
                    <w:bidi w:val="0"/>
                    <w:jc w:val="center"/>
                    <w:rPr>
                      <w:sz w:val="21"/>
                      <w:szCs w:val="21"/>
                      <w:u w:val="none" w:color="auto"/>
                    </w:rPr>
                  </w:pPr>
                  <w:bookmarkStart w:id="32" w:name="OLE_LINK21" w:colFirst="0" w:colLast="6"/>
                  <w:r>
                    <w:rPr>
                      <w:sz w:val="21"/>
                      <w:szCs w:val="21"/>
                      <w:u w:val="none" w:color="auto"/>
                    </w:rPr>
                    <w:t>污染物</w:t>
                  </w:r>
                </w:p>
              </w:tc>
              <w:tc>
                <w:tcPr>
                  <w:tcW w:w="914" w:type="pct"/>
                  <w:tcBorders>
                    <w:tl2br w:val="nil"/>
                    <w:tr2bl w:val="nil"/>
                  </w:tcBorders>
                  <w:noWrap w:val="0"/>
                  <w:tcMar>
                    <w:top w:w="0" w:type="dxa"/>
                    <w:left w:w="57" w:type="dxa"/>
                    <w:bottom w:w="0" w:type="dxa"/>
                    <w:right w:w="57" w:type="dxa"/>
                  </w:tcMar>
                  <w:vAlign w:val="center"/>
                </w:tcPr>
                <w:p w14:paraId="42854336">
                  <w:pPr>
                    <w:pStyle w:val="58"/>
                    <w:bidi w:val="0"/>
                    <w:jc w:val="center"/>
                    <w:rPr>
                      <w:sz w:val="21"/>
                      <w:szCs w:val="21"/>
                      <w:u w:val="none" w:color="auto"/>
                    </w:rPr>
                  </w:pPr>
                  <w:r>
                    <w:rPr>
                      <w:sz w:val="21"/>
                      <w:szCs w:val="21"/>
                      <w:u w:val="none" w:color="auto"/>
                    </w:rPr>
                    <w:t>年评价指标</w:t>
                  </w:r>
                </w:p>
              </w:tc>
              <w:tc>
                <w:tcPr>
                  <w:tcW w:w="1151" w:type="pct"/>
                  <w:tcBorders>
                    <w:tl2br w:val="nil"/>
                    <w:tr2bl w:val="nil"/>
                  </w:tcBorders>
                  <w:noWrap w:val="0"/>
                  <w:tcMar>
                    <w:top w:w="0" w:type="dxa"/>
                    <w:left w:w="57" w:type="dxa"/>
                    <w:bottom w:w="0" w:type="dxa"/>
                    <w:right w:w="57" w:type="dxa"/>
                  </w:tcMar>
                  <w:vAlign w:val="center"/>
                </w:tcPr>
                <w:p w14:paraId="2F16E965">
                  <w:pPr>
                    <w:pStyle w:val="58"/>
                    <w:bidi w:val="0"/>
                    <w:jc w:val="center"/>
                    <w:rPr>
                      <w:sz w:val="21"/>
                      <w:szCs w:val="21"/>
                      <w:u w:val="none" w:color="auto"/>
                    </w:rPr>
                  </w:pPr>
                  <w:r>
                    <w:rPr>
                      <w:rFonts w:hint="eastAsia"/>
                      <w:sz w:val="21"/>
                      <w:szCs w:val="21"/>
                      <w:u w:val="none" w:color="auto"/>
                    </w:rPr>
                    <w:t>《环境空气质量标准》（GB3095-2012）表1及修改单</w:t>
                  </w:r>
                  <w:r>
                    <w:rPr>
                      <w:sz w:val="21"/>
                      <w:szCs w:val="21"/>
                      <w:u w:val="none" w:color="auto"/>
                    </w:rPr>
                    <w:t>评价标准值（μg/m</w:t>
                  </w:r>
                  <w:r>
                    <w:rPr>
                      <w:sz w:val="21"/>
                      <w:szCs w:val="21"/>
                      <w:u w:val="none" w:color="auto"/>
                      <w:vertAlign w:val="superscript"/>
                    </w:rPr>
                    <w:t>3</w:t>
                  </w:r>
                  <w:r>
                    <w:rPr>
                      <w:sz w:val="21"/>
                      <w:szCs w:val="21"/>
                      <w:u w:val="none" w:color="auto"/>
                    </w:rPr>
                    <w:t>）</w:t>
                  </w:r>
                </w:p>
              </w:tc>
              <w:tc>
                <w:tcPr>
                  <w:tcW w:w="621" w:type="pct"/>
                  <w:tcBorders>
                    <w:tl2br w:val="nil"/>
                    <w:tr2bl w:val="nil"/>
                  </w:tcBorders>
                  <w:noWrap w:val="0"/>
                  <w:tcMar>
                    <w:top w:w="0" w:type="dxa"/>
                    <w:left w:w="57" w:type="dxa"/>
                    <w:bottom w:w="0" w:type="dxa"/>
                    <w:right w:w="57" w:type="dxa"/>
                  </w:tcMar>
                  <w:vAlign w:val="center"/>
                </w:tcPr>
                <w:p w14:paraId="2BA6D87E">
                  <w:pPr>
                    <w:pStyle w:val="58"/>
                    <w:bidi w:val="0"/>
                    <w:jc w:val="center"/>
                    <w:rPr>
                      <w:sz w:val="21"/>
                      <w:szCs w:val="21"/>
                      <w:u w:val="none" w:color="auto"/>
                    </w:rPr>
                  </w:pPr>
                  <w:r>
                    <w:rPr>
                      <w:sz w:val="21"/>
                      <w:szCs w:val="21"/>
                      <w:u w:val="none" w:color="auto"/>
                    </w:rPr>
                    <w:t>现状浓度（μg/m</w:t>
                  </w:r>
                  <w:r>
                    <w:rPr>
                      <w:sz w:val="21"/>
                      <w:szCs w:val="21"/>
                      <w:u w:val="none" w:color="auto"/>
                      <w:vertAlign w:val="superscript"/>
                    </w:rPr>
                    <w:t>3</w:t>
                  </w:r>
                  <w:r>
                    <w:rPr>
                      <w:sz w:val="21"/>
                      <w:szCs w:val="21"/>
                      <w:u w:val="none" w:color="auto"/>
                    </w:rPr>
                    <w:t>）</w:t>
                  </w:r>
                </w:p>
              </w:tc>
              <w:tc>
                <w:tcPr>
                  <w:tcW w:w="700" w:type="pct"/>
                  <w:tcBorders>
                    <w:tl2br w:val="nil"/>
                    <w:tr2bl w:val="nil"/>
                  </w:tcBorders>
                  <w:noWrap w:val="0"/>
                  <w:tcMar>
                    <w:top w:w="0" w:type="dxa"/>
                    <w:left w:w="57" w:type="dxa"/>
                    <w:bottom w:w="0" w:type="dxa"/>
                    <w:right w:w="57" w:type="dxa"/>
                  </w:tcMar>
                  <w:vAlign w:val="center"/>
                </w:tcPr>
                <w:p w14:paraId="00BCD25D">
                  <w:pPr>
                    <w:pStyle w:val="58"/>
                    <w:bidi w:val="0"/>
                    <w:jc w:val="center"/>
                    <w:rPr>
                      <w:sz w:val="21"/>
                      <w:szCs w:val="21"/>
                      <w:u w:val="none" w:color="auto"/>
                    </w:rPr>
                  </w:pPr>
                  <w:r>
                    <w:rPr>
                      <w:sz w:val="21"/>
                      <w:szCs w:val="21"/>
                      <w:u w:val="none" w:color="auto"/>
                    </w:rPr>
                    <w:t>最大浓度占标率/%</w:t>
                  </w:r>
                </w:p>
              </w:tc>
              <w:tc>
                <w:tcPr>
                  <w:tcW w:w="654" w:type="pct"/>
                  <w:tcBorders>
                    <w:tl2br w:val="nil"/>
                    <w:tr2bl w:val="nil"/>
                  </w:tcBorders>
                  <w:noWrap w:val="0"/>
                  <w:tcMar>
                    <w:top w:w="0" w:type="dxa"/>
                    <w:left w:w="57" w:type="dxa"/>
                    <w:bottom w:w="0" w:type="dxa"/>
                    <w:right w:w="57" w:type="dxa"/>
                  </w:tcMar>
                  <w:vAlign w:val="center"/>
                </w:tcPr>
                <w:p w14:paraId="46C6D7D0">
                  <w:pPr>
                    <w:pStyle w:val="58"/>
                    <w:bidi w:val="0"/>
                    <w:jc w:val="center"/>
                    <w:rPr>
                      <w:sz w:val="21"/>
                      <w:szCs w:val="21"/>
                      <w:u w:val="none" w:color="auto"/>
                    </w:rPr>
                  </w:pPr>
                  <w:r>
                    <w:rPr>
                      <w:sz w:val="21"/>
                      <w:szCs w:val="21"/>
                      <w:u w:val="none" w:color="auto"/>
                    </w:rPr>
                    <w:t>超标率/%</w:t>
                  </w:r>
                </w:p>
              </w:tc>
              <w:tc>
                <w:tcPr>
                  <w:tcW w:w="550" w:type="pct"/>
                  <w:tcBorders>
                    <w:tl2br w:val="nil"/>
                    <w:tr2bl w:val="nil"/>
                  </w:tcBorders>
                  <w:noWrap w:val="0"/>
                  <w:tcMar>
                    <w:top w:w="0" w:type="dxa"/>
                    <w:left w:w="57" w:type="dxa"/>
                    <w:bottom w:w="0" w:type="dxa"/>
                    <w:right w:w="57" w:type="dxa"/>
                  </w:tcMar>
                  <w:vAlign w:val="center"/>
                </w:tcPr>
                <w:p w14:paraId="71DC666C">
                  <w:pPr>
                    <w:pStyle w:val="58"/>
                    <w:bidi w:val="0"/>
                    <w:jc w:val="center"/>
                    <w:rPr>
                      <w:sz w:val="21"/>
                      <w:szCs w:val="21"/>
                      <w:u w:val="none" w:color="auto"/>
                    </w:rPr>
                  </w:pPr>
                  <w:r>
                    <w:rPr>
                      <w:sz w:val="21"/>
                      <w:szCs w:val="21"/>
                      <w:u w:val="none" w:color="auto"/>
                    </w:rPr>
                    <w:t>达标情况</w:t>
                  </w:r>
                </w:p>
              </w:tc>
            </w:tr>
            <w:bookmarkEnd w:id="32"/>
            <w:tr w14:paraId="258DEE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06" w:type="pct"/>
                  <w:tcBorders>
                    <w:tl2br w:val="nil"/>
                    <w:tr2bl w:val="nil"/>
                  </w:tcBorders>
                  <w:noWrap w:val="0"/>
                  <w:tcMar>
                    <w:top w:w="0" w:type="dxa"/>
                    <w:left w:w="57" w:type="dxa"/>
                    <w:bottom w:w="0" w:type="dxa"/>
                    <w:right w:w="57" w:type="dxa"/>
                  </w:tcMar>
                  <w:vAlign w:val="center"/>
                </w:tcPr>
                <w:p w14:paraId="4D293227">
                  <w:pPr>
                    <w:pStyle w:val="58"/>
                    <w:bidi w:val="0"/>
                    <w:jc w:val="center"/>
                    <w:rPr>
                      <w:sz w:val="21"/>
                      <w:szCs w:val="21"/>
                      <w:u w:val="none" w:color="auto"/>
                    </w:rPr>
                  </w:pPr>
                  <w:r>
                    <w:rPr>
                      <w:sz w:val="21"/>
                      <w:szCs w:val="21"/>
                      <w:u w:val="none" w:color="auto"/>
                    </w:rPr>
                    <w:t>SO</w:t>
                  </w:r>
                  <w:r>
                    <w:rPr>
                      <w:sz w:val="21"/>
                      <w:szCs w:val="21"/>
                      <w:u w:val="none" w:color="auto"/>
                      <w:vertAlign w:val="subscript"/>
                    </w:rPr>
                    <w:t>2</w:t>
                  </w:r>
                </w:p>
              </w:tc>
              <w:tc>
                <w:tcPr>
                  <w:tcW w:w="914" w:type="pct"/>
                  <w:tcBorders>
                    <w:tl2br w:val="nil"/>
                    <w:tr2bl w:val="nil"/>
                  </w:tcBorders>
                  <w:noWrap w:val="0"/>
                  <w:tcMar>
                    <w:top w:w="0" w:type="dxa"/>
                    <w:left w:w="57" w:type="dxa"/>
                    <w:bottom w:w="0" w:type="dxa"/>
                    <w:right w:w="57" w:type="dxa"/>
                  </w:tcMar>
                  <w:vAlign w:val="center"/>
                </w:tcPr>
                <w:p w14:paraId="058A115C">
                  <w:pPr>
                    <w:pStyle w:val="58"/>
                    <w:bidi w:val="0"/>
                    <w:jc w:val="center"/>
                    <w:rPr>
                      <w:sz w:val="21"/>
                      <w:szCs w:val="21"/>
                      <w:u w:val="none" w:color="auto"/>
                    </w:rPr>
                  </w:pPr>
                  <w:r>
                    <w:rPr>
                      <w:sz w:val="21"/>
                      <w:szCs w:val="21"/>
                      <w:u w:val="none" w:color="auto"/>
                    </w:rPr>
                    <w:t>年平均</w:t>
                  </w:r>
                </w:p>
              </w:tc>
              <w:tc>
                <w:tcPr>
                  <w:tcW w:w="1151" w:type="pct"/>
                  <w:tcBorders>
                    <w:tl2br w:val="nil"/>
                    <w:tr2bl w:val="nil"/>
                  </w:tcBorders>
                  <w:noWrap w:val="0"/>
                  <w:tcMar>
                    <w:top w:w="0" w:type="dxa"/>
                    <w:left w:w="57" w:type="dxa"/>
                    <w:bottom w:w="0" w:type="dxa"/>
                    <w:right w:w="57" w:type="dxa"/>
                  </w:tcMar>
                  <w:vAlign w:val="center"/>
                </w:tcPr>
                <w:p w14:paraId="2F16B020">
                  <w:pPr>
                    <w:pStyle w:val="58"/>
                    <w:bidi w:val="0"/>
                    <w:ind w:firstLine="0" w:firstLineChars="0"/>
                    <w:jc w:val="center"/>
                    <w:rPr>
                      <w:rFonts w:ascii="Times New Roman" w:hAnsi="Times New Roman" w:eastAsia="宋体" w:cs="Times New Roman"/>
                      <w:color w:val="auto"/>
                      <w:kern w:val="2"/>
                      <w:sz w:val="21"/>
                      <w:szCs w:val="21"/>
                      <w:u w:val="none" w:color="auto"/>
                      <w:lang w:val="en-US" w:eastAsia="zh-CN" w:bidi="ar-SA"/>
                    </w:rPr>
                  </w:pPr>
                  <w:r>
                    <w:rPr>
                      <w:color w:val="auto"/>
                      <w:sz w:val="21"/>
                      <w:szCs w:val="21"/>
                      <w:u w:val="none" w:color="auto"/>
                    </w:rPr>
                    <w:t>60</w:t>
                  </w:r>
                </w:p>
              </w:tc>
              <w:tc>
                <w:tcPr>
                  <w:tcW w:w="621" w:type="pct"/>
                  <w:tcBorders>
                    <w:tl2br w:val="nil"/>
                    <w:tr2bl w:val="nil"/>
                  </w:tcBorders>
                  <w:noWrap w:val="0"/>
                  <w:tcMar>
                    <w:top w:w="0" w:type="dxa"/>
                    <w:left w:w="57" w:type="dxa"/>
                    <w:bottom w:w="0" w:type="dxa"/>
                    <w:right w:w="57" w:type="dxa"/>
                  </w:tcMar>
                  <w:vAlign w:val="center"/>
                </w:tcPr>
                <w:p w14:paraId="6D5F8012">
                  <w:pPr>
                    <w:pStyle w:val="58"/>
                    <w:bidi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color w:val="auto"/>
                      <w:sz w:val="21"/>
                      <w:szCs w:val="21"/>
                      <w:u w:val="none" w:color="auto"/>
                      <w:lang w:val="en-US" w:eastAsia="zh-CN"/>
                    </w:rPr>
                    <w:t>10</w:t>
                  </w:r>
                </w:p>
              </w:tc>
              <w:tc>
                <w:tcPr>
                  <w:tcW w:w="1092" w:type="dxa"/>
                  <w:tcBorders>
                    <w:tl2br w:val="nil"/>
                    <w:tr2bl w:val="nil"/>
                  </w:tcBorders>
                  <w:noWrap w:val="0"/>
                  <w:tcMar>
                    <w:top w:w="0" w:type="dxa"/>
                    <w:left w:w="57" w:type="dxa"/>
                    <w:bottom w:w="0" w:type="dxa"/>
                    <w:right w:w="57" w:type="dxa"/>
                  </w:tcMar>
                  <w:vAlign w:val="center"/>
                </w:tcPr>
                <w:p w14:paraId="3FF010DA">
                  <w:pPr>
                    <w:pStyle w:val="58"/>
                    <w:bidi w:val="0"/>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16.67</w:t>
                  </w:r>
                </w:p>
              </w:tc>
              <w:tc>
                <w:tcPr>
                  <w:tcW w:w="654" w:type="pct"/>
                  <w:tcBorders>
                    <w:tl2br w:val="nil"/>
                    <w:tr2bl w:val="nil"/>
                  </w:tcBorders>
                  <w:noWrap w:val="0"/>
                  <w:tcMar>
                    <w:top w:w="0" w:type="dxa"/>
                    <w:left w:w="57" w:type="dxa"/>
                    <w:bottom w:w="0" w:type="dxa"/>
                    <w:right w:w="57" w:type="dxa"/>
                  </w:tcMar>
                  <w:vAlign w:val="center"/>
                </w:tcPr>
                <w:p w14:paraId="21FCEC15">
                  <w:pPr>
                    <w:pStyle w:val="58"/>
                    <w:bidi w:val="0"/>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w:t>
                  </w:r>
                </w:p>
              </w:tc>
              <w:tc>
                <w:tcPr>
                  <w:tcW w:w="550" w:type="pct"/>
                  <w:tcBorders>
                    <w:tl2br w:val="nil"/>
                    <w:tr2bl w:val="nil"/>
                  </w:tcBorders>
                  <w:noWrap w:val="0"/>
                  <w:tcMar>
                    <w:top w:w="0" w:type="dxa"/>
                    <w:left w:w="57" w:type="dxa"/>
                    <w:bottom w:w="0" w:type="dxa"/>
                    <w:right w:w="57" w:type="dxa"/>
                  </w:tcMar>
                  <w:vAlign w:val="center"/>
                </w:tcPr>
                <w:p w14:paraId="27FF70E4">
                  <w:pPr>
                    <w:pStyle w:val="58"/>
                    <w:bidi w:val="0"/>
                    <w:jc w:val="center"/>
                    <w:rPr>
                      <w:sz w:val="21"/>
                      <w:szCs w:val="21"/>
                      <w:u w:val="none" w:color="auto"/>
                      <w:lang w:val="en-US" w:eastAsia="zh-CN"/>
                    </w:rPr>
                  </w:pPr>
                  <w:r>
                    <w:rPr>
                      <w:sz w:val="21"/>
                      <w:szCs w:val="21"/>
                      <w:u w:val="none" w:color="auto"/>
                    </w:rPr>
                    <w:t>达标</w:t>
                  </w:r>
                </w:p>
              </w:tc>
            </w:tr>
            <w:tr w14:paraId="3F27F4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06" w:type="pct"/>
                  <w:tcBorders>
                    <w:tl2br w:val="nil"/>
                    <w:tr2bl w:val="nil"/>
                  </w:tcBorders>
                  <w:noWrap w:val="0"/>
                  <w:tcMar>
                    <w:top w:w="0" w:type="dxa"/>
                    <w:left w:w="57" w:type="dxa"/>
                    <w:bottom w:w="0" w:type="dxa"/>
                    <w:right w:w="57" w:type="dxa"/>
                  </w:tcMar>
                  <w:vAlign w:val="center"/>
                </w:tcPr>
                <w:p w14:paraId="3AFCA963">
                  <w:pPr>
                    <w:pStyle w:val="58"/>
                    <w:bidi w:val="0"/>
                    <w:jc w:val="center"/>
                    <w:rPr>
                      <w:sz w:val="21"/>
                      <w:szCs w:val="21"/>
                      <w:u w:val="none" w:color="auto"/>
                    </w:rPr>
                  </w:pPr>
                  <w:r>
                    <w:rPr>
                      <w:sz w:val="21"/>
                      <w:szCs w:val="21"/>
                      <w:u w:val="none" w:color="auto"/>
                    </w:rPr>
                    <w:t>NO</w:t>
                  </w:r>
                  <w:r>
                    <w:rPr>
                      <w:sz w:val="21"/>
                      <w:szCs w:val="21"/>
                      <w:u w:val="none" w:color="auto"/>
                      <w:vertAlign w:val="subscript"/>
                    </w:rPr>
                    <w:t>2</w:t>
                  </w:r>
                </w:p>
              </w:tc>
              <w:tc>
                <w:tcPr>
                  <w:tcW w:w="914" w:type="pct"/>
                  <w:tcBorders>
                    <w:tl2br w:val="nil"/>
                    <w:tr2bl w:val="nil"/>
                  </w:tcBorders>
                  <w:noWrap w:val="0"/>
                  <w:tcMar>
                    <w:top w:w="0" w:type="dxa"/>
                    <w:left w:w="57" w:type="dxa"/>
                    <w:bottom w:w="0" w:type="dxa"/>
                    <w:right w:w="57" w:type="dxa"/>
                  </w:tcMar>
                  <w:vAlign w:val="center"/>
                </w:tcPr>
                <w:p w14:paraId="50AACD05">
                  <w:pPr>
                    <w:pStyle w:val="58"/>
                    <w:bidi w:val="0"/>
                    <w:jc w:val="center"/>
                    <w:rPr>
                      <w:sz w:val="21"/>
                      <w:szCs w:val="21"/>
                      <w:u w:val="none" w:color="auto"/>
                    </w:rPr>
                  </w:pPr>
                  <w:r>
                    <w:rPr>
                      <w:sz w:val="21"/>
                      <w:szCs w:val="21"/>
                      <w:u w:val="none" w:color="auto"/>
                    </w:rPr>
                    <w:t>年平均</w:t>
                  </w:r>
                </w:p>
              </w:tc>
              <w:tc>
                <w:tcPr>
                  <w:tcW w:w="1151" w:type="pct"/>
                  <w:tcBorders>
                    <w:tl2br w:val="nil"/>
                    <w:tr2bl w:val="nil"/>
                  </w:tcBorders>
                  <w:noWrap w:val="0"/>
                  <w:tcMar>
                    <w:top w:w="0" w:type="dxa"/>
                    <w:left w:w="57" w:type="dxa"/>
                    <w:bottom w:w="0" w:type="dxa"/>
                    <w:right w:w="57" w:type="dxa"/>
                  </w:tcMar>
                  <w:vAlign w:val="center"/>
                </w:tcPr>
                <w:p w14:paraId="3AFB3F5C">
                  <w:pPr>
                    <w:pStyle w:val="58"/>
                    <w:bidi w:val="0"/>
                    <w:ind w:firstLine="0" w:firstLineChars="0"/>
                    <w:jc w:val="center"/>
                    <w:rPr>
                      <w:rFonts w:ascii="Times New Roman" w:hAnsi="Times New Roman" w:eastAsia="宋体" w:cs="Times New Roman"/>
                      <w:color w:val="auto"/>
                      <w:kern w:val="2"/>
                      <w:sz w:val="21"/>
                      <w:szCs w:val="21"/>
                      <w:u w:val="none" w:color="auto"/>
                      <w:lang w:val="en-US" w:eastAsia="zh-CN" w:bidi="ar-SA"/>
                    </w:rPr>
                  </w:pPr>
                  <w:r>
                    <w:rPr>
                      <w:color w:val="auto"/>
                      <w:sz w:val="21"/>
                      <w:szCs w:val="21"/>
                      <w:u w:val="none" w:color="auto"/>
                    </w:rPr>
                    <w:t>40</w:t>
                  </w:r>
                </w:p>
              </w:tc>
              <w:tc>
                <w:tcPr>
                  <w:tcW w:w="621" w:type="pct"/>
                  <w:tcBorders>
                    <w:tl2br w:val="nil"/>
                    <w:tr2bl w:val="nil"/>
                  </w:tcBorders>
                  <w:noWrap w:val="0"/>
                  <w:tcMar>
                    <w:top w:w="0" w:type="dxa"/>
                    <w:left w:w="57" w:type="dxa"/>
                    <w:bottom w:w="0" w:type="dxa"/>
                    <w:right w:w="57" w:type="dxa"/>
                  </w:tcMar>
                  <w:vAlign w:val="center"/>
                </w:tcPr>
                <w:p w14:paraId="5F7A0CBB">
                  <w:pPr>
                    <w:pStyle w:val="58"/>
                    <w:bidi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color w:val="auto"/>
                      <w:sz w:val="21"/>
                      <w:szCs w:val="21"/>
                      <w:u w:val="none" w:color="auto"/>
                      <w:lang w:val="en-US" w:eastAsia="zh-CN"/>
                    </w:rPr>
                    <w:t>29</w:t>
                  </w:r>
                </w:p>
              </w:tc>
              <w:tc>
                <w:tcPr>
                  <w:tcW w:w="1092" w:type="dxa"/>
                  <w:tcBorders>
                    <w:tl2br w:val="nil"/>
                    <w:tr2bl w:val="nil"/>
                  </w:tcBorders>
                  <w:noWrap w:val="0"/>
                  <w:tcMar>
                    <w:top w:w="0" w:type="dxa"/>
                    <w:left w:w="57" w:type="dxa"/>
                    <w:bottom w:w="0" w:type="dxa"/>
                    <w:right w:w="57" w:type="dxa"/>
                  </w:tcMar>
                  <w:vAlign w:val="center"/>
                </w:tcPr>
                <w:p w14:paraId="3D1400E7">
                  <w:pPr>
                    <w:pStyle w:val="58"/>
                    <w:bidi w:val="0"/>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72.5</w:t>
                  </w:r>
                </w:p>
              </w:tc>
              <w:tc>
                <w:tcPr>
                  <w:tcW w:w="654" w:type="pct"/>
                  <w:tcBorders>
                    <w:tl2br w:val="nil"/>
                    <w:tr2bl w:val="nil"/>
                  </w:tcBorders>
                  <w:noWrap w:val="0"/>
                  <w:tcMar>
                    <w:top w:w="0" w:type="dxa"/>
                    <w:left w:w="57" w:type="dxa"/>
                    <w:bottom w:w="0" w:type="dxa"/>
                    <w:right w:w="57" w:type="dxa"/>
                  </w:tcMar>
                  <w:vAlign w:val="center"/>
                </w:tcPr>
                <w:p w14:paraId="13E6D534">
                  <w:pPr>
                    <w:pStyle w:val="58"/>
                    <w:bidi w:val="0"/>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w:t>
                  </w:r>
                </w:p>
              </w:tc>
              <w:tc>
                <w:tcPr>
                  <w:tcW w:w="550" w:type="pct"/>
                  <w:tcBorders>
                    <w:tl2br w:val="nil"/>
                    <w:tr2bl w:val="nil"/>
                  </w:tcBorders>
                  <w:noWrap w:val="0"/>
                  <w:tcMar>
                    <w:top w:w="0" w:type="dxa"/>
                    <w:left w:w="57" w:type="dxa"/>
                    <w:bottom w:w="0" w:type="dxa"/>
                    <w:right w:w="57" w:type="dxa"/>
                  </w:tcMar>
                  <w:vAlign w:val="center"/>
                </w:tcPr>
                <w:p w14:paraId="25BAAF90">
                  <w:pPr>
                    <w:pStyle w:val="58"/>
                    <w:bidi w:val="0"/>
                    <w:jc w:val="center"/>
                    <w:rPr>
                      <w:sz w:val="21"/>
                      <w:szCs w:val="21"/>
                      <w:u w:val="none" w:color="auto"/>
                      <w:lang w:val="en-US" w:eastAsia="zh-CN"/>
                    </w:rPr>
                  </w:pPr>
                  <w:r>
                    <w:rPr>
                      <w:sz w:val="21"/>
                      <w:szCs w:val="21"/>
                      <w:u w:val="none" w:color="auto"/>
                    </w:rPr>
                    <w:t>达标</w:t>
                  </w:r>
                </w:p>
              </w:tc>
            </w:tr>
            <w:tr w14:paraId="494DB9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06" w:type="pct"/>
                  <w:tcBorders>
                    <w:tl2br w:val="nil"/>
                    <w:tr2bl w:val="nil"/>
                  </w:tcBorders>
                  <w:noWrap w:val="0"/>
                  <w:tcMar>
                    <w:top w:w="0" w:type="dxa"/>
                    <w:left w:w="57" w:type="dxa"/>
                    <w:bottom w:w="0" w:type="dxa"/>
                    <w:right w:w="57" w:type="dxa"/>
                  </w:tcMar>
                  <w:vAlign w:val="center"/>
                </w:tcPr>
                <w:p w14:paraId="0D8C12D9">
                  <w:pPr>
                    <w:pStyle w:val="58"/>
                    <w:bidi w:val="0"/>
                    <w:jc w:val="center"/>
                    <w:rPr>
                      <w:sz w:val="21"/>
                      <w:szCs w:val="21"/>
                      <w:u w:val="none" w:color="auto"/>
                    </w:rPr>
                  </w:pPr>
                  <w:r>
                    <w:rPr>
                      <w:sz w:val="21"/>
                      <w:szCs w:val="21"/>
                      <w:u w:val="none" w:color="auto"/>
                    </w:rPr>
                    <w:t>PM</w:t>
                  </w:r>
                  <w:r>
                    <w:rPr>
                      <w:sz w:val="21"/>
                      <w:szCs w:val="21"/>
                      <w:u w:val="none" w:color="auto"/>
                      <w:vertAlign w:val="subscript"/>
                    </w:rPr>
                    <w:t>10</w:t>
                  </w:r>
                </w:p>
              </w:tc>
              <w:tc>
                <w:tcPr>
                  <w:tcW w:w="914" w:type="pct"/>
                  <w:tcBorders>
                    <w:tl2br w:val="nil"/>
                    <w:tr2bl w:val="nil"/>
                  </w:tcBorders>
                  <w:noWrap w:val="0"/>
                  <w:tcMar>
                    <w:top w:w="0" w:type="dxa"/>
                    <w:left w:w="57" w:type="dxa"/>
                    <w:bottom w:w="0" w:type="dxa"/>
                    <w:right w:w="57" w:type="dxa"/>
                  </w:tcMar>
                  <w:vAlign w:val="center"/>
                </w:tcPr>
                <w:p w14:paraId="2373EE66">
                  <w:pPr>
                    <w:pStyle w:val="58"/>
                    <w:bidi w:val="0"/>
                    <w:jc w:val="center"/>
                    <w:rPr>
                      <w:sz w:val="21"/>
                      <w:szCs w:val="21"/>
                      <w:u w:val="none" w:color="auto"/>
                    </w:rPr>
                  </w:pPr>
                  <w:r>
                    <w:rPr>
                      <w:sz w:val="21"/>
                      <w:szCs w:val="21"/>
                      <w:u w:val="none" w:color="auto"/>
                    </w:rPr>
                    <w:t>年平均</w:t>
                  </w:r>
                </w:p>
              </w:tc>
              <w:tc>
                <w:tcPr>
                  <w:tcW w:w="1151" w:type="pct"/>
                  <w:tcBorders>
                    <w:tl2br w:val="nil"/>
                    <w:tr2bl w:val="nil"/>
                  </w:tcBorders>
                  <w:noWrap w:val="0"/>
                  <w:tcMar>
                    <w:top w:w="0" w:type="dxa"/>
                    <w:left w:w="57" w:type="dxa"/>
                    <w:bottom w:w="0" w:type="dxa"/>
                    <w:right w:w="57" w:type="dxa"/>
                  </w:tcMar>
                  <w:vAlign w:val="center"/>
                </w:tcPr>
                <w:p w14:paraId="202FAFB5">
                  <w:pPr>
                    <w:pStyle w:val="58"/>
                    <w:bidi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color w:val="auto"/>
                      <w:sz w:val="21"/>
                      <w:szCs w:val="21"/>
                      <w:u w:val="none" w:color="auto"/>
                      <w:lang w:val="en-US" w:eastAsia="zh-CN"/>
                    </w:rPr>
                    <w:t>70</w:t>
                  </w:r>
                </w:p>
              </w:tc>
              <w:tc>
                <w:tcPr>
                  <w:tcW w:w="621" w:type="pct"/>
                  <w:tcBorders>
                    <w:tl2br w:val="nil"/>
                    <w:tr2bl w:val="nil"/>
                  </w:tcBorders>
                  <w:noWrap w:val="0"/>
                  <w:tcMar>
                    <w:top w:w="0" w:type="dxa"/>
                    <w:left w:w="57" w:type="dxa"/>
                    <w:bottom w:w="0" w:type="dxa"/>
                    <w:right w:w="57" w:type="dxa"/>
                  </w:tcMar>
                  <w:vAlign w:val="center"/>
                </w:tcPr>
                <w:p w14:paraId="1D930181">
                  <w:pPr>
                    <w:pStyle w:val="58"/>
                    <w:bidi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eastAsia="宋体"/>
                      <w:color w:val="auto"/>
                      <w:sz w:val="21"/>
                      <w:szCs w:val="21"/>
                      <w:u w:val="none" w:color="auto"/>
                      <w:lang w:val="en-US" w:eastAsia="zh-CN"/>
                    </w:rPr>
                    <w:t>81</w:t>
                  </w:r>
                </w:p>
              </w:tc>
              <w:tc>
                <w:tcPr>
                  <w:tcW w:w="1092" w:type="dxa"/>
                  <w:tcBorders>
                    <w:tl2br w:val="nil"/>
                    <w:tr2bl w:val="nil"/>
                  </w:tcBorders>
                  <w:noWrap w:val="0"/>
                  <w:tcMar>
                    <w:top w:w="0" w:type="dxa"/>
                    <w:left w:w="57" w:type="dxa"/>
                    <w:bottom w:w="0" w:type="dxa"/>
                    <w:right w:w="57" w:type="dxa"/>
                  </w:tcMar>
                  <w:vAlign w:val="center"/>
                </w:tcPr>
                <w:p w14:paraId="4EC8D867">
                  <w:pPr>
                    <w:pStyle w:val="58"/>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115.71</w:t>
                  </w:r>
                </w:p>
              </w:tc>
              <w:tc>
                <w:tcPr>
                  <w:tcW w:w="654" w:type="pct"/>
                  <w:tcBorders>
                    <w:tl2br w:val="nil"/>
                    <w:tr2bl w:val="nil"/>
                  </w:tcBorders>
                  <w:noWrap w:val="0"/>
                  <w:tcMar>
                    <w:top w:w="0" w:type="dxa"/>
                    <w:left w:w="57" w:type="dxa"/>
                    <w:bottom w:w="0" w:type="dxa"/>
                    <w:right w:w="57" w:type="dxa"/>
                  </w:tcMar>
                  <w:vAlign w:val="center"/>
                </w:tcPr>
                <w:p w14:paraId="178A692D">
                  <w:pPr>
                    <w:pStyle w:val="58"/>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15.71</w:t>
                  </w:r>
                </w:p>
              </w:tc>
              <w:tc>
                <w:tcPr>
                  <w:tcW w:w="550" w:type="pct"/>
                  <w:tcBorders>
                    <w:tl2br w:val="nil"/>
                    <w:tr2bl w:val="nil"/>
                  </w:tcBorders>
                  <w:noWrap w:val="0"/>
                  <w:tcMar>
                    <w:top w:w="0" w:type="dxa"/>
                    <w:left w:w="57" w:type="dxa"/>
                    <w:bottom w:w="0" w:type="dxa"/>
                    <w:right w:w="57" w:type="dxa"/>
                  </w:tcMar>
                  <w:vAlign w:val="center"/>
                </w:tcPr>
                <w:p w14:paraId="1582602F">
                  <w:pPr>
                    <w:pStyle w:val="58"/>
                    <w:bidi w:val="0"/>
                    <w:jc w:val="center"/>
                    <w:rPr>
                      <w:sz w:val="21"/>
                      <w:szCs w:val="21"/>
                      <w:u w:val="none" w:color="auto"/>
                      <w:lang w:val="en-US" w:eastAsia="zh-CN"/>
                    </w:rPr>
                  </w:pPr>
                  <w:r>
                    <w:rPr>
                      <w:sz w:val="21"/>
                      <w:szCs w:val="21"/>
                      <w:u w:val="none" w:color="auto"/>
                    </w:rPr>
                    <w:t>超标</w:t>
                  </w:r>
                </w:p>
              </w:tc>
            </w:tr>
            <w:tr w14:paraId="57E2B4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06" w:type="pct"/>
                  <w:tcBorders>
                    <w:tl2br w:val="nil"/>
                    <w:tr2bl w:val="nil"/>
                  </w:tcBorders>
                  <w:noWrap w:val="0"/>
                  <w:tcMar>
                    <w:top w:w="0" w:type="dxa"/>
                    <w:left w:w="57" w:type="dxa"/>
                    <w:bottom w:w="0" w:type="dxa"/>
                    <w:right w:w="57" w:type="dxa"/>
                  </w:tcMar>
                  <w:vAlign w:val="center"/>
                </w:tcPr>
                <w:p w14:paraId="2C8F8BC4">
                  <w:pPr>
                    <w:pStyle w:val="58"/>
                    <w:bidi w:val="0"/>
                    <w:jc w:val="center"/>
                    <w:rPr>
                      <w:sz w:val="21"/>
                      <w:szCs w:val="21"/>
                      <w:u w:val="none" w:color="auto"/>
                    </w:rPr>
                  </w:pPr>
                  <w:r>
                    <w:rPr>
                      <w:sz w:val="21"/>
                      <w:szCs w:val="21"/>
                      <w:u w:val="none" w:color="auto"/>
                    </w:rPr>
                    <w:t>PM</w:t>
                  </w:r>
                  <w:r>
                    <w:rPr>
                      <w:sz w:val="21"/>
                      <w:szCs w:val="21"/>
                      <w:u w:val="none" w:color="auto"/>
                      <w:vertAlign w:val="subscript"/>
                    </w:rPr>
                    <w:t>2.5</w:t>
                  </w:r>
                </w:p>
              </w:tc>
              <w:tc>
                <w:tcPr>
                  <w:tcW w:w="914" w:type="pct"/>
                  <w:tcBorders>
                    <w:tl2br w:val="nil"/>
                    <w:tr2bl w:val="nil"/>
                  </w:tcBorders>
                  <w:noWrap w:val="0"/>
                  <w:tcMar>
                    <w:top w:w="0" w:type="dxa"/>
                    <w:left w:w="57" w:type="dxa"/>
                    <w:bottom w:w="0" w:type="dxa"/>
                    <w:right w:w="57" w:type="dxa"/>
                  </w:tcMar>
                  <w:vAlign w:val="center"/>
                </w:tcPr>
                <w:p w14:paraId="60FF94FE">
                  <w:pPr>
                    <w:pStyle w:val="58"/>
                    <w:bidi w:val="0"/>
                    <w:jc w:val="center"/>
                    <w:rPr>
                      <w:sz w:val="21"/>
                      <w:szCs w:val="21"/>
                      <w:u w:val="none" w:color="auto"/>
                    </w:rPr>
                  </w:pPr>
                  <w:r>
                    <w:rPr>
                      <w:sz w:val="21"/>
                      <w:szCs w:val="21"/>
                      <w:u w:val="none" w:color="auto"/>
                    </w:rPr>
                    <w:t>年平均</w:t>
                  </w:r>
                </w:p>
              </w:tc>
              <w:tc>
                <w:tcPr>
                  <w:tcW w:w="1151" w:type="pct"/>
                  <w:tcBorders>
                    <w:tl2br w:val="nil"/>
                    <w:tr2bl w:val="nil"/>
                  </w:tcBorders>
                  <w:noWrap w:val="0"/>
                  <w:tcMar>
                    <w:top w:w="0" w:type="dxa"/>
                    <w:left w:w="57" w:type="dxa"/>
                    <w:bottom w:w="0" w:type="dxa"/>
                    <w:right w:w="57" w:type="dxa"/>
                  </w:tcMar>
                  <w:vAlign w:val="center"/>
                </w:tcPr>
                <w:p w14:paraId="6515995A">
                  <w:pPr>
                    <w:pStyle w:val="58"/>
                    <w:bidi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color w:val="auto"/>
                      <w:sz w:val="21"/>
                      <w:szCs w:val="21"/>
                      <w:u w:val="none" w:color="auto"/>
                      <w:lang w:val="en-US" w:eastAsia="zh-CN"/>
                    </w:rPr>
                    <w:t>35</w:t>
                  </w:r>
                </w:p>
              </w:tc>
              <w:tc>
                <w:tcPr>
                  <w:tcW w:w="621" w:type="pct"/>
                  <w:tcBorders>
                    <w:tl2br w:val="nil"/>
                    <w:tr2bl w:val="nil"/>
                  </w:tcBorders>
                  <w:noWrap w:val="0"/>
                  <w:tcMar>
                    <w:top w:w="0" w:type="dxa"/>
                    <w:left w:w="57" w:type="dxa"/>
                    <w:bottom w:w="0" w:type="dxa"/>
                    <w:right w:w="57" w:type="dxa"/>
                  </w:tcMar>
                  <w:vAlign w:val="center"/>
                </w:tcPr>
                <w:p w14:paraId="24C3387E">
                  <w:pPr>
                    <w:pStyle w:val="58"/>
                    <w:bidi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eastAsia="宋体"/>
                      <w:color w:val="auto"/>
                      <w:sz w:val="21"/>
                      <w:szCs w:val="21"/>
                      <w:u w:val="none" w:color="auto"/>
                      <w:lang w:val="en-US" w:eastAsia="zh-CN"/>
                    </w:rPr>
                    <w:t>49</w:t>
                  </w:r>
                </w:p>
              </w:tc>
              <w:tc>
                <w:tcPr>
                  <w:tcW w:w="1092" w:type="dxa"/>
                  <w:tcBorders>
                    <w:tl2br w:val="nil"/>
                    <w:tr2bl w:val="nil"/>
                  </w:tcBorders>
                  <w:noWrap w:val="0"/>
                  <w:tcMar>
                    <w:top w:w="0" w:type="dxa"/>
                    <w:left w:w="57" w:type="dxa"/>
                    <w:bottom w:w="0" w:type="dxa"/>
                    <w:right w:w="57" w:type="dxa"/>
                  </w:tcMar>
                  <w:vAlign w:val="center"/>
                </w:tcPr>
                <w:p w14:paraId="7632ED94">
                  <w:pPr>
                    <w:pStyle w:val="58"/>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140</w:t>
                  </w:r>
                </w:p>
              </w:tc>
              <w:tc>
                <w:tcPr>
                  <w:tcW w:w="654" w:type="pct"/>
                  <w:tcBorders>
                    <w:tl2br w:val="nil"/>
                    <w:tr2bl w:val="nil"/>
                  </w:tcBorders>
                  <w:noWrap w:val="0"/>
                  <w:tcMar>
                    <w:top w:w="0" w:type="dxa"/>
                    <w:left w:w="57" w:type="dxa"/>
                    <w:bottom w:w="0" w:type="dxa"/>
                    <w:right w:w="57" w:type="dxa"/>
                  </w:tcMar>
                  <w:vAlign w:val="center"/>
                </w:tcPr>
                <w:p w14:paraId="441F3CAD">
                  <w:pPr>
                    <w:pStyle w:val="58"/>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40</w:t>
                  </w:r>
                </w:p>
              </w:tc>
              <w:tc>
                <w:tcPr>
                  <w:tcW w:w="550" w:type="pct"/>
                  <w:tcBorders>
                    <w:tl2br w:val="nil"/>
                    <w:tr2bl w:val="nil"/>
                  </w:tcBorders>
                  <w:noWrap w:val="0"/>
                  <w:tcMar>
                    <w:top w:w="0" w:type="dxa"/>
                    <w:left w:w="57" w:type="dxa"/>
                    <w:bottom w:w="0" w:type="dxa"/>
                    <w:right w:w="57" w:type="dxa"/>
                  </w:tcMar>
                  <w:vAlign w:val="center"/>
                </w:tcPr>
                <w:p w14:paraId="52082A21">
                  <w:pPr>
                    <w:pStyle w:val="58"/>
                    <w:bidi w:val="0"/>
                    <w:jc w:val="center"/>
                    <w:rPr>
                      <w:sz w:val="21"/>
                      <w:szCs w:val="21"/>
                      <w:u w:val="none" w:color="auto"/>
                      <w:lang w:val="en-US" w:eastAsia="zh-CN"/>
                    </w:rPr>
                  </w:pPr>
                  <w:r>
                    <w:rPr>
                      <w:sz w:val="21"/>
                      <w:szCs w:val="21"/>
                      <w:u w:val="none" w:color="auto"/>
                    </w:rPr>
                    <w:t>超标</w:t>
                  </w:r>
                </w:p>
              </w:tc>
            </w:tr>
            <w:tr w14:paraId="75B67C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06" w:type="pct"/>
                  <w:tcBorders>
                    <w:tl2br w:val="nil"/>
                    <w:tr2bl w:val="nil"/>
                  </w:tcBorders>
                  <w:noWrap w:val="0"/>
                  <w:tcMar>
                    <w:top w:w="0" w:type="dxa"/>
                    <w:left w:w="57" w:type="dxa"/>
                    <w:bottom w:w="0" w:type="dxa"/>
                    <w:right w:w="57" w:type="dxa"/>
                  </w:tcMar>
                  <w:vAlign w:val="center"/>
                </w:tcPr>
                <w:p w14:paraId="1272AED5">
                  <w:pPr>
                    <w:pStyle w:val="58"/>
                    <w:bidi w:val="0"/>
                    <w:jc w:val="center"/>
                    <w:rPr>
                      <w:sz w:val="21"/>
                      <w:szCs w:val="21"/>
                      <w:u w:val="none" w:color="auto"/>
                    </w:rPr>
                  </w:pPr>
                  <w:r>
                    <w:rPr>
                      <w:sz w:val="21"/>
                      <w:szCs w:val="21"/>
                      <w:u w:val="none" w:color="auto"/>
                    </w:rPr>
                    <w:t>CO</w:t>
                  </w:r>
                </w:p>
              </w:tc>
              <w:tc>
                <w:tcPr>
                  <w:tcW w:w="914" w:type="pct"/>
                  <w:tcBorders>
                    <w:tl2br w:val="nil"/>
                    <w:tr2bl w:val="nil"/>
                  </w:tcBorders>
                  <w:noWrap w:val="0"/>
                  <w:tcMar>
                    <w:top w:w="0" w:type="dxa"/>
                    <w:left w:w="57" w:type="dxa"/>
                    <w:bottom w:w="0" w:type="dxa"/>
                    <w:right w:w="57" w:type="dxa"/>
                  </w:tcMar>
                  <w:vAlign w:val="center"/>
                </w:tcPr>
                <w:p w14:paraId="3A9BE2CD">
                  <w:pPr>
                    <w:pStyle w:val="58"/>
                    <w:bidi w:val="0"/>
                    <w:jc w:val="center"/>
                    <w:rPr>
                      <w:sz w:val="21"/>
                      <w:szCs w:val="21"/>
                      <w:u w:val="none" w:color="auto"/>
                    </w:rPr>
                  </w:pPr>
                  <w:r>
                    <w:rPr>
                      <w:sz w:val="21"/>
                      <w:szCs w:val="21"/>
                      <w:u w:val="none" w:color="auto"/>
                    </w:rPr>
                    <w:t>24h平均第95百分位数</w:t>
                  </w:r>
                </w:p>
              </w:tc>
              <w:tc>
                <w:tcPr>
                  <w:tcW w:w="1151" w:type="pct"/>
                  <w:tcBorders>
                    <w:tl2br w:val="nil"/>
                    <w:tr2bl w:val="nil"/>
                  </w:tcBorders>
                  <w:noWrap w:val="0"/>
                  <w:tcMar>
                    <w:top w:w="0" w:type="dxa"/>
                    <w:left w:w="57" w:type="dxa"/>
                    <w:bottom w:w="0" w:type="dxa"/>
                    <w:right w:w="57" w:type="dxa"/>
                  </w:tcMar>
                  <w:vAlign w:val="center"/>
                </w:tcPr>
                <w:p w14:paraId="0966BCB1">
                  <w:pPr>
                    <w:pStyle w:val="58"/>
                    <w:bidi w:val="0"/>
                    <w:ind w:firstLine="0" w:firstLineChars="0"/>
                    <w:jc w:val="center"/>
                    <w:rPr>
                      <w:rFonts w:ascii="Times New Roman" w:hAnsi="Times New Roman" w:eastAsia="宋体" w:cs="Times New Roman"/>
                      <w:color w:val="auto"/>
                      <w:kern w:val="2"/>
                      <w:sz w:val="21"/>
                      <w:szCs w:val="21"/>
                      <w:u w:val="none" w:color="auto"/>
                      <w:lang w:val="en-US" w:eastAsia="zh-CN" w:bidi="ar-SA"/>
                    </w:rPr>
                  </w:pPr>
                  <w:r>
                    <w:rPr>
                      <w:color w:val="auto"/>
                      <w:sz w:val="21"/>
                      <w:szCs w:val="21"/>
                      <w:u w:val="none" w:color="auto"/>
                    </w:rPr>
                    <w:t>4000</w:t>
                  </w:r>
                </w:p>
              </w:tc>
              <w:tc>
                <w:tcPr>
                  <w:tcW w:w="621" w:type="pct"/>
                  <w:tcBorders>
                    <w:tl2br w:val="nil"/>
                    <w:tr2bl w:val="nil"/>
                  </w:tcBorders>
                  <w:noWrap w:val="0"/>
                  <w:tcMar>
                    <w:top w:w="0" w:type="dxa"/>
                    <w:left w:w="57" w:type="dxa"/>
                    <w:bottom w:w="0" w:type="dxa"/>
                    <w:right w:w="57" w:type="dxa"/>
                  </w:tcMar>
                  <w:vAlign w:val="center"/>
                </w:tcPr>
                <w:p w14:paraId="53E5049E">
                  <w:pPr>
                    <w:pStyle w:val="58"/>
                    <w:bidi w:val="0"/>
                    <w:ind w:firstLine="0" w:firstLineChars="0"/>
                    <w:jc w:val="center"/>
                    <w:rPr>
                      <w:rFonts w:ascii="Times New Roman" w:hAnsi="Times New Roman" w:eastAsia="宋体" w:cs="Times New Roman"/>
                      <w:color w:val="auto"/>
                      <w:kern w:val="2"/>
                      <w:sz w:val="21"/>
                      <w:szCs w:val="21"/>
                      <w:u w:val="none" w:color="auto"/>
                      <w:lang w:val="en-US" w:eastAsia="zh-CN" w:bidi="ar-SA"/>
                    </w:rPr>
                  </w:pPr>
                  <w:r>
                    <w:rPr>
                      <w:color w:val="auto"/>
                      <w:sz w:val="21"/>
                      <w:szCs w:val="21"/>
                      <w:u w:val="none" w:color="auto"/>
                    </w:rPr>
                    <w:t>1</w:t>
                  </w:r>
                  <w:r>
                    <w:rPr>
                      <w:rFonts w:hint="eastAsia"/>
                      <w:color w:val="auto"/>
                      <w:sz w:val="21"/>
                      <w:szCs w:val="21"/>
                      <w:u w:val="none" w:color="auto"/>
                      <w:lang w:val="en-US" w:eastAsia="zh-CN"/>
                    </w:rPr>
                    <w:t>4</w:t>
                  </w:r>
                  <w:r>
                    <w:rPr>
                      <w:color w:val="auto"/>
                      <w:sz w:val="21"/>
                      <w:szCs w:val="21"/>
                      <w:u w:val="none" w:color="auto"/>
                    </w:rPr>
                    <w:t>00</w:t>
                  </w:r>
                </w:p>
              </w:tc>
              <w:tc>
                <w:tcPr>
                  <w:tcW w:w="1092" w:type="dxa"/>
                  <w:tcBorders>
                    <w:tl2br w:val="nil"/>
                    <w:tr2bl w:val="nil"/>
                  </w:tcBorders>
                  <w:noWrap w:val="0"/>
                  <w:tcMar>
                    <w:top w:w="0" w:type="dxa"/>
                    <w:left w:w="57" w:type="dxa"/>
                    <w:bottom w:w="0" w:type="dxa"/>
                    <w:right w:w="57" w:type="dxa"/>
                  </w:tcMar>
                  <w:vAlign w:val="center"/>
                </w:tcPr>
                <w:p w14:paraId="28A9DAF1">
                  <w:pPr>
                    <w:pStyle w:val="58"/>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35</w:t>
                  </w:r>
                </w:p>
              </w:tc>
              <w:tc>
                <w:tcPr>
                  <w:tcW w:w="654" w:type="pct"/>
                  <w:tcBorders>
                    <w:tl2br w:val="nil"/>
                    <w:tr2bl w:val="nil"/>
                  </w:tcBorders>
                  <w:noWrap w:val="0"/>
                  <w:tcMar>
                    <w:top w:w="0" w:type="dxa"/>
                    <w:left w:w="57" w:type="dxa"/>
                    <w:bottom w:w="0" w:type="dxa"/>
                    <w:right w:w="57" w:type="dxa"/>
                  </w:tcMar>
                  <w:vAlign w:val="center"/>
                </w:tcPr>
                <w:p w14:paraId="707F42EF">
                  <w:pPr>
                    <w:pStyle w:val="58"/>
                    <w:bidi w:val="0"/>
                    <w:ind w:firstLine="0" w:firstLineChars="0"/>
                    <w:jc w:val="center"/>
                    <w:rPr>
                      <w:rFonts w:hint="eastAsia" w:ascii="Times New Roman" w:hAnsi="Times New Roman" w:eastAsia="宋体" w:cs="Times New Roman"/>
                      <w:color w:val="auto"/>
                      <w:sz w:val="21"/>
                      <w:szCs w:val="21"/>
                      <w:u w:val="none" w:color="auto"/>
                      <w:lang w:val="zh-CN" w:eastAsia="zh-CN"/>
                    </w:rPr>
                  </w:pPr>
                  <w:r>
                    <w:rPr>
                      <w:rFonts w:hint="eastAsia" w:ascii="Times New Roman" w:hAnsi="Times New Roman" w:eastAsia="宋体" w:cs="Times New Roman"/>
                      <w:color w:val="auto"/>
                      <w:sz w:val="21"/>
                      <w:szCs w:val="21"/>
                      <w:u w:val="none" w:color="auto"/>
                      <w:lang w:val="zh-CN" w:eastAsia="zh-CN"/>
                    </w:rPr>
                    <w:t>/</w:t>
                  </w:r>
                </w:p>
              </w:tc>
              <w:tc>
                <w:tcPr>
                  <w:tcW w:w="550" w:type="pct"/>
                  <w:tcBorders>
                    <w:tl2br w:val="nil"/>
                    <w:tr2bl w:val="nil"/>
                  </w:tcBorders>
                  <w:noWrap w:val="0"/>
                  <w:tcMar>
                    <w:top w:w="0" w:type="dxa"/>
                    <w:left w:w="57" w:type="dxa"/>
                    <w:bottom w:w="0" w:type="dxa"/>
                    <w:right w:w="57" w:type="dxa"/>
                  </w:tcMar>
                  <w:vAlign w:val="center"/>
                </w:tcPr>
                <w:p w14:paraId="3C58C58F">
                  <w:pPr>
                    <w:pStyle w:val="58"/>
                    <w:bidi w:val="0"/>
                    <w:jc w:val="center"/>
                    <w:rPr>
                      <w:sz w:val="21"/>
                      <w:szCs w:val="21"/>
                      <w:u w:val="none" w:color="auto"/>
                      <w:lang w:val="en-US" w:eastAsia="zh-CN"/>
                    </w:rPr>
                  </w:pPr>
                  <w:r>
                    <w:rPr>
                      <w:sz w:val="21"/>
                      <w:szCs w:val="21"/>
                      <w:u w:val="none" w:color="auto"/>
                    </w:rPr>
                    <w:t>达标</w:t>
                  </w:r>
                </w:p>
              </w:tc>
            </w:tr>
            <w:tr w14:paraId="16EC58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06" w:type="pct"/>
                  <w:tcBorders>
                    <w:tl2br w:val="nil"/>
                    <w:tr2bl w:val="nil"/>
                  </w:tcBorders>
                  <w:noWrap w:val="0"/>
                  <w:tcMar>
                    <w:top w:w="0" w:type="dxa"/>
                    <w:left w:w="57" w:type="dxa"/>
                    <w:bottom w:w="0" w:type="dxa"/>
                    <w:right w:w="57" w:type="dxa"/>
                  </w:tcMar>
                  <w:vAlign w:val="center"/>
                </w:tcPr>
                <w:p w14:paraId="14103255">
                  <w:pPr>
                    <w:pStyle w:val="58"/>
                    <w:bidi w:val="0"/>
                    <w:jc w:val="center"/>
                    <w:rPr>
                      <w:sz w:val="21"/>
                      <w:szCs w:val="21"/>
                      <w:u w:val="none" w:color="auto"/>
                    </w:rPr>
                  </w:pPr>
                  <w:r>
                    <w:rPr>
                      <w:sz w:val="21"/>
                      <w:szCs w:val="21"/>
                      <w:u w:val="none" w:color="auto"/>
                    </w:rPr>
                    <w:t>O</w:t>
                  </w:r>
                  <w:r>
                    <w:rPr>
                      <w:sz w:val="21"/>
                      <w:szCs w:val="21"/>
                      <w:u w:val="none" w:color="auto"/>
                      <w:vertAlign w:val="subscript"/>
                    </w:rPr>
                    <w:t>3</w:t>
                  </w:r>
                </w:p>
              </w:tc>
              <w:tc>
                <w:tcPr>
                  <w:tcW w:w="914" w:type="pct"/>
                  <w:tcBorders>
                    <w:tl2br w:val="nil"/>
                    <w:tr2bl w:val="nil"/>
                  </w:tcBorders>
                  <w:noWrap w:val="0"/>
                  <w:tcMar>
                    <w:top w:w="0" w:type="dxa"/>
                    <w:left w:w="57" w:type="dxa"/>
                    <w:bottom w:w="0" w:type="dxa"/>
                    <w:right w:w="57" w:type="dxa"/>
                  </w:tcMar>
                  <w:vAlign w:val="center"/>
                </w:tcPr>
                <w:p w14:paraId="6BA21055">
                  <w:pPr>
                    <w:pStyle w:val="58"/>
                    <w:bidi w:val="0"/>
                    <w:jc w:val="center"/>
                    <w:rPr>
                      <w:sz w:val="21"/>
                      <w:szCs w:val="21"/>
                      <w:u w:val="none" w:color="auto"/>
                    </w:rPr>
                  </w:pPr>
                  <w:r>
                    <w:rPr>
                      <w:sz w:val="21"/>
                      <w:szCs w:val="21"/>
                      <w:u w:val="none" w:color="auto"/>
                    </w:rPr>
                    <w:t>日最大8h平均第90百分位数</w:t>
                  </w:r>
                </w:p>
              </w:tc>
              <w:tc>
                <w:tcPr>
                  <w:tcW w:w="1151" w:type="pct"/>
                  <w:tcBorders>
                    <w:tl2br w:val="nil"/>
                    <w:tr2bl w:val="nil"/>
                  </w:tcBorders>
                  <w:noWrap w:val="0"/>
                  <w:tcMar>
                    <w:top w:w="0" w:type="dxa"/>
                    <w:left w:w="57" w:type="dxa"/>
                    <w:bottom w:w="0" w:type="dxa"/>
                    <w:right w:w="57" w:type="dxa"/>
                  </w:tcMar>
                  <w:vAlign w:val="center"/>
                </w:tcPr>
                <w:p w14:paraId="112F3DB8">
                  <w:pPr>
                    <w:pStyle w:val="58"/>
                    <w:bidi w:val="0"/>
                    <w:ind w:firstLine="0" w:firstLineChars="0"/>
                    <w:jc w:val="center"/>
                    <w:rPr>
                      <w:rFonts w:ascii="Times New Roman" w:hAnsi="Times New Roman" w:eastAsia="宋体" w:cs="Times New Roman"/>
                      <w:color w:val="auto"/>
                      <w:kern w:val="2"/>
                      <w:sz w:val="21"/>
                      <w:szCs w:val="21"/>
                      <w:u w:val="none" w:color="auto"/>
                      <w:lang w:val="en-US" w:eastAsia="zh-CN" w:bidi="ar-SA"/>
                    </w:rPr>
                  </w:pPr>
                  <w:r>
                    <w:rPr>
                      <w:color w:val="auto"/>
                      <w:sz w:val="21"/>
                      <w:szCs w:val="21"/>
                      <w:u w:val="none" w:color="auto"/>
                    </w:rPr>
                    <w:t>160</w:t>
                  </w:r>
                </w:p>
              </w:tc>
              <w:tc>
                <w:tcPr>
                  <w:tcW w:w="621" w:type="pct"/>
                  <w:tcBorders>
                    <w:tl2br w:val="nil"/>
                    <w:tr2bl w:val="nil"/>
                  </w:tcBorders>
                  <w:noWrap w:val="0"/>
                  <w:tcMar>
                    <w:top w:w="0" w:type="dxa"/>
                    <w:left w:w="57" w:type="dxa"/>
                    <w:bottom w:w="0" w:type="dxa"/>
                    <w:right w:w="57" w:type="dxa"/>
                  </w:tcMar>
                  <w:vAlign w:val="center"/>
                </w:tcPr>
                <w:p w14:paraId="2BE8FD9E">
                  <w:pPr>
                    <w:pStyle w:val="58"/>
                    <w:bidi w:val="0"/>
                    <w:ind w:firstLine="0" w:firstLineChars="0"/>
                    <w:jc w:val="center"/>
                    <w:rPr>
                      <w:rFonts w:ascii="Times New Roman" w:hAnsi="Times New Roman" w:eastAsia="宋体" w:cs="Times New Roman"/>
                      <w:color w:val="auto"/>
                      <w:kern w:val="2"/>
                      <w:sz w:val="21"/>
                      <w:szCs w:val="21"/>
                      <w:u w:val="none" w:color="auto"/>
                      <w:lang w:val="en-US" w:eastAsia="zh-CN" w:bidi="ar-SA"/>
                    </w:rPr>
                  </w:pPr>
                  <w:r>
                    <w:rPr>
                      <w:color w:val="auto"/>
                      <w:sz w:val="21"/>
                      <w:szCs w:val="21"/>
                      <w:u w:val="none" w:color="auto"/>
                    </w:rPr>
                    <w:t>1</w:t>
                  </w:r>
                  <w:r>
                    <w:rPr>
                      <w:rFonts w:hint="eastAsia"/>
                      <w:color w:val="auto"/>
                      <w:sz w:val="21"/>
                      <w:szCs w:val="21"/>
                      <w:u w:val="none" w:color="auto"/>
                      <w:lang w:val="en-US" w:eastAsia="zh-CN"/>
                    </w:rPr>
                    <w:t>84</w:t>
                  </w:r>
                </w:p>
              </w:tc>
              <w:tc>
                <w:tcPr>
                  <w:tcW w:w="1092" w:type="dxa"/>
                  <w:tcBorders>
                    <w:tl2br w:val="nil"/>
                    <w:tr2bl w:val="nil"/>
                  </w:tcBorders>
                  <w:noWrap w:val="0"/>
                  <w:tcMar>
                    <w:top w:w="0" w:type="dxa"/>
                    <w:left w:w="57" w:type="dxa"/>
                    <w:bottom w:w="0" w:type="dxa"/>
                    <w:right w:w="57" w:type="dxa"/>
                  </w:tcMar>
                  <w:vAlign w:val="center"/>
                </w:tcPr>
                <w:p w14:paraId="5DC90E6B">
                  <w:pPr>
                    <w:pStyle w:val="58"/>
                    <w:bidi w:val="0"/>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115</w:t>
                  </w:r>
                </w:p>
              </w:tc>
              <w:tc>
                <w:tcPr>
                  <w:tcW w:w="654" w:type="pct"/>
                  <w:tcBorders>
                    <w:tl2br w:val="nil"/>
                    <w:tr2bl w:val="nil"/>
                  </w:tcBorders>
                  <w:noWrap w:val="0"/>
                  <w:tcMar>
                    <w:top w:w="0" w:type="dxa"/>
                    <w:left w:w="57" w:type="dxa"/>
                    <w:bottom w:w="0" w:type="dxa"/>
                    <w:right w:w="57" w:type="dxa"/>
                  </w:tcMar>
                  <w:vAlign w:val="center"/>
                </w:tcPr>
                <w:p w14:paraId="33AF08CD">
                  <w:pPr>
                    <w:pStyle w:val="58"/>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15</w:t>
                  </w:r>
                </w:p>
              </w:tc>
              <w:tc>
                <w:tcPr>
                  <w:tcW w:w="550" w:type="pct"/>
                  <w:tcBorders>
                    <w:tl2br w:val="nil"/>
                    <w:tr2bl w:val="nil"/>
                  </w:tcBorders>
                  <w:noWrap w:val="0"/>
                  <w:tcMar>
                    <w:top w:w="0" w:type="dxa"/>
                    <w:left w:w="57" w:type="dxa"/>
                    <w:bottom w:w="0" w:type="dxa"/>
                    <w:right w:w="57" w:type="dxa"/>
                  </w:tcMar>
                  <w:vAlign w:val="center"/>
                </w:tcPr>
                <w:p w14:paraId="0C2B18A4">
                  <w:pPr>
                    <w:pStyle w:val="58"/>
                    <w:bidi w:val="0"/>
                    <w:jc w:val="center"/>
                    <w:rPr>
                      <w:sz w:val="21"/>
                      <w:szCs w:val="21"/>
                      <w:u w:val="none" w:color="auto"/>
                      <w:lang w:val="en-US" w:eastAsia="zh-CN"/>
                    </w:rPr>
                  </w:pPr>
                  <w:r>
                    <w:rPr>
                      <w:sz w:val="21"/>
                      <w:szCs w:val="21"/>
                      <w:u w:val="none" w:color="auto"/>
                    </w:rPr>
                    <w:t>超标</w:t>
                  </w:r>
                </w:p>
              </w:tc>
            </w:tr>
            <w:tr w14:paraId="509F6A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06" w:type="pct"/>
                  <w:tcBorders>
                    <w:tl2br w:val="nil"/>
                    <w:tr2bl w:val="nil"/>
                  </w:tcBorders>
                  <w:noWrap w:val="0"/>
                  <w:tcMar>
                    <w:top w:w="0" w:type="dxa"/>
                    <w:left w:w="57" w:type="dxa"/>
                    <w:bottom w:w="0" w:type="dxa"/>
                    <w:right w:w="57" w:type="dxa"/>
                  </w:tcMar>
                  <w:vAlign w:val="center"/>
                </w:tcPr>
                <w:p w14:paraId="6305DE92">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污染物</w:t>
                  </w:r>
                </w:p>
              </w:tc>
              <w:tc>
                <w:tcPr>
                  <w:tcW w:w="914" w:type="pct"/>
                  <w:tcBorders>
                    <w:tl2br w:val="nil"/>
                    <w:tr2bl w:val="nil"/>
                  </w:tcBorders>
                  <w:noWrap w:val="0"/>
                  <w:tcMar>
                    <w:top w:w="0" w:type="dxa"/>
                    <w:left w:w="57" w:type="dxa"/>
                    <w:bottom w:w="0" w:type="dxa"/>
                    <w:right w:w="57" w:type="dxa"/>
                  </w:tcMar>
                  <w:vAlign w:val="center"/>
                </w:tcPr>
                <w:p w14:paraId="6C23FA9D">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年评价指标</w:t>
                  </w:r>
                </w:p>
              </w:tc>
              <w:tc>
                <w:tcPr>
                  <w:tcW w:w="1151" w:type="pct"/>
                  <w:tcBorders>
                    <w:tl2br w:val="nil"/>
                    <w:tr2bl w:val="nil"/>
                  </w:tcBorders>
                  <w:noWrap w:val="0"/>
                  <w:tcMar>
                    <w:top w:w="0" w:type="dxa"/>
                    <w:left w:w="57" w:type="dxa"/>
                    <w:bottom w:w="0" w:type="dxa"/>
                    <w:right w:w="57" w:type="dxa"/>
                  </w:tcMar>
                  <w:vAlign w:val="center"/>
                </w:tcPr>
                <w:p w14:paraId="34EBEDE6">
                  <w:pPr>
                    <w:pStyle w:val="58"/>
                    <w:bidi w:val="0"/>
                    <w:jc w:val="center"/>
                    <w:rPr>
                      <w:rFonts w:ascii="Times New Roman" w:hAnsi="Times New Roman" w:eastAsia="宋体" w:cs="Times New Roman"/>
                      <w:kern w:val="2"/>
                      <w:sz w:val="21"/>
                      <w:szCs w:val="21"/>
                      <w:u w:val="none" w:color="auto"/>
                      <w:lang w:val="en-US" w:eastAsia="zh-CN" w:bidi="ar-SA"/>
                    </w:rPr>
                  </w:pPr>
                  <w:r>
                    <w:rPr>
                      <w:rFonts w:hint="eastAsia"/>
                      <w:sz w:val="21"/>
                      <w:szCs w:val="21"/>
                      <w:u w:val="none" w:color="auto"/>
                    </w:rPr>
                    <w:t>《环境空气质量标准》（GB3095-2026）</w:t>
                  </w:r>
                  <w:r>
                    <w:rPr>
                      <w:rFonts w:hint="eastAsia"/>
                      <w:sz w:val="21"/>
                      <w:szCs w:val="21"/>
                      <w:u w:val="none" w:color="auto"/>
                      <w:lang w:eastAsia="zh-CN"/>
                    </w:rPr>
                    <w:t>表</w:t>
                  </w:r>
                  <w:r>
                    <w:rPr>
                      <w:rFonts w:hint="eastAsia"/>
                      <w:sz w:val="21"/>
                      <w:szCs w:val="21"/>
                      <w:u w:val="none" w:color="auto"/>
                      <w:lang w:val="en-US" w:eastAsia="zh-CN"/>
                    </w:rPr>
                    <w:t>1</w:t>
                  </w:r>
                  <w:r>
                    <w:rPr>
                      <w:rFonts w:hint="eastAsia"/>
                      <w:sz w:val="21"/>
                      <w:szCs w:val="21"/>
                      <w:u w:val="none" w:color="auto"/>
                      <w:lang w:eastAsia="zh-CN"/>
                    </w:rPr>
                    <w:t>过渡阶段</w:t>
                  </w:r>
                  <w:r>
                    <w:rPr>
                      <w:sz w:val="21"/>
                      <w:szCs w:val="21"/>
                      <w:u w:val="none" w:color="auto"/>
                    </w:rPr>
                    <w:t>评价标准值（μg/m</w:t>
                  </w:r>
                  <w:r>
                    <w:rPr>
                      <w:sz w:val="21"/>
                      <w:szCs w:val="21"/>
                      <w:u w:val="none" w:color="auto"/>
                      <w:vertAlign w:val="superscript"/>
                    </w:rPr>
                    <w:t>3</w:t>
                  </w:r>
                  <w:r>
                    <w:rPr>
                      <w:sz w:val="21"/>
                      <w:szCs w:val="21"/>
                      <w:u w:val="none" w:color="auto"/>
                    </w:rPr>
                    <w:t>）</w:t>
                  </w:r>
                </w:p>
              </w:tc>
              <w:tc>
                <w:tcPr>
                  <w:tcW w:w="621" w:type="pct"/>
                  <w:tcBorders>
                    <w:tl2br w:val="nil"/>
                    <w:tr2bl w:val="nil"/>
                  </w:tcBorders>
                  <w:noWrap w:val="0"/>
                  <w:tcMar>
                    <w:top w:w="0" w:type="dxa"/>
                    <w:left w:w="57" w:type="dxa"/>
                    <w:bottom w:w="0" w:type="dxa"/>
                    <w:right w:w="57" w:type="dxa"/>
                  </w:tcMar>
                  <w:vAlign w:val="center"/>
                </w:tcPr>
                <w:p w14:paraId="361A9724">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现状浓度（μg/m</w:t>
                  </w:r>
                  <w:r>
                    <w:rPr>
                      <w:sz w:val="21"/>
                      <w:szCs w:val="21"/>
                      <w:u w:val="none" w:color="auto"/>
                      <w:vertAlign w:val="superscript"/>
                    </w:rPr>
                    <w:t>3</w:t>
                  </w:r>
                  <w:r>
                    <w:rPr>
                      <w:sz w:val="21"/>
                      <w:szCs w:val="21"/>
                      <w:u w:val="none" w:color="auto"/>
                    </w:rPr>
                    <w:t>）</w:t>
                  </w:r>
                </w:p>
              </w:tc>
              <w:tc>
                <w:tcPr>
                  <w:tcW w:w="700" w:type="pct"/>
                  <w:tcBorders>
                    <w:tl2br w:val="nil"/>
                    <w:tr2bl w:val="nil"/>
                  </w:tcBorders>
                  <w:noWrap w:val="0"/>
                  <w:tcMar>
                    <w:top w:w="0" w:type="dxa"/>
                    <w:left w:w="57" w:type="dxa"/>
                    <w:bottom w:w="0" w:type="dxa"/>
                    <w:right w:w="57" w:type="dxa"/>
                  </w:tcMar>
                  <w:vAlign w:val="center"/>
                </w:tcPr>
                <w:p w14:paraId="42CB2842">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最大浓度占标率/%</w:t>
                  </w:r>
                </w:p>
              </w:tc>
              <w:tc>
                <w:tcPr>
                  <w:tcW w:w="654" w:type="pct"/>
                  <w:tcBorders>
                    <w:tl2br w:val="nil"/>
                    <w:tr2bl w:val="nil"/>
                  </w:tcBorders>
                  <w:noWrap w:val="0"/>
                  <w:tcMar>
                    <w:top w:w="0" w:type="dxa"/>
                    <w:left w:w="57" w:type="dxa"/>
                    <w:bottom w:w="0" w:type="dxa"/>
                    <w:right w:w="57" w:type="dxa"/>
                  </w:tcMar>
                  <w:vAlign w:val="center"/>
                </w:tcPr>
                <w:p w14:paraId="6BFF13B6">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超标率/%</w:t>
                  </w:r>
                </w:p>
              </w:tc>
              <w:tc>
                <w:tcPr>
                  <w:tcW w:w="550" w:type="pct"/>
                  <w:tcBorders>
                    <w:tl2br w:val="nil"/>
                    <w:tr2bl w:val="nil"/>
                  </w:tcBorders>
                  <w:noWrap w:val="0"/>
                  <w:tcMar>
                    <w:top w:w="0" w:type="dxa"/>
                    <w:left w:w="57" w:type="dxa"/>
                    <w:bottom w:w="0" w:type="dxa"/>
                    <w:right w:w="57" w:type="dxa"/>
                  </w:tcMar>
                  <w:vAlign w:val="center"/>
                </w:tcPr>
                <w:p w14:paraId="1A0146DA">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达标情况</w:t>
                  </w:r>
                </w:p>
              </w:tc>
            </w:tr>
            <w:tr w14:paraId="73CAC9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06" w:type="pct"/>
                  <w:tcBorders>
                    <w:tl2br w:val="nil"/>
                    <w:tr2bl w:val="nil"/>
                  </w:tcBorders>
                  <w:noWrap w:val="0"/>
                  <w:tcMar>
                    <w:top w:w="0" w:type="dxa"/>
                    <w:left w:w="57" w:type="dxa"/>
                    <w:bottom w:w="0" w:type="dxa"/>
                    <w:right w:w="57" w:type="dxa"/>
                  </w:tcMar>
                  <w:vAlign w:val="center"/>
                </w:tcPr>
                <w:p w14:paraId="4C1E5159">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SO</w:t>
                  </w:r>
                  <w:r>
                    <w:rPr>
                      <w:sz w:val="21"/>
                      <w:szCs w:val="21"/>
                      <w:u w:val="none" w:color="auto"/>
                      <w:vertAlign w:val="subscript"/>
                    </w:rPr>
                    <w:t>2</w:t>
                  </w:r>
                </w:p>
              </w:tc>
              <w:tc>
                <w:tcPr>
                  <w:tcW w:w="914" w:type="pct"/>
                  <w:tcBorders>
                    <w:tl2br w:val="nil"/>
                    <w:tr2bl w:val="nil"/>
                  </w:tcBorders>
                  <w:noWrap w:val="0"/>
                  <w:tcMar>
                    <w:top w:w="0" w:type="dxa"/>
                    <w:left w:w="57" w:type="dxa"/>
                    <w:bottom w:w="0" w:type="dxa"/>
                    <w:right w:w="57" w:type="dxa"/>
                  </w:tcMar>
                  <w:vAlign w:val="center"/>
                </w:tcPr>
                <w:p w14:paraId="79760F1B">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年平均</w:t>
                  </w:r>
                </w:p>
              </w:tc>
              <w:tc>
                <w:tcPr>
                  <w:tcW w:w="1151" w:type="pct"/>
                  <w:tcBorders>
                    <w:tl2br w:val="nil"/>
                    <w:tr2bl w:val="nil"/>
                  </w:tcBorders>
                  <w:noWrap w:val="0"/>
                  <w:tcMar>
                    <w:top w:w="0" w:type="dxa"/>
                    <w:left w:w="57" w:type="dxa"/>
                    <w:bottom w:w="0" w:type="dxa"/>
                    <w:right w:w="57" w:type="dxa"/>
                  </w:tcMar>
                  <w:vAlign w:val="center"/>
                </w:tcPr>
                <w:p w14:paraId="7C99B8AE">
                  <w:pPr>
                    <w:pStyle w:val="58"/>
                    <w:bidi w:val="0"/>
                    <w:ind w:firstLine="0" w:firstLineChars="0"/>
                    <w:jc w:val="center"/>
                    <w:rPr>
                      <w:rFonts w:ascii="Times New Roman" w:hAnsi="Times New Roman" w:eastAsia="宋体" w:cs="Times New Roman"/>
                      <w:color w:val="auto"/>
                      <w:kern w:val="2"/>
                      <w:sz w:val="21"/>
                      <w:szCs w:val="21"/>
                      <w:u w:val="none" w:color="auto"/>
                      <w:lang w:val="en-US" w:eastAsia="zh-CN" w:bidi="ar-SA"/>
                    </w:rPr>
                  </w:pPr>
                  <w:r>
                    <w:rPr>
                      <w:color w:val="auto"/>
                      <w:sz w:val="21"/>
                      <w:szCs w:val="21"/>
                      <w:u w:val="none" w:color="auto"/>
                    </w:rPr>
                    <w:t>60</w:t>
                  </w:r>
                </w:p>
              </w:tc>
              <w:tc>
                <w:tcPr>
                  <w:tcW w:w="968" w:type="dxa"/>
                  <w:tcBorders>
                    <w:tl2br w:val="nil"/>
                    <w:tr2bl w:val="nil"/>
                  </w:tcBorders>
                  <w:noWrap w:val="0"/>
                  <w:tcMar>
                    <w:top w:w="0" w:type="dxa"/>
                    <w:left w:w="57" w:type="dxa"/>
                    <w:bottom w:w="0" w:type="dxa"/>
                    <w:right w:w="57" w:type="dxa"/>
                  </w:tcMar>
                  <w:vAlign w:val="center"/>
                </w:tcPr>
                <w:p w14:paraId="02467075">
                  <w:pPr>
                    <w:pStyle w:val="58"/>
                    <w:bidi w:val="0"/>
                    <w:ind w:firstLine="0" w:firstLineChars="0"/>
                    <w:jc w:val="center"/>
                    <w:rPr>
                      <w:rFonts w:ascii="Times New Roman" w:hAnsi="Times New Roman" w:eastAsia="宋体" w:cs="Times New Roman"/>
                      <w:color w:val="auto"/>
                      <w:kern w:val="2"/>
                      <w:sz w:val="21"/>
                      <w:szCs w:val="21"/>
                      <w:u w:val="none" w:color="auto"/>
                      <w:lang w:val="en-US" w:eastAsia="zh-CN" w:bidi="ar-SA"/>
                    </w:rPr>
                  </w:pPr>
                  <w:r>
                    <w:rPr>
                      <w:rFonts w:hint="eastAsia"/>
                      <w:color w:val="auto"/>
                      <w:sz w:val="21"/>
                      <w:szCs w:val="21"/>
                      <w:u w:val="none" w:color="auto"/>
                      <w:lang w:val="en-US" w:eastAsia="zh-CN"/>
                    </w:rPr>
                    <w:t>10</w:t>
                  </w:r>
                </w:p>
              </w:tc>
              <w:tc>
                <w:tcPr>
                  <w:tcW w:w="1092" w:type="dxa"/>
                  <w:tcBorders>
                    <w:tl2br w:val="nil"/>
                    <w:tr2bl w:val="nil"/>
                  </w:tcBorders>
                  <w:noWrap w:val="0"/>
                  <w:tcMar>
                    <w:top w:w="0" w:type="dxa"/>
                    <w:left w:w="57" w:type="dxa"/>
                    <w:bottom w:w="0" w:type="dxa"/>
                    <w:right w:w="57" w:type="dxa"/>
                  </w:tcMar>
                  <w:vAlign w:val="center"/>
                </w:tcPr>
                <w:p w14:paraId="7CAEDE91">
                  <w:pPr>
                    <w:pStyle w:val="58"/>
                    <w:bidi w:val="0"/>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16.67</w:t>
                  </w:r>
                </w:p>
              </w:tc>
              <w:tc>
                <w:tcPr>
                  <w:tcW w:w="654" w:type="pct"/>
                  <w:tcBorders>
                    <w:tl2br w:val="nil"/>
                    <w:tr2bl w:val="nil"/>
                  </w:tcBorders>
                  <w:noWrap w:val="0"/>
                  <w:tcMar>
                    <w:top w:w="0" w:type="dxa"/>
                    <w:left w:w="57" w:type="dxa"/>
                    <w:bottom w:w="0" w:type="dxa"/>
                    <w:right w:w="57" w:type="dxa"/>
                  </w:tcMar>
                  <w:vAlign w:val="center"/>
                </w:tcPr>
                <w:p w14:paraId="49C8164E">
                  <w:pPr>
                    <w:pStyle w:val="58"/>
                    <w:bidi w:val="0"/>
                    <w:ind w:firstLine="0" w:firstLineChars="0"/>
                    <w:jc w:val="center"/>
                    <w:rPr>
                      <w:rFonts w:ascii="Times New Roman" w:hAnsi="Times New Roman" w:eastAsia="宋体" w:cs="Times New Roman"/>
                      <w:color w:val="auto"/>
                      <w:kern w:val="2"/>
                      <w:sz w:val="21"/>
                      <w:szCs w:val="21"/>
                      <w:u w:val="none" w:color="auto"/>
                      <w:lang w:val="en-US" w:eastAsia="zh-CN" w:bidi="ar-SA"/>
                    </w:rPr>
                  </w:pPr>
                  <w:r>
                    <w:rPr>
                      <w:color w:val="auto"/>
                      <w:sz w:val="21"/>
                      <w:szCs w:val="21"/>
                      <w:u w:val="none" w:color="auto"/>
                    </w:rPr>
                    <w:t>/</w:t>
                  </w:r>
                </w:p>
              </w:tc>
              <w:tc>
                <w:tcPr>
                  <w:tcW w:w="550" w:type="pct"/>
                  <w:tcBorders>
                    <w:tl2br w:val="nil"/>
                    <w:tr2bl w:val="nil"/>
                  </w:tcBorders>
                  <w:noWrap w:val="0"/>
                  <w:tcMar>
                    <w:top w:w="0" w:type="dxa"/>
                    <w:left w:w="57" w:type="dxa"/>
                    <w:bottom w:w="0" w:type="dxa"/>
                    <w:right w:w="57" w:type="dxa"/>
                  </w:tcMar>
                  <w:vAlign w:val="center"/>
                </w:tcPr>
                <w:p w14:paraId="2ED94608">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达标</w:t>
                  </w:r>
                </w:p>
              </w:tc>
            </w:tr>
            <w:tr w14:paraId="220330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06" w:type="pct"/>
                  <w:tcBorders>
                    <w:tl2br w:val="nil"/>
                    <w:tr2bl w:val="nil"/>
                  </w:tcBorders>
                  <w:noWrap w:val="0"/>
                  <w:tcMar>
                    <w:top w:w="0" w:type="dxa"/>
                    <w:left w:w="57" w:type="dxa"/>
                    <w:bottom w:w="0" w:type="dxa"/>
                    <w:right w:w="57" w:type="dxa"/>
                  </w:tcMar>
                  <w:vAlign w:val="center"/>
                </w:tcPr>
                <w:p w14:paraId="40FA37DE">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NO</w:t>
                  </w:r>
                  <w:r>
                    <w:rPr>
                      <w:sz w:val="21"/>
                      <w:szCs w:val="21"/>
                      <w:u w:val="none" w:color="auto"/>
                      <w:vertAlign w:val="subscript"/>
                    </w:rPr>
                    <w:t>2</w:t>
                  </w:r>
                </w:p>
              </w:tc>
              <w:tc>
                <w:tcPr>
                  <w:tcW w:w="914" w:type="pct"/>
                  <w:tcBorders>
                    <w:tl2br w:val="nil"/>
                    <w:tr2bl w:val="nil"/>
                  </w:tcBorders>
                  <w:noWrap w:val="0"/>
                  <w:tcMar>
                    <w:top w:w="0" w:type="dxa"/>
                    <w:left w:w="57" w:type="dxa"/>
                    <w:bottom w:w="0" w:type="dxa"/>
                    <w:right w:w="57" w:type="dxa"/>
                  </w:tcMar>
                  <w:vAlign w:val="center"/>
                </w:tcPr>
                <w:p w14:paraId="77C89E05">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年平均</w:t>
                  </w:r>
                </w:p>
              </w:tc>
              <w:tc>
                <w:tcPr>
                  <w:tcW w:w="1151" w:type="pct"/>
                  <w:tcBorders>
                    <w:tl2br w:val="nil"/>
                    <w:tr2bl w:val="nil"/>
                  </w:tcBorders>
                  <w:noWrap w:val="0"/>
                  <w:tcMar>
                    <w:top w:w="0" w:type="dxa"/>
                    <w:left w:w="57" w:type="dxa"/>
                    <w:bottom w:w="0" w:type="dxa"/>
                    <w:right w:w="57" w:type="dxa"/>
                  </w:tcMar>
                  <w:vAlign w:val="center"/>
                </w:tcPr>
                <w:p w14:paraId="0A41E7D4">
                  <w:pPr>
                    <w:pStyle w:val="58"/>
                    <w:bidi w:val="0"/>
                    <w:ind w:firstLine="0" w:firstLineChars="0"/>
                    <w:jc w:val="center"/>
                    <w:rPr>
                      <w:rFonts w:ascii="Times New Roman" w:hAnsi="Times New Roman" w:eastAsia="宋体" w:cs="Times New Roman"/>
                      <w:color w:val="auto"/>
                      <w:kern w:val="2"/>
                      <w:sz w:val="21"/>
                      <w:szCs w:val="21"/>
                      <w:u w:val="none" w:color="auto"/>
                      <w:lang w:val="en-US" w:eastAsia="zh-CN" w:bidi="ar-SA"/>
                    </w:rPr>
                  </w:pPr>
                  <w:r>
                    <w:rPr>
                      <w:color w:val="auto"/>
                      <w:sz w:val="21"/>
                      <w:szCs w:val="21"/>
                      <w:u w:val="none" w:color="auto"/>
                    </w:rPr>
                    <w:t>40</w:t>
                  </w:r>
                </w:p>
              </w:tc>
              <w:tc>
                <w:tcPr>
                  <w:tcW w:w="968" w:type="dxa"/>
                  <w:tcBorders>
                    <w:tl2br w:val="nil"/>
                    <w:tr2bl w:val="nil"/>
                  </w:tcBorders>
                  <w:noWrap w:val="0"/>
                  <w:tcMar>
                    <w:top w:w="0" w:type="dxa"/>
                    <w:left w:w="57" w:type="dxa"/>
                    <w:bottom w:w="0" w:type="dxa"/>
                    <w:right w:w="57" w:type="dxa"/>
                  </w:tcMar>
                  <w:vAlign w:val="center"/>
                </w:tcPr>
                <w:p w14:paraId="52CF2B9D">
                  <w:pPr>
                    <w:pStyle w:val="58"/>
                    <w:bidi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color w:val="auto"/>
                      <w:sz w:val="21"/>
                      <w:szCs w:val="21"/>
                      <w:u w:val="none" w:color="auto"/>
                      <w:lang w:val="en-US" w:eastAsia="zh-CN"/>
                    </w:rPr>
                    <w:t>29</w:t>
                  </w:r>
                </w:p>
              </w:tc>
              <w:tc>
                <w:tcPr>
                  <w:tcW w:w="1092" w:type="dxa"/>
                  <w:tcBorders>
                    <w:tl2br w:val="nil"/>
                    <w:tr2bl w:val="nil"/>
                  </w:tcBorders>
                  <w:noWrap w:val="0"/>
                  <w:tcMar>
                    <w:top w:w="0" w:type="dxa"/>
                    <w:left w:w="57" w:type="dxa"/>
                    <w:bottom w:w="0" w:type="dxa"/>
                    <w:right w:w="57" w:type="dxa"/>
                  </w:tcMar>
                  <w:vAlign w:val="center"/>
                </w:tcPr>
                <w:p w14:paraId="1650B6F0">
                  <w:pPr>
                    <w:pStyle w:val="58"/>
                    <w:bidi w:val="0"/>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72.5</w:t>
                  </w:r>
                </w:p>
              </w:tc>
              <w:tc>
                <w:tcPr>
                  <w:tcW w:w="654" w:type="pct"/>
                  <w:tcBorders>
                    <w:tl2br w:val="nil"/>
                    <w:tr2bl w:val="nil"/>
                  </w:tcBorders>
                  <w:noWrap w:val="0"/>
                  <w:tcMar>
                    <w:top w:w="0" w:type="dxa"/>
                    <w:left w:w="57" w:type="dxa"/>
                    <w:bottom w:w="0" w:type="dxa"/>
                    <w:right w:w="57" w:type="dxa"/>
                  </w:tcMar>
                  <w:vAlign w:val="center"/>
                </w:tcPr>
                <w:p w14:paraId="7D7E5F88">
                  <w:pPr>
                    <w:pStyle w:val="58"/>
                    <w:bidi w:val="0"/>
                    <w:ind w:firstLine="0" w:firstLineChars="0"/>
                    <w:jc w:val="center"/>
                    <w:rPr>
                      <w:rFonts w:ascii="Times New Roman" w:hAnsi="Times New Roman" w:eastAsia="宋体" w:cs="Times New Roman"/>
                      <w:color w:val="auto"/>
                      <w:kern w:val="2"/>
                      <w:sz w:val="21"/>
                      <w:szCs w:val="21"/>
                      <w:u w:val="none" w:color="auto"/>
                      <w:lang w:val="en-US" w:eastAsia="zh-CN" w:bidi="ar-SA"/>
                    </w:rPr>
                  </w:pPr>
                  <w:r>
                    <w:rPr>
                      <w:color w:val="auto"/>
                      <w:sz w:val="21"/>
                      <w:szCs w:val="21"/>
                      <w:u w:val="none" w:color="auto"/>
                    </w:rPr>
                    <w:t>/</w:t>
                  </w:r>
                </w:p>
              </w:tc>
              <w:tc>
                <w:tcPr>
                  <w:tcW w:w="550" w:type="pct"/>
                  <w:tcBorders>
                    <w:tl2br w:val="nil"/>
                    <w:tr2bl w:val="nil"/>
                  </w:tcBorders>
                  <w:noWrap w:val="0"/>
                  <w:tcMar>
                    <w:top w:w="0" w:type="dxa"/>
                    <w:left w:w="57" w:type="dxa"/>
                    <w:bottom w:w="0" w:type="dxa"/>
                    <w:right w:w="57" w:type="dxa"/>
                  </w:tcMar>
                  <w:vAlign w:val="center"/>
                </w:tcPr>
                <w:p w14:paraId="06D05AFE">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达标</w:t>
                  </w:r>
                </w:p>
              </w:tc>
            </w:tr>
            <w:tr w14:paraId="681DA5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06" w:type="pct"/>
                  <w:tcBorders>
                    <w:tl2br w:val="nil"/>
                    <w:tr2bl w:val="nil"/>
                  </w:tcBorders>
                  <w:noWrap w:val="0"/>
                  <w:tcMar>
                    <w:top w:w="0" w:type="dxa"/>
                    <w:left w:w="57" w:type="dxa"/>
                    <w:bottom w:w="0" w:type="dxa"/>
                    <w:right w:w="57" w:type="dxa"/>
                  </w:tcMar>
                  <w:vAlign w:val="center"/>
                </w:tcPr>
                <w:p w14:paraId="40F248C2">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PM</w:t>
                  </w:r>
                  <w:r>
                    <w:rPr>
                      <w:sz w:val="21"/>
                      <w:szCs w:val="21"/>
                      <w:u w:val="none" w:color="auto"/>
                      <w:vertAlign w:val="subscript"/>
                    </w:rPr>
                    <w:t>10</w:t>
                  </w:r>
                </w:p>
              </w:tc>
              <w:tc>
                <w:tcPr>
                  <w:tcW w:w="914" w:type="pct"/>
                  <w:tcBorders>
                    <w:tl2br w:val="nil"/>
                    <w:tr2bl w:val="nil"/>
                  </w:tcBorders>
                  <w:noWrap w:val="0"/>
                  <w:tcMar>
                    <w:top w:w="0" w:type="dxa"/>
                    <w:left w:w="57" w:type="dxa"/>
                    <w:bottom w:w="0" w:type="dxa"/>
                    <w:right w:w="57" w:type="dxa"/>
                  </w:tcMar>
                  <w:vAlign w:val="center"/>
                </w:tcPr>
                <w:p w14:paraId="419C906C">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年平均</w:t>
                  </w:r>
                </w:p>
              </w:tc>
              <w:tc>
                <w:tcPr>
                  <w:tcW w:w="1151" w:type="pct"/>
                  <w:tcBorders>
                    <w:tl2br w:val="nil"/>
                    <w:tr2bl w:val="nil"/>
                  </w:tcBorders>
                  <w:noWrap w:val="0"/>
                  <w:tcMar>
                    <w:top w:w="0" w:type="dxa"/>
                    <w:left w:w="57" w:type="dxa"/>
                    <w:bottom w:w="0" w:type="dxa"/>
                    <w:right w:w="57" w:type="dxa"/>
                  </w:tcMar>
                  <w:vAlign w:val="center"/>
                </w:tcPr>
                <w:p w14:paraId="05CE3536">
                  <w:pPr>
                    <w:pStyle w:val="58"/>
                    <w:bidi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color w:val="auto"/>
                      <w:sz w:val="21"/>
                      <w:szCs w:val="21"/>
                      <w:u w:val="none" w:color="auto"/>
                      <w:lang w:val="en-US" w:eastAsia="zh-CN"/>
                    </w:rPr>
                    <w:t>60</w:t>
                  </w:r>
                </w:p>
              </w:tc>
              <w:tc>
                <w:tcPr>
                  <w:tcW w:w="968" w:type="dxa"/>
                  <w:tcBorders>
                    <w:tl2br w:val="nil"/>
                    <w:tr2bl w:val="nil"/>
                  </w:tcBorders>
                  <w:noWrap w:val="0"/>
                  <w:tcMar>
                    <w:top w:w="0" w:type="dxa"/>
                    <w:left w:w="57" w:type="dxa"/>
                    <w:bottom w:w="0" w:type="dxa"/>
                    <w:right w:w="57" w:type="dxa"/>
                  </w:tcMar>
                  <w:vAlign w:val="center"/>
                </w:tcPr>
                <w:p w14:paraId="632F4B13">
                  <w:pPr>
                    <w:pStyle w:val="58"/>
                    <w:bidi w:val="0"/>
                    <w:ind w:firstLine="0" w:firstLineChars="0"/>
                    <w:jc w:val="center"/>
                    <w:rPr>
                      <w:rFonts w:ascii="Times New Roman" w:hAnsi="Times New Roman" w:eastAsia="宋体" w:cs="Times New Roman"/>
                      <w:color w:val="auto"/>
                      <w:kern w:val="2"/>
                      <w:sz w:val="21"/>
                      <w:szCs w:val="21"/>
                      <w:u w:val="none" w:color="auto"/>
                      <w:lang w:val="en-US" w:eastAsia="zh-CN" w:bidi="ar-SA"/>
                    </w:rPr>
                  </w:pPr>
                  <w:r>
                    <w:rPr>
                      <w:rFonts w:hint="eastAsia" w:eastAsia="宋体"/>
                      <w:color w:val="auto"/>
                      <w:sz w:val="21"/>
                      <w:szCs w:val="21"/>
                      <w:u w:val="none" w:color="auto"/>
                      <w:lang w:val="en-US" w:eastAsia="zh-CN"/>
                    </w:rPr>
                    <w:t>81</w:t>
                  </w:r>
                </w:p>
              </w:tc>
              <w:tc>
                <w:tcPr>
                  <w:tcW w:w="1092" w:type="dxa"/>
                  <w:tcBorders>
                    <w:tl2br w:val="nil"/>
                    <w:tr2bl w:val="nil"/>
                  </w:tcBorders>
                  <w:noWrap w:val="0"/>
                  <w:tcMar>
                    <w:top w:w="0" w:type="dxa"/>
                    <w:left w:w="57" w:type="dxa"/>
                    <w:bottom w:w="0" w:type="dxa"/>
                    <w:right w:w="57" w:type="dxa"/>
                  </w:tcMar>
                  <w:vAlign w:val="center"/>
                </w:tcPr>
                <w:p w14:paraId="3A08754D">
                  <w:pPr>
                    <w:pStyle w:val="58"/>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135</w:t>
                  </w:r>
                </w:p>
              </w:tc>
              <w:tc>
                <w:tcPr>
                  <w:tcW w:w="654" w:type="pct"/>
                  <w:tcBorders>
                    <w:tl2br w:val="nil"/>
                    <w:tr2bl w:val="nil"/>
                  </w:tcBorders>
                  <w:noWrap w:val="0"/>
                  <w:tcMar>
                    <w:top w:w="0" w:type="dxa"/>
                    <w:left w:w="57" w:type="dxa"/>
                    <w:bottom w:w="0" w:type="dxa"/>
                    <w:right w:w="57" w:type="dxa"/>
                  </w:tcMar>
                  <w:vAlign w:val="center"/>
                </w:tcPr>
                <w:p w14:paraId="1AF434C7">
                  <w:pPr>
                    <w:pStyle w:val="58"/>
                    <w:bidi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color w:val="auto"/>
                      <w:sz w:val="21"/>
                      <w:szCs w:val="21"/>
                      <w:u w:val="none" w:color="auto"/>
                      <w:lang w:val="en-US" w:eastAsia="zh-CN"/>
                    </w:rPr>
                    <w:t>35</w:t>
                  </w:r>
                </w:p>
              </w:tc>
              <w:tc>
                <w:tcPr>
                  <w:tcW w:w="550" w:type="pct"/>
                  <w:tcBorders>
                    <w:tl2br w:val="nil"/>
                    <w:tr2bl w:val="nil"/>
                  </w:tcBorders>
                  <w:noWrap w:val="0"/>
                  <w:tcMar>
                    <w:top w:w="0" w:type="dxa"/>
                    <w:left w:w="57" w:type="dxa"/>
                    <w:bottom w:w="0" w:type="dxa"/>
                    <w:right w:w="57" w:type="dxa"/>
                  </w:tcMar>
                  <w:vAlign w:val="center"/>
                </w:tcPr>
                <w:p w14:paraId="3EF8A6E9">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超标</w:t>
                  </w:r>
                </w:p>
              </w:tc>
            </w:tr>
            <w:tr w14:paraId="7EC6D8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06" w:type="pct"/>
                  <w:tcBorders>
                    <w:tl2br w:val="nil"/>
                    <w:tr2bl w:val="nil"/>
                  </w:tcBorders>
                  <w:noWrap w:val="0"/>
                  <w:tcMar>
                    <w:top w:w="0" w:type="dxa"/>
                    <w:left w:w="57" w:type="dxa"/>
                    <w:bottom w:w="0" w:type="dxa"/>
                    <w:right w:w="57" w:type="dxa"/>
                  </w:tcMar>
                  <w:vAlign w:val="center"/>
                </w:tcPr>
                <w:p w14:paraId="0240C4E6">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PM</w:t>
                  </w:r>
                  <w:r>
                    <w:rPr>
                      <w:sz w:val="21"/>
                      <w:szCs w:val="21"/>
                      <w:u w:val="none" w:color="auto"/>
                      <w:vertAlign w:val="subscript"/>
                    </w:rPr>
                    <w:t>2.5</w:t>
                  </w:r>
                </w:p>
              </w:tc>
              <w:tc>
                <w:tcPr>
                  <w:tcW w:w="914" w:type="pct"/>
                  <w:tcBorders>
                    <w:tl2br w:val="nil"/>
                    <w:tr2bl w:val="nil"/>
                  </w:tcBorders>
                  <w:noWrap w:val="0"/>
                  <w:tcMar>
                    <w:top w:w="0" w:type="dxa"/>
                    <w:left w:w="57" w:type="dxa"/>
                    <w:bottom w:w="0" w:type="dxa"/>
                    <w:right w:w="57" w:type="dxa"/>
                  </w:tcMar>
                  <w:vAlign w:val="center"/>
                </w:tcPr>
                <w:p w14:paraId="1795B2B4">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年平均</w:t>
                  </w:r>
                </w:p>
              </w:tc>
              <w:tc>
                <w:tcPr>
                  <w:tcW w:w="1151" w:type="pct"/>
                  <w:tcBorders>
                    <w:tl2br w:val="nil"/>
                    <w:tr2bl w:val="nil"/>
                  </w:tcBorders>
                  <w:noWrap w:val="0"/>
                  <w:tcMar>
                    <w:top w:w="0" w:type="dxa"/>
                    <w:left w:w="57" w:type="dxa"/>
                    <w:bottom w:w="0" w:type="dxa"/>
                    <w:right w:w="57" w:type="dxa"/>
                  </w:tcMar>
                  <w:vAlign w:val="center"/>
                </w:tcPr>
                <w:p w14:paraId="3BE59835">
                  <w:pPr>
                    <w:pStyle w:val="58"/>
                    <w:bidi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color w:val="auto"/>
                      <w:sz w:val="21"/>
                      <w:szCs w:val="21"/>
                      <w:u w:val="none" w:color="auto"/>
                      <w:lang w:val="en-US" w:eastAsia="zh-CN"/>
                    </w:rPr>
                    <w:t>30</w:t>
                  </w:r>
                </w:p>
              </w:tc>
              <w:tc>
                <w:tcPr>
                  <w:tcW w:w="968" w:type="dxa"/>
                  <w:tcBorders>
                    <w:tl2br w:val="nil"/>
                    <w:tr2bl w:val="nil"/>
                  </w:tcBorders>
                  <w:noWrap w:val="0"/>
                  <w:tcMar>
                    <w:top w:w="0" w:type="dxa"/>
                    <w:left w:w="57" w:type="dxa"/>
                    <w:bottom w:w="0" w:type="dxa"/>
                    <w:right w:w="57" w:type="dxa"/>
                  </w:tcMar>
                  <w:vAlign w:val="center"/>
                </w:tcPr>
                <w:p w14:paraId="66FADF69">
                  <w:pPr>
                    <w:pStyle w:val="58"/>
                    <w:bidi w:val="0"/>
                    <w:ind w:firstLine="0" w:firstLineChars="0"/>
                    <w:jc w:val="center"/>
                    <w:rPr>
                      <w:rFonts w:ascii="Times New Roman" w:hAnsi="Times New Roman" w:eastAsia="宋体" w:cs="Times New Roman"/>
                      <w:color w:val="auto"/>
                      <w:kern w:val="2"/>
                      <w:sz w:val="21"/>
                      <w:szCs w:val="21"/>
                      <w:u w:val="none" w:color="auto"/>
                      <w:lang w:val="en-US" w:eastAsia="zh-CN" w:bidi="ar-SA"/>
                    </w:rPr>
                  </w:pPr>
                  <w:r>
                    <w:rPr>
                      <w:rFonts w:hint="eastAsia" w:eastAsia="宋体"/>
                      <w:color w:val="auto"/>
                      <w:sz w:val="21"/>
                      <w:szCs w:val="21"/>
                      <w:u w:val="none" w:color="auto"/>
                      <w:lang w:val="en-US" w:eastAsia="zh-CN"/>
                    </w:rPr>
                    <w:t>49</w:t>
                  </w:r>
                </w:p>
              </w:tc>
              <w:tc>
                <w:tcPr>
                  <w:tcW w:w="1092" w:type="dxa"/>
                  <w:tcBorders>
                    <w:tl2br w:val="nil"/>
                    <w:tr2bl w:val="nil"/>
                  </w:tcBorders>
                  <w:noWrap w:val="0"/>
                  <w:tcMar>
                    <w:top w:w="0" w:type="dxa"/>
                    <w:left w:w="57" w:type="dxa"/>
                    <w:bottom w:w="0" w:type="dxa"/>
                    <w:right w:w="57" w:type="dxa"/>
                  </w:tcMar>
                  <w:vAlign w:val="center"/>
                </w:tcPr>
                <w:p w14:paraId="7EEC692F">
                  <w:pPr>
                    <w:pStyle w:val="58"/>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163.33</w:t>
                  </w:r>
                </w:p>
              </w:tc>
              <w:tc>
                <w:tcPr>
                  <w:tcW w:w="654" w:type="pct"/>
                  <w:tcBorders>
                    <w:tl2br w:val="nil"/>
                    <w:tr2bl w:val="nil"/>
                  </w:tcBorders>
                  <w:noWrap w:val="0"/>
                  <w:tcMar>
                    <w:top w:w="0" w:type="dxa"/>
                    <w:left w:w="57" w:type="dxa"/>
                    <w:bottom w:w="0" w:type="dxa"/>
                    <w:right w:w="57" w:type="dxa"/>
                  </w:tcMar>
                  <w:vAlign w:val="center"/>
                </w:tcPr>
                <w:p w14:paraId="1C24F95A">
                  <w:pPr>
                    <w:pStyle w:val="58"/>
                    <w:bidi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color w:val="auto"/>
                      <w:sz w:val="21"/>
                      <w:szCs w:val="21"/>
                      <w:u w:val="none" w:color="auto"/>
                      <w:lang w:val="en-US" w:eastAsia="zh-CN"/>
                    </w:rPr>
                    <w:t>63.33</w:t>
                  </w:r>
                </w:p>
              </w:tc>
              <w:tc>
                <w:tcPr>
                  <w:tcW w:w="550" w:type="pct"/>
                  <w:tcBorders>
                    <w:tl2br w:val="nil"/>
                    <w:tr2bl w:val="nil"/>
                  </w:tcBorders>
                  <w:noWrap w:val="0"/>
                  <w:tcMar>
                    <w:top w:w="0" w:type="dxa"/>
                    <w:left w:w="57" w:type="dxa"/>
                    <w:bottom w:w="0" w:type="dxa"/>
                    <w:right w:w="57" w:type="dxa"/>
                  </w:tcMar>
                  <w:vAlign w:val="center"/>
                </w:tcPr>
                <w:p w14:paraId="3E0FE5E6">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超标</w:t>
                  </w:r>
                </w:p>
              </w:tc>
            </w:tr>
            <w:tr w14:paraId="7E4339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06" w:type="pct"/>
                  <w:tcBorders>
                    <w:tl2br w:val="nil"/>
                    <w:tr2bl w:val="nil"/>
                  </w:tcBorders>
                  <w:noWrap w:val="0"/>
                  <w:tcMar>
                    <w:top w:w="0" w:type="dxa"/>
                    <w:left w:w="57" w:type="dxa"/>
                    <w:bottom w:w="0" w:type="dxa"/>
                    <w:right w:w="57" w:type="dxa"/>
                  </w:tcMar>
                  <w:vAlign w:val="center"/>
                </w:tcPr>
                <w:p w14:paraId="186F091F">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CO</w:t>
                  </w:r>
                </w:p>
              </w:tc>
              <w:tc>
                <w:tcPr>
                  <w:tcW w:w="914" w:type="pct"/>
                  <w:tcBorders>
                    <w:tl2br w:val="nil"/>
                    <w:tr2bl w:val="nil"/>
                  </w:tcBorders>
                  <w:noWrap w:val="0"/>
                  <w:tcMar>
                    <w:top w:w="0" w:type="dxa"/>
                    <w:left w:w="57" w:type="dxa"/>
                    <w:bottom w:w="0" w:type="dxa"/>
                    <w:right w:w="57" w:type="dxa"/>
                  </w:tcMar>
                  <w:vAlign w:val="center"/>
                </w:tcPr>
                <w:p w14:paraId="36BF371F">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24h平均第95百分位数</w:t>
                  </w:r>
                </w:p>
              </w:tc>
              <w:tc>
                <w:tcPr>
                  <w:tcW w:w="1151" w:type="pct"/>
                  <w:tcBorders>
                    <w:tl2br w:val="nil"/>
                    <w:tr2bl w:val="nil"/>
                  </w:tcBorders>
                  <w:noWrap w:val="0"/>
                  <w:tcMar>
                    <w:top w:w="0" w:type="dxa"/>
                    <w:left w:w="57" w:type="dxa"/>
                    <w:bottom w:w="0" w:type="dxa"/>
                    <w:right w:w="57" w:type="dxa"/>
                  </w:tcMar>
                  <w:vAlign w:val="center"/>
                </w:tcPr>
                <w:p w14:paraId="343C0EC7">
                  <w:pPr>
                    <w:pStyle w:val="58"/>
                    <w:bidi w:val="0"/>
                    <w:ind w:firstLine="0" w:firstLineChars="0"/>
                    <w:jc w:val="center"/>
                    <w:rPr>
                      <w:rFonts w:ascii="Times New Roman" w:hAnsi="Times New Roman" w:eastAsia="宋体" w:cs="Times New Roman"/>
                      <w:color w:val="auto"/>
                      <w:kern w:val="2"/>
                      <w:sz w:val="21"/>
                      <w:szCs w:val="21"/>
                      <w:u w:val="none" w:color="auto"/>
                      <w:lang w:val="en-US" w:eastAsia="zh-CN" w:bidi="ar-SA"/>
                    </w:rPr>
                  </w:pPr>
                  <w:r>
                    <w:rPr>
                      <w:color w:val="auto"/>
                      <w:sz w:val="21"/>
                      <w:szCs w:val="21"/>
                      <w:u w:val="none" w:color="auto"/>
                    </w:rPr>
                    <w:t>4000</w:t>
                  </w:r>
                </w:p>
              </w:tc>
              <w:tc>
                <w:tcPr>
                  <w:tcW w:w="968" w:type="dxa"/>
                  <w:tcBorders>
                    <w:tl2br w:val="nil"/>
                    <w:tr2bl w:val="nil"/>
                  </w:tcBorders>
                  <w:noWrap w:val="0"/>
                  <w:tcMar>
                    <w:top w:w="0" w:type="dxa"/>
                    <w:left w:w="57" w:type="dxa"/>
                    <w:bottom w:w="0" w:type="dxa"/>
                    <w:right w:w="57" w:type="dxa"/>
                  </w:tcMar>
                  <w:vAlign w:val="center"/>
                </w:tcPr>
                <w:p w14:paraId="00E93245">
                  <w:pPr>
                    <w:pStyle w:val="58"/>
                    <w:bidi w:val="0"/>
                    <w:ind w:firstLine="0" w:firstLineChars="0"/>
                    <w:jc w:val="center"/>
                    <w:rPr>
                      <w:rFonts w:ascii="Times New Roman" w:hAnsi="Times New Roman" w:eastAsia="宋体" w:cs="Times New Roman"/>
                      <w:color w:val="auto"/>
                      <w:kern w:val="2"/>
                      <w:sz w:val="21"/>
                      <w:szCs w:val="21"/>
                      <w:u w:val="none" w:color="auto"/>
                      <w:lang w:val="en-US" w:eastAsia="zh-CN" w:bidi="ar-SA"/>
                    </w:rPr>
                  </w:pPr>
                  <w:r>
                    <w:rPr>
                      <w:color w:val="auto"/>
                      <w:sz w:val="21"/>
                      <w:szCs w:val="21"/>
                      <w:u w:val="none" w:color="auto"/>
                    </w:rPr>
                    <w:t>1</w:t>
                  </w:r>
                  <w:r>
                    <w:rPr>
                      <w:rFonts w:hint="eastAsia"/>
                      <w:color w:val="auto"/>
                      <w:sz w:val="21"/>
                      <w:szCs w:val="21"/>
                      <w:u w:val="none" w:color="auto"/>
                      <w:lang w:val="en-US" w:eastAsia="zh-CN"/>
                    </w:rPr>
                    <w:t>4</w:t>
                  </w:r>
                  <w:r>
                    <w:rPr>
                      <w:color w:val="auto"/>
                      <w:sz w:val="21"/>
                      <w:szCs w:val="21"/>
                      <w:u w:val="none" w:color="auto"/>
                    </w:rPr>
                    <w:t>00</w:t>
                  </w:r>
                </w:p>
              </w:tc>
              <w:tc>
                <w:tcPr>
                  <w:tcW w:w="1092" w:type="dxa"/>
                  <w:tcBorders>
                    <w:tl2br w:val="nil"/>
                    <w:tr2bl w:val="nil"/>
                  </w:tcBorders>
                  <w:noWrap w:val="0"/>
                  <w:tcMar>
                    <w:top w:w="0" w:type="dxa"/>
                    <w:left w:w="57" w:type="dxa"/>
                    <w:bottom w:w="0" w:type="dxa"/>
                    <w:right w:w="57" w:type="dxa"/>
                  </w:tcMar>
                  <w:vAlign w:val="center"/>
                </w:tcPr>
                <w:p w14:paraId="4A930A0D">
                  <w:pPr>
                    <w:pStyle w:val="58"/>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35</w:t>
                  </w:r>
                </w:p>
              </w:tc>
              <w:tc>
                <w:tcPr>
                  <w:tcW w:w="654" w:type="pct"/>
                  <w:tcBorders>
                    <w:tl2br w:val="nil"/>
                    <w:tr2bl w:val="nil"/>
                  </w:tcBorders>
                  <w:noWrap w:val="0"/>
                  <w:tcMar>
                    <w:top w:w="0" w:type="dxa"/>
                    <w:left w:w="57" w:type="dxa"/>
                    <w:bottom w:w="0" w:type="dxa"/>
                    <w:right w:w="57" w:type="dxa"/>
                  </w:tcMar>
                  <w:vAlign w:val="center"/>
                </w:tcPr>
                <w:p w14:paraId="4AFD1B26">
                  <w:pPr>
                    <w:pStyle w:val="58"/>
                    <w:bidi w:val="0"/>
                    <w:ind w:firstLine="0" w:firstLineChars="0"/>
                    <w:jc w:val="center"/>
                    <w:rPr>
                      <w:rFonts w:ascii="Times New Roman" w:hAnsi="Times New Roman" w:eastAsia="宋体" w:cs="Times New Roman"/>
                      <w:color w:val="auto"/>
                      <w:kern w:val="2"/>
                      <w:sz w:val="21"/>
                      <w:szCs w:val="21"/>
                      <w:u w:val="none" w:color="auto"/>
                      <w:lang w:val="zh-CN" w:eastAsia="zh-CN" w:bidi="ar-SA"/>
                    </w:rPr>
                  </w:pPr>
                  <w:r>
                    <w:rPr>
                      <w:color w:val="auto"/>
                      <w:sz w:val="21"/>
                      <w:szCs w:val="21"/>
                      <w:u w:val="none" w:color="auto"/>
                      <w:lang w:val="zh-CN"/>
                    </w:rPr>
                    <w:t>/</w:t>
                  </w:r>
                </w:p>
              </w:tc>
              <w:tc>
                <w:tcPr>
                  <w:tcW w:w="550" w:type="pct"/>
                  <w:tcBorders>
                    <w:tl2br w:val="nil"/>
                    <w:tr2bl w:val="nil"/>
                  </w:tcBorders>
                  <w:noWrap w:val="0"/>
                  <w:tcMar>
                    <w:top w:w="0" w:type="dxa"/>
                    <w:left w:w="57" w:type="dxa"/>
                    <w:bottom w:w="0" w:type="dxa"/>
                    <w:right w:w="57" w:type="dxa"/>
                  </w:tcMar>
                  <w:vAlign w:val="center"/>
                </w:tcPr>
                <w:p w14:paraId="5A97B400">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达标</w:t>
                  </w:r>
                </w:p>
              </w:tc>
            </w:tr>
            <w:tr w14:paraId="242CB4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06" w:type="pct"/>
                  <w:tcBorders>
                    <w:tl2br w:val="nil"/>
                    <w:tr2bl w:val="nil"/>
                  </w:tcBorders>
                  <w:noWrap w:val="0"/>
                  <w:tcMar>
                    <w:top w:w="0" w:type="dxa"/>
                    <w:left w:w="57" w:type="dxa"/>
                    <w:bottom w:w="0" w:type="dxa"/>
                    <w:right w:w="57" w:type="dxa"/>
                  </w:tcMar>
                  <w:vAlign w:val="center"/>
                </w:tcPr>
                <w:p w14:paraId="4CD2B250">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O</w:t>
                  </w:r>
                  <w:r>
                    <w:rPr>
                      <w:sz w:val="21"/>
                      <w:szCs w:val="21"/>
                      <w:u w:val="none" w:color="auto"/>
                      <w:vertAlign w:val="subscript"/>
                    </w:rPr>
                    <w:t>3</w:t>
                  </w:r>
                </w:p>
              </w:tc>
              <w:tc>
                <w:tcPr>
                  <w:tcW w:w="914" w:type="pct"/>
                  <w:tcBorders>
                    <w:tl2br w:val="nil"/>
                    <w:tr2bl w:val="nil"/>
                  </w:tcBorders>
                  <w:noWrap w:val="0"/>
                  <w:tcMar>
                    <w:top w:w="0" w:type="dxa"/>
                    <w:left w:w="57" w:type="dxa"/>
                    <w:bottom w:w="0" w:type="dxa"/>
                    <w:right w:w="57" w:type="dxa"/>
                  </w:tcMar>
                  <w:vAlign w:val="center"/>
                </w:tcPr>
                <w:p w14:paraId="77001916">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日最大8h平均第90百分位数</w:t>
                  </w:r>
                </w:p>
              </w:tc>
              <w:tc>
                <w:tcPr>
                  <w:tcW w:w="1151" w:type="pct"/>
                  <w:tcBorders>
                    <w:tl2br w:val="nil"/>
                    <w:tr2bl w:val="nil"/>
                  </w:tcBorders>
                  <w:noWrap w:val="0"/>
                  <w:tcMar>
                    <w:top w:w="0" w:type="dxa"/>
                    <w:left w:w="57" w:type="dxa"/>
                    <w:bottom w:w="0" w:type="dxa"/>
                    <w:right w:w="57" w:type="dxa"/>
                  </w:tcMar>
                  <w:vAlign w:val="center"/>
                </w:tcPr>
                <w:p w14:paraId="574FD6F7">
                  <w:pPr>
                    <w:pStyle w:val="58"/>
                    <w:bidi w:val="0"/>
                    <w:ind w:firstLine="0" w:firstLineChars="0"/>
                    <w:jc w:val="center"/>
                    <w:rPr>
                      <w:rFonts w:ascii="Times New Roman" w:hAnsi="Times New Roman" w:eastAsia="宋体" w:cs="Times New Roman"/>
                      <w:color w:val="auto"/>
                      <w:kern w:val="2"/>
                      <w:sz w:val="21"/>
                      <w:szCs w:val="21"/>
                      <w:u w:val="none" w:color="auto"/>
                      <w:lang w:val="en-US" w:eastAsia="zh-CN" w:bidi="ar-SA"/>
                    </w:rPr>
                  </w:pPr>
                  <w:r>
                    <w:rPr>
                      <w:color w:val="auto"/>
                      <w:sz w:val="21"/>
                      <w:szCs w:val="21"/>
                      <w:u w:val="none" w:color="auto"/>
                    </w:rPr>
                    <w:t>160</w:t>
                  </w:r>
                </w:p>
              </w:tc>
              <w:tc>
                <w:tcPr>
                  <w:tcW w:w="968" w:type="dxa"/>
                  <w:tcBorders>
                    <w:tl2br w:val="nil"/>
                    <w:tr2bl w:val="nil"/>
                  </w:tcBorders>
                  <w:noWrap w:val="0"/>
                  <w:tcMar>
                    <w:top w:w="0" w:type="dxa"/>
                    <w:left w:w="57" w:type="dxa"/>
                    <w:bottom w:w="0" w:type="dxa"/>
                    <w:right w:w="57" w:type="dxa"/>
                  </w:tcMar>
                  <w:vAlign w:val="center"/>
                </w:tcPr>
                <w:p w14:paraId="6488CA5F">
                  <w:pPr>
                    <w:pStyle w:val="58"/>
                    <w:bidi w:val="0"/>
                    <w:ind w:firstLine="0" w:firstLineChars="0"/>
                    <w:jc w:val="center"/>
                    <w:rPr>
                      <w:rFonts w:ascii="Times New Roman" w:hAnsi="Times New Roman" w:eastAsia="宋体" w:cs="Times New Roman"/>
                      <w:color w:val="auto"/>
                      <w:kern w:val="2"/>
                      <w:sz w:val="21"/>
                      <w:szCs w:val="21"/>
                      <w:u w:val="none" w:color="auto"/>
                      <w:lang w:val="en-US" w:eastAsia="zh-CN" w:bidi="ar-SA"/>
                    </w:rPr>
                  </w:pPr>
                  <w:r>
                    <w:rPr>
                      <w:color w:val="auto"/>
                      <w:sz w:val="21"/>
                      <w:szCs w:val="21"/>
                      <w:u w:val="none" w:color="auto"/>
                    </w:rPr>
                    <w:t>1</w:t>
                  </w:r>
                  <w:r>
                    <w:rPr>
                      <w:rFonts w:hint="eastAsia"/>
                      <w:color w:val="auto"/>
                      <w:sz w:val="21"/>
                      <w:szCs w:val="21"/>
                      <w:u w:val="none" w:color="auto"/>
                      <w:lang w:val="en-US" w:eastAsia="zh-CN"/>
                    </w:rPr>
                    <w:t>84</w:t>
                  </w:r>
                </w:p>
              </w:tc>
              <w:tc>
                <w:tcPr>
                  <w:tcW w:w="1092" w:type="dxa"/>
                  <w:tcBorders>
                    <w:tl2br w:val="nil"/>
                    <w:tr2bl w:val="nil"/>
                  </w:tcBorders>
                  <w:noWrap w:val="0"/>
                  <w:tcMar>
                    <w:top w:w="0" w:type="dxa"/>
                    <w:left w:w="57" w:type="dxa"/>
                    <w:bottom w:w="0" w:type="dxa"/>
                    <w:right w:w="57" w:type="dxa"/>
                  </w:tcMar>
                  <w:vAlign w:val="center"/>
                </w:tcPr>
                <w:p w14:paraId="6C263D9D">
                  <w:pPr>
                    <w:pStyle w:val="58"/>
                    <w:bidi w:val="0"/>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115</w:t>
                  </w:r>
                </w:p>
              </w:tc>
              <w:tc>
                <w:tcPr>
                  <w:tcW w:w="654" w:type="pct"/>
                  <w:tcBorders>
                    <w:tl2br w:val="nil"/>
                    <w:tr2bl w:val="nil"/>
                  </w:tcBorders>
                  <w:noWrap w:val="0"/>
                  <w:tcMar>
                    <w:top w:w="0" w:type="dxa"/>
                    <w:left w:w="57" w:type="dxa"/>
                    <w:bottom w:w="0" w:type="dxa"/>
                    <w:right w:w="57" w:type="dxa"/>
                  </w:tcMar>
                  <w:vAlign w:val="center"/>
                </w:tcPr>
                <w:p w14:paraId="3C7C0E33">
                  <w:pPr>
                    <w:pStyle w:val="58"/>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15</w:t>
                  </w:r>
                </w:p>
              </w:tc>
              <w:tc>
                <w:tcPr>
                  <w:tcW w:w="550" w:type="pct"/>
                  <w:tcBorders>
                    <w:tl2br w:val="nil"/>
                    <w:tr2bl w:val="nil"/>
                  </w:tcBorders>
                  <w:noWrap w:val="0"/>
                  <w:tcMar>
                    <w:top w:w="0" w:type="dxa"/>
                    <w:left w:w="57" w:type="dxa"/>
                    <w:bottom w:w="0" w:type="dxa"/>
                    <w:right w:w="57" w:type="dxa"/>
                  </w:tcMar>
                  <w:vAlign w:val="center"/>
                </w:tcPr>
                <w:p w14:paraId="4F488EB7">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超标</w:t>
                  </w:r>
                </w:p>
              </w:tc>
            </w:tr>
            <w:tr w14:paraId="6F67AD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06" w:type="pct"/>
                  <w:tcBorders>
                    <w:tl2br w:val="nil"/>
                    <w:tr2bl w:val="nil"/>
                  </w:tcBorders>
                  <w:noWrap w:val="0"/>
                  <w:tcMar>
                    <w:top w:w="0" w:type="dxa"/>
                    <w:left w:w="57" w:type="dxa"/>
                    <w:bottom w:w="0" w:type="dxa"/>
                    <w:right w:w="57" w:type="dxa"/>
                  </w:tcMar>
                  <w:vAlign w:val="center"/>
                </w:tcPr>
                <w:p w14:paraId="18F86353">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污染物</w:t>
                  </w:r>
                </w:p>
              </w:tc>
              <w:tc>
                <w:tcPr>
                  <w:tcW w:w="914" w:type="pct"/>
                  <w:tcBorders>
                    <w:tl2br w:val="nil"/>
                    <w:tr2bl w:val="nil"/>
                  </w:tcBorders>
                  <w:noWrap w:val="0"/>
                  <w:tcMar>
                    <w:top w:w="0" w:type="dxa"/>
                    <w:left w:w="57" w:type="dxa"/>
                    <w:bottom w:w="0" w:type="dxa"/>
                    <w:right w:w="57" w:type="dxa"/>
                  </w:tcMar>
                  <w:vAlign w:val="center"/>
                </w:tcPr>
                <w:p w14:paraId="0DF74CD4">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年评价指标</w:t>
                  </w:r>
                </w:p>
              </w:tc>
              <w:tc>
                <w:tcPr>
                  <w:tcW w:w="1151" w:type="pct"/>
                  <w:tcBorders>
                    <w:tl2br w:val="nil"/>
                    <w:tr2bl w:val="nil"/>
                  </w:tcBorders>
                  <w:noWrap w:val="0"/>
                  <w:tcMar>
                    <w:top w:w="0" w:type="dxa"/>
                    <w:left w:w="57" w:type="dxa"/>
                    <w:bottom w:w="0" w:type="dxa"/>
                    <w:right w:w="57" w:type="dxa"/>
                  </w:tcMar>
                  <w:vAlign w:val="center"/>
                </w:tcPr>
                <w:p w14:paraId="41B3F6F6">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rFonts w:hint="eastAsia"/>
                      <w:sz w:val="21"/>
                      <w:szCs w:val="21"/>
                      <w:u w:val="none" w:color="auto"/>
                    </w:rPr>
                    <w:t>《环境空气质量标准》（GB3095-2026）</w:t>
                  </w:r>
                  <w:r>
                    <w:rPr>
                      <w:rFonts w:hint="eastAsia"/>
                      <w:sz w:val="21"/>
                      <w:szCs w:val="21"/>
                      <w:u w:val="none" w:color="auto"/>
                      <w:lang w:eastAsia="zh-CN"/>
                    </w:rPr>
                    <w:t>表</w:t>
                  </w:r>
                  <w:r>
                    <w:rPr>
                      <w:rFonts w:hint="eastAsia"/>
                      <w:sz w:val="21"/>
                      <w:szCs w:val="21"/>
                      <w:u w:val="none" w:color="auto"/>
                      <w:lang w:val="en-US" w:eastAsia="zh-CN"/>
                    </w:rPr>
                    <w:t>1</w:t>
                  </w:r>
                  <w:r>
                    <w:rPr>
                      <w:rFonts w:hint="eastAsia"/>
                      <w:sz w:val="21"/>
                      <w:szCs w:val="21"/>
                      <w:u w:val="none" w:color="auto"/>
                      <w:lang w:eastAsia="zh-CN"/>
                    </w:rPr>
                    <w:t>（</w:t>
                  </w:r>
                  <w:r>
                    <w:rPr>
                      <w:rFonts w:hint="eastAsia"/>
                      <w:sz w:val="21"/>
                      <w:szCs w:val="21"/>
                      <w:u w:val="none" w:color="auto"/>
                      <w:lang w:val="en-US" w:eastAsia="zh-CN"/>
                    </w:rPr>
                    <w:t>2031年1月1日起</w:t>
                  </w:r>
                  <w:r>
                    <w:rPr>
                      <w:rFonts w:hint="eastAsia"/>
                      <w:sz w:val="21"/>
                      <w:szCs w:val="21"/>
                      <w:u w:val="none" w:color="auto"/>
                      <w:lang w:eastAsia="zh-CN"/>
                    </w:rPr>
                    <w:t>）</w:t>
                  </w:r>
                  <w:r>
                    <w:rPr>
                      <w:sz w:val="21"/>
                      <w:szCs w:val="21"/>
                      <w:u w:val="none" w:color="auto"/>
                    </w:rPr>
                    <w:t>评价标准值（μg/m</w:t>
                  </w:r>
                  <w:r>
                    <w:rPr>
                      <w:sz w:val="21"/>
                      <w:szCs w:val="21"/>
                      <w:u w:val="none" w:color="auto"/>
                      <w:vertAlign w:val="superscript"/>
                    </w:rPr>
                    <w:t>3</w:t>
                  </w:r>
                  <w:r>
                    <w:rPr>
                      <w:sz w:val="21"/>
                      <w:szCs w:val="21"/>
                      <w:u w:val="none" w:color="auto"/>
                    </w:rPr>
                    <w:t>）</w:t>
                  </w:r>
                </w:p>
              </w:tc>
              <w:tc>
                <w:tcPr>
                  <w:tcW w:w="621" w:type="pct"/>
                  <w:tcBorders>
                    <w:tl2br w:val="nil"/>
                    <w:tr2bl w:val="nil"/>
                  </w:tcBorders>
                  <w:noWrap w:val="0"/>
                  <w:tcMar>
                    <w:top w:w="0" w:type="dxa"/>
                    <w:left w:w="57" w:type="dxa"/>
                    <w:bottom w:w="0" w:type="dxa"/>
                    <w:right w:w="57" w:type="dxa"/>
                  </w:tcMar>
                  <w:vAlign w:val="center"/>
                </w:tcPr>
                <w:p w14:paraId="7D31A868">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现状浓度（μg/m</w:t>
                  </w:r>
                  <w:r>
                    <w:rPr>
                      <w:sz w:val="21"/>
                      <w:szCs w:val="21"/>
                      <w:u w:val="none" w:color="auto"/>
                      <w:vertAlign w:val="superscript"/>
                    </w:rPr>
                    <w:t>3</w:t>
                  </w:r>
                  <w:r>
                    <w:rPr>
                      <w:sz w:val="21"/>
                      <w:szCs w:val="21"/>
                      <w:u w:val="none" w:color="auto"/>
                    </w:rPr>
                    <w:t>）</w:t>
                  </w:r>
                </w:p>
              </w:tc>
              <w:tc>
                <w:tcPr>
                  <w:tcW w:w="700" w:type="pct"/>
                  <w:tcBorders>
                    <w:tl2br w:val="nil"/>
                    <w:tr2bl w:val="nil"/>
                  </w:tcBorders>
                  <w:noWrap w:val="0"/>
                  <w:tcMar>
                    <w:top w:w="0" w:type="dxa"/>
                    <w:left w:w="57" w:type="dxa"/>
                    <w:bottom w:w="0" w:type="dxa"/>
                    <w:right w:w="57" w:type="dxa"/>
                  </w:tcMar>
                  <w:vAlign w:val="center"/>
                </w:tcPr>
                <w:p w14:paraId="5341FAA5">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最大浓度占标率/%</w:t>
                  </w:r>
                </w:p>
              </w:tc>
              <w:tc>
                <w:tcPr>
                  <w:tcW w:w="654" w:type="pct"/>
                  <w:tcBorders>
                    <w:tl2br w:val="nil"/>
                    <w:tr2bl w:val="nil"/>
                  </w:tcBorders>
                  <w:noWrap w:val="0"/>
                  <w:tcMar>
                    <w:top w:w="0" w:type="dxa"/>
                    <w:left w:w="57" w:type="dxa"/>
                    <w:bottom w:w="0" w:type="dxa"/>
                    <w:right w:w="57" w:type="dxa"/>
                  </w:tcMar>
                  <w:vAlign w:val="center"/>
                </w:tcPr>
                <w:p w14:paraId="6751378D">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超标率/%</w:t>
                  </w:r>
                </w:p>
              </w:tc>
              <w:tc>
                <w:tcPr>
                  <w:tcW w:w="550" w:type="pct"/>
                  <w:tcBorders>
                    <w:tl2br w:val="nil"/>
                    <w:tr2bl w:val="nil"/>
                  </w:tcBorders>
                  <w:noWrap w:val="0"/>
                  <w:tcMar>
                    <w:top w:w="0" w:type="dxa"/>
                    <w:left w:w="57" w:type="dxa"/>
                    <w:bottom w:w="0" w:type="dxa"/>
                    <w:right w:w="57" w:type="dxa"/>
                  </w:tcMar>
                  <w:vAlign w:val="center"/>
                </w:tcPr>
                <w:p w14:paraId="34B38A77">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达标情况</w:t>
                  </w:r>
                </w:p>
              </w:tc>
            </w:tr>
            <w:tr w14:paraId="6D13D1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06" w:type="pct"/>
                  <w:tcBorders>
                    <w:tl2br w:val="nil"/>
                    <w:tr2bl w:val="nil"/>
                  </w:tcBorders>
                  <w:noWrap w:val="0"/>
                  <w:tcMar>
                    <w:top w:w="0" w:type="dxa"/>
                    <w:left w:w="57" w:type="dxa"/>
                    <w:bottom w:w="0" w:type="dxa"/>
                    <w:right w:w="57" w:type="dxa"/>
                  </w:tcMar>
                  <w:vAlign w:val="center"/>
                </w:tcPr>
                <w:p w14:paraId="7205ED47">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SO</w:t>
                  </w:r>
                  <w:r>
                    <w:rPr>
                      <w:sz w:val="21"/>
                      <w:szCs w:val="21"/>
                      <w:u w:val="none" w:color="auto"/>
                      <w:vertAlign w:val="subscript"/>
                    </w:rPr>
                    <w:t>2</w:t>
                  </w:r>
                </w:p>
              </w:tc>
              <w:tc>
                <w:tcPr>
                  <w:tcW w:w="914" w:type="pct"/>
                  <w:tcBorders>
                    <w:tl2br w:val="nil"/>
                    <w:tr2bl w:val="nil"/>
                  </w:tcBorders>
                  <w:noWrap w:val="0"/>
                  <w:tcMar>
                    <w:top w:w="0" w:type="dxa"/>
                    <w:left w:w="57" w:type="dxa"/>
                    <w:bottom w:w="0" w:type="dxa"/>
                    <w:right w:w="57" w:type="dxa"/>
                  </w:tcMar>
                  <w:vAlign w:val="center"/>
                </w:tcPr>
                <w:p w14:paraId="4F6289B6">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年平均</w:t>
                  </w:r>
                </w:p>
              </w:tc>
              <w:tc>
                <w:tcPr>
                  <w:tcW w:w="1151" w:type="pct"/>
                  <w:tcBorders>
                    <w:tl2br w:val="nil"/>
                    <w:tr2bl w:val="nil"/>
                  </w:tcBorders>
                  <w:noWrap w:val="0"/>
                  <w:tcMar>
                    <w:top w:w="0" w:type="dxa"/>
                    <w:left w:w="57" w:type="dxa"/>
                    <w:bottom w:w="0" w:type="dxa"/>
                    <w:right w:w="57" w:type="dxa"/>
                  </w:tcMar>
                  <w:vAlign w:val="center"/>
                </w:tcPr>
                <w:p w14:paraId="10686271">
                  <w:pPr>
                    <w:pStyle w:val="58"/>
                    <w:bidi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color w:val="auto"/>
                      <w:sz w:val="21"/>
                      <w:szCs w:val="21"/>
                      <w:u w:val="none" w:color="auto"/>
                      <w:lang w:val="en-US" w:eastAsia="zh-CN"/>
                    </w:rPr>
                    <w:t>20</w:t>
                  </w:r>
                </w:p>
              </w:tc>
              <w:tc>
                <w:tcPr>
                  <w:tcW w:w="968" w:type="dxa"/>
                  <w:tcBorders>
                    <w:tl2br w:val="nil"/>
                    <w:tr2bl w:val="nil"/>
                  </w:tcBorders>
                  <w:noWrap w:val="0"/>
                  <w:tcMar>
                    <w:top w:w="0" w:type="dxa"/>
                    <w:left w:w="57" w:type="dxa"/>
                    <w:bottom w:w="0" w:type="dxa"/>
                    <w:right w:w="57" w:type="dxa"/>
                  </w:tcMar>
                  <w:vAlign w:val="center"/>
                </w:tcPr>
                <w:p w14:paraId="418E3F58">
                  <w:pPr>
                    <w:pStyle w:val="58"/>
                    <w:bidi w:val="0"/>
                    <w:ind w:firstLine="0" w:firstLineChars="0"/>
                    <w:jc w:val="center"/>
                    <w:rPr>
                      <w:rFonts w:ascii="Times New Roman" w:hAnsi="Times New Roman" w:eastAsia="宋体" w:cs="Times New Roman"/>
                      <w:color w:val="auto"/>
                      <w:kern w:val="2"/>
                      <w:sz w:val="21"/>
                      <w:szCs w:val="21"/>
                      <w:u w:val="none" w:color="auto"/>
                      <w:lang w:val="en-US" w:eastAsia="zh-CN" w:bidi="ar-SA"/>
                    </w:rPr>
                  </w:pPr>
                  <w:r>
                    <w:rPr>
                      <w:rFonts w:hint="eastAsia"/>
                      <w:color w:val="auto"/>
                      <w:sz w:val="21"/>
                      <w:szCs w:val="21"/>
                      <w:u w:val="none" w:color="auto"/>
                      <w:lang w:val="en-US" w:eastAsia="zh-CN"/>
                    </w:rPr>
                    <w:t>10</w:t>
                  </w:r>
                </w:p>
              </w:tc>
              <w:tc>
                <w:tcPr>
                  <w:tcW w:w="1092" w:type="dxa"/>
                  <w:tcBorders>
                    <w:tl2br w:val="nil"/>
                    <w:tr2bl w:val="nil"/>
                  </w:tcBorders>
                  <w:noWrap w:val="0"/>
                  <w:tcMar>
                    <w:top w:w="0" w:type="dxa"/>
                    <w:left w:w="57" w:type="dxa"/>
                    <w:bottom w:w="0" w:type="dxa"/>
                    <w:right w:w="57" w:type="dxa"/>
                  </w:tcMar>
                  <w:vAlign w:val="center"/>
                </w:tcPr>
                <w:p w14:paraId="6D9FCB06">
                  <w:pPr>
                    <w:pStyle w:val="58"/>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50</w:t>
                  </w:r>
                </w:p>
              </w:tc>
              <w:tc>
                <w:tcPr>
                  <w:tcW w:w="654" w:type="pct"/>
                  <w:tcBorders>
                    <w:tl2br w:val="nil"/>
                    <w:tr2bl w:val="nil"/>
                  </w:tcBorders>
                  <w:noWrap w:val="0"/>
                  <w:tcMar>
                    <w:top w:w="0" w:type="dxa"/>
                    <w:left w:w="57" w:type="dxa"/>
                    <w:bottom w:w="0" w:type="dxa"/>
                    <w:right w:w="57" w:type="dxa"/>
                  </w:tcMar>
                  <w:vAlign w:val="center"/>
                </w:tcPr>
                <w:p w14:paraId="5C4D28EF">
                  <w:pPr>
                    <w:pStyle w:val="58"/>
                    <w:bidi w:val="0"/>
                    <w:ind w:firstLine="0" w:firstLineChars="0"/>
                    <w:jc w:val="center"/>
                    <w:rPr>
                      <w:rFonts w:ascii="Times New Roman" w:hAnsi="Times New Roman" w:eastAsia="宋体" w:cs="Times New Roman"/>
                      <w:color w:val="auto"/>
                      <w:sz w:val="21"/>
                      <w:szCs w:val="21"/>
                      <w:u w:val="none" w:color="auto"/>
                      <w:lang w:val="en-US" w:eastAsia="zh-CN"/>
                    </w:rPr>
                  </w:pPr>
                  <w:r>
                    <w:rPr>
                      <w:rFonts w:ascii="Times New Roman" w:hAnsi="Times New Roman" w:eastAsia="宋体" w:cs="Times New Roman"/>
                      <w:color w:val="auto"/>
                      <w:sz w:val="21"/>
                      <w:szCs w:val="21"/>
                      <w:u w:val="none" w:color="auto"/>
                      <w:lang w:val="zh-CN"/>
                    </w:rPr>
                    <w:t>/</w:t>
                  </w:r>
                </w:p>
              </w:tc>
              <w:tc>
                <w:tcPr>
                  <w:tcW w:w="550" w:type="pct"/>
                  <w:tcBorders>
                    <w:tl2br w:val="nil"/>
                    <w:tr2bl w:val="nil"/>
                  </w:tcBorders>
                  <w:noWrap w:val="0"/>
                  <w:tcMar>
                    <w:top w:w="0" w:type="dxa"/>
                    <w:left w:w="57" w:type="dxa"/>
                    <w:bottom w:w="0" w:type="dxa"/>
                    <w:right w:w="57" w:type="dxa"/>
                  </w:tcMar>
                  <w:vAlign w:val="center"/>
                </w:tcPr>
                <w:p w14:paraId="798F4561">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达标</w:t>
                  </w:r>
                </w:p>
              </w:tc>
            </w:tr>
            <w:tr w14:paraId="284574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06" w:type="pct"/>
                  <w:tcBorders>
                    <w:tl2br w:val="nil"/>
                    <w:tr2bl w:val="nil"/>
                  </w:tcBorders>
                  <w:noWrap w:val="0"/>
                  <w:tcMar>
                    <w:top w:w="0" w:type="dxa"/>
                    <w:left w:w="57" w:type="dxa"/>
                    <w:bottom w:w="0" w:type="dxa"/>
                    <w:right w:w="57" w:type="dxa"/>
                  </w:tcMar>
                  <w:vAlign w:val="center"/>
                </w:tcPr>
                <w:p w14:paraId="11AD27C0">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NO</w:t>
                  </w:r>
                  <w:r>
                    <w:rPr>
                      <w:sz w:val="21"/>
                      <w:szCs w:val="21"/>
                      <w:u w:val="none" w:color="auto"/>
                      <w:vertAlign w:val="subscript"/>
                    </w:rPr>
                    <w:t>2</w:t>
                  </w:r>
                </w:p>
              </w:tc>
              <w:tc>
                <w:tcPr>
                  <w:tcW w:w="914" w:type="pct"/>
                  <w:tcBorders>
                    <w:tl2br w:val="nil"/>
                    <w:tr2bl w:val="nil"/>
                  </w:tcBorders>
                  <w:noWrap w:val="0"/>
                  <w:tcMar>
                    <w:top w:w="0" w:type="dxa"/>
                    <w:left w:w="57" w:type="dxa"/>
                    <w:bottom w:w="0" w:type="dxa"/>
                    <w:right w:w="57" w:type="dxa"/>
                  </w:tcMar>
                  <w:vAlign w:val="center"/>
                </w:tcPr>
                <w:p w14:paraId="05456C38">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年平均</w:t>
                  </w:r>
                </w:p>
              </w:tc>
              <w:tc>
                <w:tcPr>
                  <w:tcW w:w="1151" w:type="pct"/>
                  <w:tcBorders>
                    <w:tl2br w:val="nil"/>
                    <w:tr2bl w:val="nil"/>
                  </w:tcBorders>
                  <w:noWrap w:val="0"/>
                  <w:tcMar>
                    <w:top w:w="0" w:type="dxa"/>
                    <w:left w:w="57" w:type="dxa"/>
                    <w:bottom w:w="0" w:type="dxa"/>
                    <w:right w:w="57" w:type="dxa"/>
                  </w:tcMar>
                  <w:vAlign w:val="center"/>
                </w:tcPr>
                <w:p w14:paraId="72000B6A">
                  <w:pPr>
                    <w:pStyle w:val="58"/>
                    <w:bidi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color w:val="auto"/>
                      <w:sz w:val="21"/>
                      <w:szCs w:val="21"/>
                      <w:u w:val="none" w:color="auto"/>
                      <w:lang w:val="en-US" w:eastAsia="zh-CN"/>
                    </w:rPr>
                    <w:t>30</w:t>
                  </w:r>
                </w:p>
              </w:tc>
              <w:tc>
                <w:tcPr>
                  <w:tcW w:w="968" w:type="dxa"/>
                  <w:tcBorders>
                    <w:tl2br w:val="nil"/>
                    <w:tr2bl w:val="nil"/>
                  </w:tcBorders>
                  <w:noWrap w:val="0"/>
                  <w:tcMar>
                    <w:top w:w="0" w:type="dxa"/>
                    <w:left w:w="57" w:type="dxa"/>
                    <w:bottom w:w="0" w:type="dxa"/>
                    <w:right w:w="57" w:type="dxa"/>
                  </w:tcMar>
                  <w:vAlign w:val="center"/>
                </w:tcPr>
                <w:p w14:paraId="23505B83">
                  <w:pPr>
                    <w:pStyle w:val="58"/>
                    <w:bidi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color w:val="auto"/>
                      <w:sz w:val="21"/>
                      <w:szCs w:val="21"/>
                      <w:u w:val="none" w:color="auto"/>
                      <w:lang w:val="en-US" w:eastAsia="zh-CN"/>
                    </w:rPr>
                    <w:t>29</w:t>
                  </w:r>
                </w:p>
              </w:tc>
              <w:tc>
                <w:tcPr>
                  <w:tcW w:w="1092" w:type="dxa"/>
                  <w:tcBorders>
                    <w:tl2br w:val="nil"/>
                    <w:tr2bl w:val="nil"/>
                  </w:tcBorders>
                  <w:noWrap w:val="0"/>
                  <w:tcMar>
                    <w:top w:w="0" w:type="dxa"/>
                    <w:left w:w="57" w:type="dxa"/>
                    <w:bottom w:w="0" w:type="dxa"/>
                    <w:right w:w="57" w:type="dxa"/>
                  </w:tcMar>
                  <w:vAlign w:val="center"/>
                </w:tcPr>
                <w:p w14:paraId="4AC4BFC4">
                  <w:pPr>
                    <w:pStyle w:val="58"/>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96.67</w:t>
                  </w:r>
                </w:p>
              </w:tc>
              <w:tc>
                <w:tcPr>
                  <w:tcW w:w="654" w:type="pct"/>
                  <w:tcBorders>
                    <w:tl2br w:val="nil"/>
                    <w:tr2bl w:val="nil"/>
                  </w:tcBorders>
                  <w:noWrap w:val="0"/>
                  <w:tcMar>
                    <w:top w:w="0" w:type="dxa"/>
                    <w:left w:w="57" w:type="dxa"/>
                    <w:bottom w:w="0" w:type="dxa"/>
                    <w:right w:w="57" w:type="dxa"/>
                  </w:tcMar>
                  <w:vAlign w:val="center"/>
                </w:tcPr>
                <w:p w14:paraId="2C5E036F">
                  <w:pPr>
                    <w:pStyle w:val="58"/>
                    <w:bidi w:val="0"/>
                    <w:ind w:firstLine="0" w:firstLineChars="0"/>
                    <w:jc w:val="center"/>
                    <w:rPr>
                      <w:rFonts w:ascii="Times New Roman" w:hAnsi="Times New Roman" w:eastAsia="宋体" w:cs="Times New Roman"/>
                      <w:color w:val="auto"/>
                      <w:sz w:val="21"/>
                      <w:szCs w:val="21"/>
                      <w:u w:val="none" w:color="auto"/>
                      <w:lang w:val="en-US" w:eastAsia="zh-CN"/>
                    </w:rPr>
                  </w:pPr>
                  <w:r>
                    <w:rPr>
                      <w:rFonts w:ascii="Times New Roman" w:hAnsi="Times New Roman" w:eastAsia="宋体" w:cs="Times New Roman"/>
                      <w:color w:val="auto"/>
                      <w:sz w:val="21"/>
                      <w:szCs w:val="21"/>
                      <w:u w:val="none" w:color="auto"/>
                      <w:lang w:val="zh-CN"/>
                    </w:rPr>
                    <w:t>/</w:t>
                  </w:r>
                </w:p>
              </w:tc>
              <w:tc>
                <w:tcPr>
                  <w:tcW w:w="550" w:type="pct"/>
                  <w:tcBorders>
                    <w:tl2br w:val="nil"/>
                    <w:tr2bl w:val="nil"/>
                  </w:tcBorders>
                  <w:noWrap w:val="0"/>
                  <w:tcMar>
                    <w:top w:w="0" w:type="dxa"/>
                    <w:left w:w="57" w:type="dxa"/>
                    <w:bottom w:w="0" w:type="dxa"/>
                    <w:right w:w="57" w:type="dxa"/>
                  </w:tcMar>
                  <w:vAlign w:val="center"/>
                </w:tcPr>
                <w:p w14:paraId="4A365CB6">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达标</w:t>
                  </w:r>
                </w:p>
              </w:tc>
            </w:tr>
            <w:tr w14:paraId="32CE03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06" w:type="pct"/>
                  <w:tcBorders>
                    <w:tl2br w:val="nil"/>
                    <w:tr2bl w:val="nil"/>
                  </w:tcBorders>
                  <w:noWrap w:val="0"/>
                  <w:tcMar>
                    <w:top w:w="0" w:type="dxa"/>
                    <w:left w:w="57" w:type="dxa"/>
                    <w:bottom w:w="0" w:type="dxa"/>
                    <w:right w:w="57" w:type="dxa"/>
                  </w:tcMar>
                  <w:vAlign w:val="center"/>
                </w:tcPr>
                <w:p w14:paraId="68BB2FD4">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PM</w:t>
                  </w:r>
                  <w:r>
                    <w:rPr>
                      <w:sz w:val="21"/>
                      <w:szCs w:val="21"/>
                      <w:u w:val="none" w:color="auto"/>
                      <w:vertAlign w:val="subscript"/>
                    </w:rPr>
                    <w:t>10</w:t>
                  </w:r>
                </w:p>
              </w:tc>
              <w:tc>
                <w:tcPr>
                  <w:tcW w:w="914" w:type="pct"/>
                  <w:tcBorders>
                    <w:tl2br w:val="nil"/>
                    <w:tr2bl w:val="nil"/>
                  </w:tcBorders>
                  <w:noWrap w:val="0"/>
                  <w:tcMar>
                    <w:top w:w="0" w:type="dxa"/>
                    <w:left w:w="57" w:type="dxa"/>
                    <w:bottom w:w="0" w:type="dxa"/>
                    <w:right w:w="57" w:type="dxa"/>
                  </w:tcMar>
                  <w:vAlign w:val="center"/>
                </w:tcPr>
                <w:p w14:paraId="72391C59">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年平均</w:t>
                  </w:r>
                </w:p>
              </w:tc>
              <w:tc>
                <w:tcPr>
                  <w:tcW w:w="1151" w:type="pct"/>
                  <w:tcBorders>
                    <w:tl2br w:val="nil"/>
                    <w:tr2bl w:val="nil"/>
                  </w:tcBorders>
                  <w:noWrap w:val="0"/>
                  <w:tcMar>
                    <w:top w:w="0" w:type="dxa"/>
                    <w:left w:w="57" w:type="dxa"/>
                    <w:bottom w:w="0" w:type="dxa"/>
                    <w:right w:w="57" w:type="dxa"/>
                  </w:tcMar>
                  <w:vAlign w:val="center"/>
                </w:tcPr>
                <w:p w14:paraId="1A59624B">
                  <w:pPr>
                    <w:pStyle w:val="58"/>
                    <w:bidi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color w:val="auto"/>
                      <w:sz w:val="21"/>
                      <w:szCs w:val="21"/>
                      <w:u w:val="none" w:color="auto"/>
                      <w:lang w:val="en-US" w:eastAsia="zh-CN"/>
                    </w:rPr>
                    <w:t>50</w:t>
                  </w:r>
                </w:p>
              </w:tc>
              <w:tc>
                <w:tcPr>
                  <w:tcW w:w="968" w:type="dxa"/>
                  <w:tcBorders>
                    <w:tl2br w:val="nil"/>
                    <w:tr2bl w:val="nil"/>
                  </w:tcBorders>
                  <w:noWrap w:val="0"/>
                  <w:tcMar>
                    <w:top w:w="0" w:type="dxa"/>
                    <w:left w:w="57" w:type="dxa"/>
                    <w:bottom w:w="0" w:type="dxa"/>
                    <w:right w:w="57" w:type="dxa"/>
                  </w:tcMar>
                  <w:vAlign w:val="center"/>
                </w:tcPr>
                <w:p w14:paraId="70ED0451">
                  <w:pPr>
                    <w:pStyle w:val="58"/>
                    <w:bidi w:val="0"/>
                    <w:ind w:firstLine="0" w:firstLineChars="0"/>
                    <w:jc w:val="center"/>
                    <w:rPr>
                      <w:rFonts w:ascii="Times New Roman" w:hAnsi="Times New Roman" w:eastAsia="宋体" w:cs="Times New Roman"/>
                      <w:color w:val="auto"/>
                      <w:kern w:val="2"/>
                      <w:sz w:val="21"/>
                      <w:szCs w:val="21"/>
                      <w:u w:val="none" w:color="auto"/>
                      <w:lang w:val="en-US" w:eastAsia="zh-CN" w:bidi="ar-SA"/>
                    </w:rPr>
                  </w:pPr>
                  <w:r>
                    <w:rPr>
                      <w:rFonts w:hint="eastAsia" w:eastAsia="宋体"/>
                      <w:color w:val="auto"/>
                      <w:sz w:val="21"/>
                      <w:szCs w:val="21"/>
                      <w:u w:val="none" w:color="auto"/>
                      <w:lang w:val="en-US" w:eastAsia="zh-CN"/>
                    </w:rPr>
                    <w:t>81</w:t>
                  </w:r>
                </w:p>
              </w:tc>
              <w:tc>
                <w:tcPr>
                  <w:tcW w:w="1092" w:type="dxa"/>
                  <w:tcBorders>
                    <w:tl2br w:val="nil"/>
                    <w:tr2bl w:val="nil"/>
                  </w:tcBorders>
                  <w:noWrap w:val="0"/>
                  <w:tcMar>
                    <w:top w:w="0" w:type="dxa"/>
                    <w:left w:w="57" w:type="dxa"/>
                    <w:bottom w:w="0" w:type="dxa"/>
                    <w:right w:w="57" w:type="dxa"/>
                  </w:tcMar>
                  <w:vAlign w:val="center"/>
                </w:tcPr>
                <w:p w14:paraId="663A38A6">
                  <w:pPr>
                    <w:pStyle w:val="58"/>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162</w:t>
                  </w:r>
                </w:p>
              </w:tc>
              <w:tc>
                <w:tcPr>
                  <w:tcW w:w="654" w:type="pct"/>
                  <w:tcBorders>
                    <w:tl2br w:val="nil"/>
                    <w:tr2bl w:val="nil"/>
                  </w:tcBorders>
                  <w:noWrap w:val="0"/>
                  <w:tcMar>
                    <w:top w:w="0" w:type="dxa"/>
                    <w:left w:w="57" w:type="dxa"/>
                    <w:bottom w:w="0" w:type="dxa"/>
                    <w:right w:w="57" w:type="dxa"/>
                  </w:tcMar>
                  <w:vAlign w:val="center"/>
                </w:tcPr>
                <w:p w14:paraId="6ED6513D">
                  <w:pPr>
                    <w:pStyle w:val="58"/>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62</w:t>
                  </w:r>
                </w:p>
              </w:tc>
              <w:tc>
                <w:tcPr>
                  <w:tcW w:w="550" w:type="pct"/>
                  <w:tcBorders>
                    <w:tl2br w:val="nil"/>
                    <w:tr2bl w:val="nil"/>
                  </w:tcBorders>
                  <w:noWrap w:val="0"/>
                  <w:tcMar>
                    <w:top w:w="0" w:type="dxa"/>
                    <w:left w:w="57" w:type="dxa"/>
                    <w:bottom w:w="0" w:type="dxa"/>
                    <w:right w:w="57" w:type="dxa"/>
                  </w:tcMar>
                  <w:vAlign w:val="center"/>
                </w:tcPr>
                <w:p w14:paraId="71FDA93D">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超标</w:t>
                  </w:r>
                </w:p>
              </w:tc>
            </w:tr>
            <w:tr w14:paraId="6AF1D2B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06" w:type="pct"/>
                  <w:tcBorders>
                    <w:tl2br w:val="nil"/>
                    <w:tr2bl w:val="nil"/>
                  </w:tcBorders>
                  <w:noWrap w:val="0"/>
                  <w:tcMar>
                    <w:top w:w="0" w:type="dxa"/>
                    <w:left w:w="57" w:type="dxa"/>
                    <w:bottom w:w="0" w:type="dxa"/>
                    <w:right w:w="57" w:type="dxa"/>
                  </w:tcMar>
                  <w:vAlign w:val="center"/>
                </w:tcPr>
                <w:p w14:paraId="3BB72FB7">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PM</w:t>
                  </w:r>
                  <w:r>
                    <w:rPr>
                      <w:sz w:val="21"/>
                      <w:szCs w:val="21"/>
                      <w:u w:val="none" w:color="auto"/>
                      <w:vertAlign w:val="subscript"/>
                    </w:rPr>
                    <w:t>2.5</w:t>
                  </w:r>
                </w:p>
              </w:tc>
              <w:tc>
                <w:tcPr>
                  <w:tcW w:w="914" w:type="pct"/>
                  <w:tcBorders>
                    <w:tl2br w:val="nil"/>
                    <w:tr2bl w:val="nil"/>
                  </w:tcBorders>
                  <w:noWrap w:val="0"/>
                  <w:tcMar>
                    <w:top w:w="0" w:type="dxa"/>
                    <w:left w:w="57" w:type="dxa"/>
                    <w:bottom w:w="0" w:type="dxa"/>
                    <w:right w:w="57" w:type="dxa"/>
                  </w:tcMar>
                  <w:vAlign w:val="center"/>
                </w:tcPr>
                <w:p w14:paraId="172448DB">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年平均</w:t>
                  </w:r>
                </w:p>
              </w:tc>
              <w:tc>
                <w:tcPr>
                  <w:tcW w:w="1151" w:type="pct"/>
                  <w:tcBorders>
                    <w:tl2br w:val="nil"/>
                    <w:tr2bl w:val="nil"/>
                  </w:tcBorders>
                  <w:noWrap w:val="0"/>
                  <w:tcMar>
                    <w:top w:w="0" w:type="dxa"/>
                    <w:left w:w="57" w:type="dxa"/>
                    <w:bottom w:w="0" w:type="dxa"/>
                    <w:right w:w="57" w:type="dxa"/>
                  </w:tcMar>
                  <w:vAlign w:val="center"/>
                </w:tcPr>
                <w:p w14:paraId="01C17EBD">
                  <w:pPr>
                    <w:pStyle w:val="58"/>
                    <w:bidi w:val="0"/>
                    <w:ind w:firstLine="0" w:firstLineChars="0"/>
                    <w:jc w:val="center"/>
                    <w:rPr>
                      <w:rFonts w:hint="default" w:ascii="Times New Roman" w:hAnsi="Times New Roman" w:eastAsia="宋体" w:cs="Times New Roman"/>
                      <w:color w:val="auto"/>
                      <w:kern w:val="2"/>
                      <w:sz w:val="21"/>
                      <w:szCs w:val="21"/>
                      <w:u w:val="none" w:color="auto"/>
                      <w:lang w:val="en-US" w:eastAsia="zh-CN" w:bidi="ar-SA"/>
                    </w:rPr>
                  </w:pPr>
                  <w:r>
                    <w:rPr>
                      <w:rFonts w:hint="eastAsia"/>
                      <w:color w:val="auto"/>
                      <w:sz w:val="21"/>
                      <w:szCs w:val="21"/>
                      <w:u w:val="none" w:color="auto"/>
                      <w:lang w:val="en-US" w:eastAsia="zh-CN"/>
                    </w:rPr>
                    <w:t>25</w:t>
                  </w:r>
                </w:p>
              </w:tc>
              <w:tc>
                <w:tcPr>
                  <w:tcW w:w="968" w:type="dxa"/>
                  <w:tcBorders>
                    <w:tl2br w:val="nil"/>
                    <w:tr2bl w:val="nil"/>
                  </w:tcBorders>
                  <w:noWrap w:val="0"/>
                  <w:tcMar>
                    <w:top w:w="0" w:type="dxa"/>
                    <w:left w:w="57" w:type="dxa"/>
                    <w:bottom w:w="0" w:type="dxa"/>
                    <w:right w:w="57" w:type="dxa"/>
                  </w:tcMar>
                  <w:vAlign w:val="center"/>
                </w:tcPr>
                <w:p w14:paraId="3DB626D4">
                  <w:pPr>
                    <w:pStyle w:val="58"/>
                    <w:bidi w:val="0"/>
                    <w:ind w:firstLine="0" w:firstLineChars="0"/>
                    <w:jc w:val="center"/>
                    <w:rPr>
                      <w:rFonts w:ascii="Times New Roman" w:hAnsi="Times New Roman" w:eastAsia="宋体" w:cs="Times New Roman"/>
                      <w:color w:val="auto"/>
                      <w:kern w:val="2"/>
                      <w:sz w:val="21"/>
                      <w:szCs w:val="21"/>
                      <w:u w:val="none" w:color="auto"/>
                      <w:lang w:val="en-US" w:eastAsia="zh-CN" w:bidi="ar-SA"/>
                    </w:rPr>
                  </w:pPr>
                  <w:r>
                    <w:rPr>
                      <w:rFonts w:hint="eastAsia" w:eastAsia="宋体"/>
                      <w:color w:val="auto"/>
                      <w:sz w:val="21"/>
                      <w:szCs w:val="21"/>
                      <w:u w:val="none" w:color="auto"/>
                      <w:lang w:val="en-US" w:eastAsia="zh-CN"/>
                    </w:rPr>
                    <w:t>49</w:t>
                  </w:r>
                </w:p>
              </w:tc>
              <w:tc>
                <w:tcPr>
                  <w:tcW w:w="1092" w:type="dxa"/>
                  <w:tcBorders>
                    <w:tl2br w:val="nil"/>
                    <w:tr2bl w:val="nil"/>
                  </w:tcBorders>
                  <w:noWrap w:val="0"/>
                  <w:tcMar>
                    <w:top w:w="0" w:type="dxa"/>
                    <w:left w:w="57" w:type="dxa"/>
                    <w:bottom w:w="0" w:type="dxa"/>
                    <w:right w:w="57" w:type="dxa"/>
                  </w:tcMar>
                  <w:vAlign w:val="center"/>
                </w:tcPr>
                <w:p w14:paraId="04FA392F">
                  <w:pPr>
                    <w:pStyle w:val="58"/>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196</w:t>
                  </w:r>
                </w:p>
              </w:tc>
              <w:tc>
                <w:tcPr>
                  <w:tcW w:w="654" w:type="pct"/>
                  <w:tcBorders>
                    <w:tl2br w:val="nil"/>
                    <w:tr2bl w:val="nil"/>
                  </w:tcBorders>
                  <w:noWrap w:val="0"/>
                  <w:tcMar>
                    <w:top w:w="0" w:type="dxa"/>
                    <w:left w:w="57" w:type="dxa"/>
                    <w:bottom w:w="0" w:type="dxa"/>
                    <w:right w:w="57" w:type="dxa"/>
                  </w:tcMar>
                  <w:vAlign w:val="center"/>
                </w:tcPr>
                <w:p w14:paraId="22E227CC">
                  <w:pPr>
                    <w:pStyle w:val="58"/>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96</w:t>
                  </w:r>
                </w:p>
              </w:tc>
              <w:tc>
                <w:tcPr>
                  <w:tcW w:w="550" w:type="pct"/>
                  <w:tcBorders>
                    <w:tl2br w:val="nil"/>
                    <w:tr2bl w:val="nil"/>
                  </w:tcBorders>
                  <w:noWrap w:val="0"/>
                  <w:tcMar>
                    <w:top w:w="0" w:type="dxa"/>
                    <w:left w:w="57" w:type="dxa"/>
                    <w:bottom w:w="0" w:type="dxa"/>
                    <w:right w:w="57" w:type="dxa"/>
                  </w:tcMar>
                  <w:vAlign w:val="center"/>
                </w:tcPr>
                <w:p w14:paraId="18E79FF9">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超标</w:t>
                  </w:r>
                </w:p>
              </w:tc>
            </w:tr>
            <w:tr w14:paraId="522870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06" w:type="pct"/>
                  <w:tcBorders>
                    <w:tl2br w:val="nil"/>
                    <w:tr2bl w:val="nil"/>
                  </w:tcBorders>
                  <w:noWrap w:val="0"/>
                  <w:tcMar>
                    <w:top w:w="0" w:type="dxa"/>
                    <w:left w:w="57" w:type="dxa"/>
                    <w:bottom w:w="0" w:type="dxa"/>
                    <w:right w:w="57" w:type="dxa"/>
                  </w:tcMar>
                  <w:vAlign w:val="center"/>
                </w:tcPr>
                <w:p w14:paraId="44C9B054">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CO</w:t>
                  </w:r>
                </w:p>
              </w:tc>
              <w:tc>
                <w:tcPr>
                  <w:tcW w:w="914" w:type="pct"/>
                  <w:tcBorders>
                    <w:tl2br w:val="nil"/>
                    <w:tr2bl w:val="nil"/>
                  </w:tcBorders>
                  <w:noWrap w:val="0"/>
                  <w:tcMar>
                    <w:top w:w="0" w:type="dxa"/>
                    <w:left w:w="57" w:type="dxa"/>
                    <w:bottom w:w="0" w:type="dxa"/>
                    <w:right w:w="57" w:type="dxa"/>
                  </w:tcMar>
                  <w:vAlign w:val="center"/>
                </w:tcPr>
                <w:p w14:paraId="0076C8AB">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24h平均第95百分位数</w:t>
                  </w:r>
                </w:p>
              </w:tc>
              <w:tc>
                <w:tcPr>
                  <w:tcW w:w="1151" w:type="pct"/>
                  <w:tcBorders>
                    <w:tl2br w:val="nil"/>
                    <w:tr2bl w:val="nil"/>
                  </w:tcBorders>
                  <w:noWrap w:val="0"/>
                  <w:tcMar>
                    <w:top w:w="0" w:type="dxa"/>
                    <w:left w:w="57" w:type="dxa"/>
                    <w:bottom w:w="0" w:type="dxa"/>
                    <w:right w:w="57" w:type="dxa"/>
                  </w:tcMar>
                  <w:vAlign w:val="center"/>
                </w:tcPr>
                <w:p w14:paraId="30BC9248">
                  <w:pPr>
                    <w:pStyle w:val="58"/>
                    <w:bidi w:val="0"/>
                    <w:ind w:firstLine="0" w:firstLineChars="0"/>
                    <w:jc w:val="center"/>
                    <w:rPr>
                      <w:rFonts w:ascii="Times New Roman" w:hAnsi="Times New Roman" w:eastAsia="宋体" w:cs="Times New Roman"/>
                      <w:color w:val="auto"/>
                      <w:kern w:val="2"/>
                      <w:sz w:val="21"/>
                      <w:szCs w:val="21"/>
                      <w:u w:val="none" w:color="auto"/>
                      <w:lang w:val="en-US" w:eastAsia="zh-CN" w:bidi="ar-SA"/>
                    </w:rPr>
                  </w:pPr>
                  <w:r>
                    <w:rPr>
                      <w:color w:val="auto"/>
                      <w:sz w:val="21"/>
                      <w:szCs w:val="21"/>
                      <w:u w:val="none" w:color="auto"/>
                    </w:rPr>
                    <w:t>4000</w:t>
                  </w:r>
                </w:p>
              </w:tc>
              <w:tc>
                <w:tcPr>
                  <w:tcW w:w="968" w:type="dxa"/>
                  <w:tcBorders>
                    <w:tl2br w:val="nil"/>
                    <w:tr2bl w:val="nil"/>
                  </w:tcBorders>
                  <w:noWrap w:val="0"/>
                  <w:tcMar>
                    <w:top w:w="0" w:type="dxa"/>
                    <w:left w:w="57" w:type="dxa"/>
                    <w:bottom w:w="0" w:type="dxa"/>
                    <w:right w:w="57" w:type="dxa"/>
                  </w:tcMar>
                  <w:vAlign w:val="center"/>
                </w:tcPr>
                <w:p w14:paraId="08B0241E">
                  <w:pPr>
                    <w:pStyle w:val="58"/>
                    <w:bidi w:val="0"/>
                    <w:ind w:firstLine="0" w:firstLineChars="0"/>
                    <w:jc w:val="center"/>
                    <w:rPr>
                      <w:rFonts w:ascii="Times New Roman" w:hAnsi="Times New Roman" w:eastAsia="宋体" w:cs="Times New Roman"/>
                      <w:color w:val="auto"/>
                      <w:kern w:val="2"/>
                      <w:sz w:val="21"/>
                      <w:szCs w:val="21"/>
                      <w:u w:val="none" w:color="auto"/>
                      <w:lang w:val="en-US" w:eastAsia="zh-CN" w:bidi="ar-SA"/>
                    </w:rPr>
                  </w:pPr>
                  <w:r>
                    <w:rPr>
                      <w:color w:val="auto"/>
                      <w:sz w:val="21"/>
                      <w:szCs w:val="21"/>
                      <w:u w:val="none" w:color="auto"/>
                    </w:rPr>
                    <w:t>1</w:t>
                  </w:r>
                  <w:r>
                    <w:rPr>
                      <w:rFonts w:hint="eastAsia"/>
                      <w:color w:val="auto"/>
                      <w:sz w:val="21"/>
                      <w:szCs w:val="21"/>
                      <w:u w:val="none" w:color="auto"/>
                      <w:lang w:val="en-US" w:eastAsia="zh-CN"/>
                    </w:rPr>
                    <w:t>4</w:t>
                  </w:r>
                  <w:r>
                    <w:rPr>
                      <w:color w:val="auto"/>
                      <w:sz w:val="21"/>
                      <w:szCs w:val="21"/>
                      <w:u w:val="none" w:color="auto"/>
                    </w:rPr>
                    <w:t>00</w:t>
                  </w:r>
                </w:p>
              </w:tc>
              <w:tc>
                <w:tcPr>
                  <w:tcW w:w="1092" w:type="dxa"/>
                  <w:tcBorders>
                    <w:tl2br w:val="nil"/>
                    <w:tr2bl w:val="nil"/>
                  </w:tcBorders>
                  <w:noWrap w:val="0"/>
                  <w:tcMar>
                    <w:top w:w="0" w:type="dxa"/>
                    <w:left w:w="57" w:type="dxa"/>
                    <w:bottom w:w="0" w:type="dxa"/>
                    <w:right w:w="57" w:type="dxa"/>
                  </w:tcMar>
                  <w:vAlign w:val="center"/>
                </w:tcPr>
                <w:p w14:paraId="06CBE87E">
                  <w:pPr>
                    <w:pStyle w:val="58"/>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35</w:t>
                  </w:r>
                </w:p>
              </w:tc>
              <w:tc>
                <w:tcPr>
                  <w:tcW w:w="654" w:type="pct"/>
                  <w:tcBorders>
                    <w:tl2br w:val="nil"/>
                    <w:tr2bl w:val="nil"/>
                  </w:tcBorders>
                  <w:noWrap w:val="0"/>
                  <w:tcMar>
                    <w:top w:w="0" w:type="dxa"/>
                    <w:left w:w="57" w:type="dxa"/>
                    <w:bottom w:w="0" w:type="dxa"/>
                    <w:right w:w="57" w:type="dxa"/>
                  </w:tcMar>
                  <w:vAlign w:val="center"/>
                </w:tcPr>
                <w:p w14:paraId="442C734F">
                  <w:pPr>
                    <w:pStyle w:val="58"/>
                    <w:bidi w:val="0"/>
                    <w:ind w:firstLine="0" w:firstLineChars="0"/>
                    <w:jc w:val="center"/>
                    <w:rPr>
                      <w:rFonts w:ascii="Times New Roman" w:hAnsi="Times New Roman" w:eastAsia="宋体" w:cs="Times New Roman"/>
                      <w:color w:val="auto"/>
                      <w:sz w:val="21"/>
                      <w:szCs w:val="21"/>
                      <w:u w:val="none" w:color="auto"/>
                      <w:lang w:val="zh-CN" w:eastAsia="zh-CN"/>
                    </w:rPr>
                  </w:pPr>
                  <w:r>
                    <w:rPr>
                      <w:rFonts w:ascii="Times New Roman" w:hAnsi="Times New Roman" w:eastAsia="宋体" w:cs="Times New Roman"/>
                      <w:color w:val="auto"/>
                      <w:sz w:val="21"/>
                      <w:szCs w:val="21"/>
                      <w:u w:val="none" w:color="auto"/>
                      <w:lang w:val="zh-CN"/>
                    </w:rPr>
                    <w:t>/</w:t>
                  </w:r>
                </w:p>
              </w:tc>
              <w:tc>
                <w:tcPr>
                  <w:tcW w:w="550" w:type="pct"/>
                  <w:tcBorders>
                    <w:tl2br w:val="nil"/>
                    <w:tr2bl w:val="nil"/>
                  </w:tcBorders>
                  <w:noWrap w:val="0"/>
                  <w:tcMar>
                    <w:top w:w="0" w:type="dxa"/>
                    <w:left w:w="57" w:type="dxa"/>
                    <w:bottom w:w="0" w:type="dxa"/>
                    <w:right w:w="57" w:type="dxa"/>
                  </w:tcMar>
                  <w:vAlign w:val="center"/>
                </w:tcPr>
                <w:p w14:paraId="2415274C">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达标</w:t>
                  </w:r>
                </w:p>
              </w:tc>
            </w:tr>
            <w:tr w14:paraId="0FACBEF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406" w:type="pct"/>
                  <w:tcBorders>
                    <w:tl2br w:val="nil"/>
                    <w:tr2bl w:val="nil"/>
                  </w:tcBorders>
                  <w:noWrap w:val="0"/>
                  <w:tcMar>
                    <w:top w:w="0" w:type="dxa"/>
                    <w:left w:w="57" w:type="dxa"/>
                    <w:bottom w:w="0" w:type="dxa"/>
                    <w:right w:w="57" w:type="dxa"/>
                  </w:tcMar>
                  <w:vAlign w:val="center"/>
                </w:tcPr>
                <w:p w14:paraId="020AE43B">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O</w:t>
                  </w:r>
                  <w:r>
                    <w:rPr>
                      <w:sz w:val="21"/>
                      <w:szCs w:val="21"/>
                      <w:u w:val="none" w:color="auto"/>
                      <w:vertAlign w:val="subscript"/>
                    </w:rPr>
                    <w:t>3</w:t>
                  </w:r>
                </w:p>
              </w:tc>
              <w:tc>
                <w:tcPr>
                  <w:tcW w:w="914" w:type="pct"/>
                  <w:tcBorders>
                    <w:tl2br w:val="nil"/>
                    <w:tr2bl w:val="nil"/>
                  </w:tcBorders>
                  <w:noWrap w:val="0"/>
                  <w:tcMar>
                    <w:top w:w="0" w:type="dxa"/>
                    <w:left w:w="57" w:type="dxa"/>
                    <w:bottom w:w="0" w:type="dxa"/>
                    <w:right w:w="57" w:type="dxa"/>
                  </w:tcMar>
                  <w:vAlign w:val="center"/>
                </w:tcPr>
                <w:p w14:paraId="2F2AD187">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日最大8h平均第90百分位数</w:t>
                  </w:r>
                </w:p>
              </w:tc>
              <w:tc>
                <w:tcPr>
                  <w:tcW w:w="1151" w:type="pct"/>
                  <w:tcBorders>
                    <w:tl2br w:val="nil"/>
                    <w:tr2bl w:val="nil"/>
                  </w:tcBorders>
                  <w:noWrap w:val="0"/>
                  <w:tcMar>
                    <w:top w:w="0" w:type="dxa"/>
                    <w:left w:w="57" w:type="dxa"/>
                    <w:bottom w:w="0" w:type="dxa"/>
                    <w:right w:w="57" w:type="dxa"/>
                  </w:tcMar>
                  <w:vAlign w:val="center"/>
                </w:tcPr>
                <w:p w14:paraId="6F93349C">
                  <w:pPr>
                    <w:pStyle w:val="58"/>
                    <w:bidi w:val="0"/>
                    <w:ind w:firstLine="0" w:firstLineChars="0"/>
                    <w:jc w:val="center"/>
                    <w:rPr>
                      <w:rFonts w:ascii="Times New Roman" w:hAnsi="Times New Roman" w:eastAsia="宋体" w:cs="Times New Roman"/>
                      <w:color w:val="auto"/>
                      <w:kern w:val="2"/>
                      <w:sz w:val="21"/>
                      <w:szCs w:val="21"/>
                      <w:u w:val="none" w:color="auto"/>
                      <w:lang w:val="en-US" w:eastAsia="zh-CN" w:bidi="ar-SA"/>
                    </w:rPr>
                  </w:pPr>
                  <w:r>
                    <w:rPr>
                      <w:color w:val="auto"/>
                      <w:sz w:val="21"/>
                      <w:szCs w:val="21"/>
                      <w:u w:val="none" w:color="auto"/>
                    </w:rPr>
                    <w:t>160</w:t>
                  </w:r>
                </w:p>
              </w:tc>
              <w:tc>
                <w:tcPr>
                  <w:tcW w:w="968" w:type="dxa"/>
                  <w:tcBorders>
                    <w:tl2br w:val="nil"/>
                    <w:tr2bl w:val="nil"/>
                  </w:tcBorders>
                  <w:noWrap w:val="0"/>
                  <w:tcMar>
                    <w:top w:w="0" w:type="dxa"/>
                    <w:left w:w="57" w:type="dxa"/>
                    <w:bottom w:w="0" w:type="dxa"/>
                    <w:right w:w="57" w:type="dxa"/>
                  </w:tcMar>
                  <w:vAlign w:val="center"/>
                </w:tcPr>
                <w:p w14:paraId="5624954D">
                  <w:pPr>
                    <w:pStyle w:val="58"/>
                    <w:bidi w:val="0"/>
                    <w:ind w:firstLine="0" w:firstLineChars="0"/>
                    <w:jc w:val="center"/>
                    <w:rPr>
                      <w:rFonts w:ascii="Times New Roman" w:hAnsi="Times New Roman" w:eastAsia="宋体" w:cs="Times New Roman"/>
                      <w:color w:val="auto"/>
                      <w:kern w:val="2"/>
                      <w:sz w:val="21"/>
                      <w:szCs w:val="21"/>
                      <w:u w:val="none" w:color="auto"/>
                      <w:lang w:val="en-US" w:eastAsia="zh-CN" w:bidi="ar-SA"/>
                    </w:rPr>
                  </w:pPr>
                  <w:r>
                    <w:rPr>
                      <w:color w:val="auto"/>
                      <w:sz w:val="21"/>
                      <w:szCs w:val="21"/>
                      <w:u w:val="none" w:color="auto"/>
                    </w:rPr>
                    <w:t>1</w:t>
                  </w:r>
                  <w:r>
                    <w:rPr>
                      <w:rFonts w:hint="eastAsia"/>
                      <w:color w:val="auto"/>
                      <w:sz w:val="21"/>
                      <w:szCs w:val="21"/>
                      <w:u w:val="none" w:color="auto"/>
                      <w:lang w:val="en-US" w:eastAsia="zh-CN"/>
                    </w:rPr>
                    <w:t>84</w:t>
                  </w:r>
                </w:p>
              </w:tc>
              <w:tc>
                <w:tcPr>
                  <w:tcW w:w="1092" w:type="dxa"/>
                  <w:tcBorders>
                    <w:tl2br w:val="nil"/>
                    <w:tr2bl w:val="nil"/>
                  </w:tcBorders>
                  <w:noWrap w:val="0"/>
                  <w:tcMar>
                    <w:top w:w="0" w:type="dxa"/>
                    <w:left w:w="57" w:type="dxa"/>
                    <w:bottom w:w="0" w:type="dxa"/>
                    <w:right w:w="57" w:type="dxa"/>
                  </w:tcMar>
                  <w:vAlign w:val="center"/>
                </w:tcPr>
                <w:p w14:paraId="5EFD3C8C">
                  <w:pPr>
                    <w:pStyle w:val="58"/>
                    <w:bidi w:val="0"/>
                    <w:ind w:firstLine="0" w:firstLineChars="0"/>
                    <w:jc w:val="center"/>
                    <w:rPr>
                      <w:rFonts w:hint="eastAsia"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115</w:t>
                  </w:r>
                </w:p>
              </w:tc>
              <w:tc>
                <w:tcPr>
                  <w:tcW w:w="654" w:type="pct"/>
                  <w:tcBorders>
                    <w:tl2br w:val="nil"/>
                    <w:tr2bl w:val="nil"/>
                  </w:tcBorders>
                  <w:noWrap w:val="0"/>
                  <w:tcMar>
                    <w:top w:w="0" w:type="dxa"/>
                    <w:left w:w="57" w:type="dxa"/>
                    <w:bottom w:w="0" w:type="dxa"/>
                    <w:right w:w="57" w:type="dxa"/>
                  </w:tcMar>
                  <w:vAlign w:val="center"/>
                </w:tcPr>
                <w:p w14:paraId="52EECB50">
                  <w:pPr>
                    <w:pStyle w:val="58"/>
                    <w:bidi w:val="0"/>
                    <w:ind w:firstLine="0" w:firstLineChars="0"/>
                    <w:jc w:val="center"/>
                    <w:rPr>
                      <w:rFonts w:hint="default" w:ascii="Times New Roman" w:hAnsi="Times New Roman" w:eastAsia="宋体" w:cs="Times New Roman"/>
                      <w:color w:val="auto"/>
                      <w:sz w:val="21"/>
                      <w:szCs w:val="21"/>
                      <w:u w:val="none" w:color="auto"/>
                      <w:lang w:val="en-US" w:eastAsia="zh-CN"/>
                    </w:rPr>
                  </w:pPr>
                  <w:r>
                    <w:rPr>
                      <w:rFonts w:hint="eastAsia" w:ascii="Times New Roman" w:hAnsi="Times New Roman" w:eastAsia="宋体" w:cs="Times New Roman"/>
                      <w:color w:val="auto"/>
                      <w:sz w:val="21"/>
                      <w:szCs w:val="21"/>
                      <w:u w:val="none" w:color="auto"/>
                      <w:lang w:val="en-US" w:eastAsia="zh-CN"/>
                    </w:rPr>
                    <w:t>15</w:t>
                  </w:r>
                </w:p>
              </w:tc>
              <w:tc>
                <w:tcPr>
                  <w:tcW w:w="550" w:type="pct"/>
                  <w:tcBorders>
                    <w:tl2br w:val="nil"/>
                    <w:tr2bl w:val="nil"/>
                  </w:tcBorders>
                  <w:noWrap w:val="0"/>
                  <w:tcMar>
                    <w:top w:w="0" w:type="dxa"/>
                    <w:left w:w="57" w:type="dxa"/>
                    <w:bottom w:w="0" w:type="dxa"/>
                    <w:right w:w="57" w:type="dxa"/>
                  </w:tcMar>
                  <w:vAlign w:val="center"/>
                </w:tcPr>
                <w:p w14:paraId="30E86351">
                  <w:pPr>
                    <w:pStyle w:val="58"/>
                    <w:bidi w:val="0"/>
                    <w:ind w:firstLine="0" w:firstLineChars="0"/>
                    <w:jc w:val="center"/>
                    <w:rPr>
                      <w:rFonts w:ascii="Times New Roman" w:hAnsi="Times New Roman" w:eastAsia="宋体" w:cs="Times New Roman"/>
                      <w:kern w:val="2"/>
                      <w:sz w:val="21"/>
                      <w:szCs w:val="21"/>
                      <w:u w:val="none" w:color="auto"/>
                      <w:lang w:val="en-US" w:eastAsia="zh-CN" w:bidi="ar-SA"/>
                    </w:rPr>
                  </w:pPr>
                  <w:r>
                    <w:rPr>
                      <w:sz w:val="21"/>
                      <w:szCs w:val="21"/>
                      <w:u w:val="none" w:color="auto"/>
                    </w:rPr>
                    <w:t>超标</w:t>
                  </w:r>
                </w:p>
              </w:tc>
            </w:tr>
          </w:tbl>
          <w:p w14:paraId="70E9E957">
            <w:pPr>
              <w:pStyle w:val="19"/>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Times New Roman" w:hAnsi="Times New Roman" w:eastAsia="宋体"/>
                <w:smallCaps w:val="0"/>
                <w:color w:val="auto"/>
                <w:sz w:val="24"/>
                <w:szCs w:val="24"/>
                <w:u w:val="none" w:color="auto"/>
              </w:rPr>
            </w:pPr>
            <w:r>
              <w:rPr>
                <w:rFonts w:hint="eastAsia" w:ascii="Times New Roman" w:hAnsi="Times New Roman" w:eastAsia="宋体" w:cs="Times New Roman"/>
                <w:b w:val="0"/>
                <w:bCs w:val="0"/>
                <w:smallCaps w:val="0"/>
                <w:snapToGrid w:val="0"/>
                <w:color w:val="auto"/>
                <w:sz w:val="24"/>
                <w:szCs w:val="24"/>
                <w:highlight w:val="none"/>
                <w:u w:val="none" w:color="auto"/>
                <w:lang w:val="en-US" w:eastAsia="zh-CN"/>
              </w:rPr>
              <w:t>由上表可知，</w:t>
            </w:r>
            <w:r>
              <w:rPr>
                <w:rFonts w:hint="eastAsia" w:ascii="Times New Roman" w:hAnsi="Times New Roman" w:cs="Times New Roman"/>
                <w:b w:val="0"/>
                <w:bCs w:val="0"/>
                <w:smallCaps w:val="0"/>
                <w:snapToGrid w:val="0"/>
                <w:color w:val="auto"/>
                <w:sz w:val="24"/>
                <w:szCs w:val="24"/>
                <w:highlight w:val="none"/>
                <w:u w:val="none" w:color="auto"/>
                <w:lang w:val="en-US" w:eastAsia="zh-CN"/>
              </w:rPr>
              <w:t>可</w:t>
            </w:r>
            <w:r>
              <w:rPr>
                <w:rFonts w:hint="default" w:ascii="Times New Roman" w:hAnsi="Times New Roman" w:eastAsia="宋体" w:cs="Times New Roman"/>
                <w:b w:val="0"/>
                <w:bCs w:val="0"/>
                <w:smallCaps w:val="0"/>
                <w:snapToGrid w:val="0"/>
                <w:color w:val="auto"/>
                <w:sz w:val="24"/>
                <w:szCs w:val="24"/>
                <w:highlight w:val="none"/>
                <w:u w:val="none" w:color="auto"/>
                <w:lang w:val="en-US" w:eastAsia="zh-CN"/>
              </w:rPr>
              <w:t>吸入颗粒物（PM</w:t>
            </w:r>
            <w:r>
              <w:rPr>
                <w:rFonts w:hint="default" w:ascii="Times New Roman" w:hAnsi="Times New Roman" w:eastAsia="宋体" w:cs="Times New Roman"/>
                <w:b w:val="0"/>
                <w:bCs w:val="0"/>
                <w:smallCaps w:val="0"/>
                <w:snapToGrid w:val="0"/>
                <w:color w:val="auto"/>
                <w:sz w:val="24"/>
                <w:szCs w:val="24"/>
                <w:highlight w:val="none"/>
                <w:u w:val="none" w:color="auto"/>
                <w:vertAlign w:val="subscript"/>
                <w:lang w:val="en-US" w:eastAsia="zh-CN"/>
              </w:rPr>
              <w:t>10</w:t>
            </w:r>
            <w:r>
              <w:rPr>
                <w:rFonts w:hint="default" w:ascii="Times New Roman" w:hAnsi="Times New Roman" w:eastAsia="宋体" w:cs="Times New Roman"/>
                <w:b w:val="0"/>
                <w:bCs w:val="0"/>
                <w:smallCaps w:val="0"/>
                <w:snapToGrid w:val="0"/>
                <w:color w:val="auto"/>
                <w:sz w:val="24"/>
                <w:szCs w:val="24"/>
                <w:highlight w:val="none"/>
                <w:u w:val="none" w:color="auto"/>
                <w:lang w:val="en-US" w:eastAsia="zh-CN"/>
              </w:rPr>
              <w:t>）、细颗粒物（PM</w:t>
            </w:r>
            <w:r>
              <w:rPr>
                <w:rFonts w:hint="default" w:ascii="Times New Roman" w:hAnsi="Times New Roman" w:eastAsia="宋体" w:cs="Times New Roman"/>
                <w:b w:val="0"/>
                <w:bCs w:val="0"/>
                <w:smallCaps w:val="0"/>
                <w:snapToGrid w:val="0"/>
                <w:color w:val="auto"/>
                <w:sz w:val="24"/>
                <w:szCs w:val="24"/>
                <w:highlight w:val="none"/>
                <w:u w:val="none" w:color="auto"/>
                <w:vertAlign w:val="subscript"/>
                <w:lang w:val="en-US" w:eastAsia="zh-CN"/>
              </w:rPr>
              <w:t>2.5</w:t>
            </w:r>
            <w:r>
              <w:rPr>
                <w:rFonts w:hint="default" w:ascii="Times New Roman" w:hAnsi="Times New Roman" w:eastAsia="宋体" w:cs="Times New Roman"/>
                <w:b w:val="0"/>
                <w:bCs w:val="0"/>
                <w:smallCaps w:val="0"/>
                <w:snapToGrid w:val="0"/>
                <w:color w:val="auto"/>
                <w:sz w:val="24"/>
                <w:szCs w:val="24"/>
                <w:highlight w:val="none"/>
                <w:u w:val="none" w:color="auto"/>
                <w:lang w:val="en-US" w:eastAsia="zh-CN"/>
              </w:rPr>
              <w:t>）、臭氧浓度均超出《环境空气质量标准》（GB3095-2012）表1及修改单中二级标准要求</w:t>
            </w:r>
            <w:r>
              <w:rPr>
                <w:rFonts w:hint="eastAsia" w:ascii="Times New Roman" w:hAnsi="Times New Roman" w:cs="Times New Roman"/>
                <w:b w:val="0"/>
                <w:bCs w:val="0"/>
                <w:smallCaps w:val="0"/>
                <w:snapToGrid w:val="0"/>
                <w:color w:val="auto"/>
                <w:sz w:val="24"/>
                <w:szCs w:val="24"/>
                <w:highlight w:val="none"/>
                <w:u w:val="none" w:color="auto"/>
                <w:lang w:val="en-US" w:eastAsia="zh-CN"/>
              </w:rPr>
              <w:t>，</w:t>
            </w:r>
            <w:r>
              <w:rPr>
                <w:rFonts w:hint="default" w:ascii="Times New Roman" w:hAnsi="Times New Roman" w:eastAsia="宋体" w:cs="Times New Roman"/>
                <w:b w:val="0"/>
                <w:bCs w:val="0"/>
                <w:smallCaps w:val="0"/>
                <w:snapToGrid w:val="0"/>
                <w:color w:val="auto"/>
                <w:sz w:val="24"/>
                <w:szCs w:val="24"/>
                <w:highlight w:val="none"/>
                <w:u w:val="none" w:color="auto"/>
                <w:lang w:val="en-US" w:eastAsia="zh-CN"/>
              </w:rPr>
              <w:t>二氧化硫、二氧化氮、一氧化碳浓度未超出《环境空气质量标准》（GB3095-2012）表1及修改单中二级标准要求</w:t>
            </w:r>
            <w:r>
              <w:rPr>
                <w:rFonts w:hint="eastAsia" w:ascii="Times New Roman" w:hAnsi="Times New Roman" w:eastAsia="宋体" w:cs="Times New Roman"/>
                <w:b w:val="0"/>
                <w:bCs w:val="0"/>
                <w:smallCaps w:val="0"/>
                <w:snapToGrid w:val="0"/>
                <w:color w:val="auto"/>
                <w:sz w:val="24"/>
                <w:szCs w:val="24"/>
                <w:highlight w:val="none"/>
                <w:u w:val="none" w:color="auto"/>
                <w:lang w:val="en-US" w:eastAsia="zh-CN"/>
              </w:rPr>
              <w:t>。</w:t>
            </w:r>
            <w:r>
              <w:rPr>
                <w:rFonts w:hint="default" w:ascii="Times New Roman" w:hAnsi="Times New Roman" w:eastAsia="宋体" w:cs="Times New Roman"/>
                <w:b w:val="0"/>
                <w:bCs w:val="0"/>
                <w:smallCaps w:val="0"/>
                <w:snapToGrid w:val="0"/>
                <w:color w:val="auto"/>
                <w:sz w:val="24"/>
                <w:szCs w:val="24"/>
                <w:highlight w:val="none"/>
                <w:u w:val="none" w:color="auto"/>
                <w:lang w:val="en-US" w:eastAsia="zh-CN"/>
              </w:rPr>
              <w:t>根据《环境影响评价技术导则-大气环境》（HJ2.2-2018），六项污染物全部达标才为城市环境空气质量达标，因此，企业所在区域为不达标区，环境空气质量为不达标。</w:t>
            </w:r>
          </w:p>
          <w:p w14:paraId="087282A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imes New Roman" w:hAnsi="Times New Roman" w:eastAsia="宋体" w:cs="Times New Roman"/>
                <w:b w:val="0"/>
                <w:bCs w:val="0"/>
                <w:smallCaps w:val="0"/>
                <w:snapToGrid w:val="0"/>
                <w:color w:val="auto"/>
                <w:sz w:val="24"/>
                <w:szCs w:val="24"/>
                <w:highlight w:val="none"/>
                <w:u w:val="single" w:color="auto"/>
                <w:lang w:val="en-US" w:eastAsia="zh-CN"/>
              </w:rPr>
            </w:pPr>
            <w:r>
              <w:rPr>
                <w:rFonts w:hint="eastAsia" w:cs="宋体"/>
                <w:spacing w:val="0"/>
                <w:position w:val="0"/>
                <w:sz w:val="24"/>
                <w:szCs w:val="24"/>
                <w:u w:val="none" w:color="auto"/>
                <w:lang w:eastAsia="zh-CN"/>
              </w:rPr>
              <w:t>经对比</w:t>
            </w:r>
            <w:r>
              <w:rPr>
                <w:rFonts w:hint="eastAsia" w:ascii="Times New Roman" w:hAnsi="Times New Roman" w:eastAsia="宋体" w:cs="宋体"/>
                <w:spacing w:val="0"/>
                <w:position w:val="0"/>
                <w:sz w:val="24"/>
                <w:szCs w:val="24"/>
                <w:u w:val="none" w:color="auto"/>
              </w:rPr>
              <w:t>《环境空气质量标准》（GB3095-2026）</w:t>
            </w:r>
            <w:r>
              <w:rPr>
                <w:rFonts w:hint="eastAsia" w:cs="宋体"/>
                <w:spacing w:val="0"/>
                <w:position w:val="0"/>
                <w:sz w:val="24"/>
                <w:szCs w:val="24"/>
                <w:u w:val="none" w:color="auto"/>
                <w:lang w:eastAsia="zh-CN"/>
              </w:rPr>
              <w:t>，</w:t>
            </w:r>
            <w:r>
              <w:rPr>
                <w:rFonts w:hint="eastAsia" w:ascii="Times New Roman" w:hAnsi="Times New Roman" w:cs="Times New Roman"/>
                <w:b w:val="0"/>
                <w:bCs w:val="0"/>
                <w:smallCaps w:val="0"/>
                <w:snapToGrid w:val="0"/>
                <w:color w:val="auto"/>
                <w:sz w:val="24"/>
                <w:szCs w:val="24"/>
                <w:highlight w:val="none"/>
                <w:u w:val="none" w:color="auto"/>
                <w:lang w:val="en-US" w:eastAsia="zh-CN"/>
              </w:rPr>
              <w:t>可</w:t>
            </w:r>
            <w:r>
              <w:rPr>
                <w:rFonts w:hint="default" w:ascii="Times New Roman" w:hAnsi="Times New Roman" w:eastAsia="宋体" w:cs="Times New Roman"/>
                <w:b w:val="0"/>
                <w:bCs w:val="0"/>
                <w:smallCaps w:val="0"/>
                <w:snapToGrid w:val="0"/>
                <w:color w:val="auto"/>
                <w:sz w:val="24"/>
                <w:szCs w:val="24"/>
                <w:highlight w:val="none"/>
                <w:u w:val="none" w:color="auto"/>
                <w:lang w:val="en-US" w:eastAsia="zh-CN"/>
              </w:rPr>
              <w:t>吸入颗粒物（PM</w:t>
            </w:r>
            <w:r>
              <w:rPr>
                <w:rFonts w:hint="default" w:ascii="Times New Roman" w:hAnsi="Times New Roman" w:eastAsia="宋体" w:cs="Times New Roman"/>
                <w:b w:val="0"/>
                <w:bCs w:val="0"/>
                <w:smallCaps w:val="0"/>
                <w:snapToGrid w:val="0"/>
                <w:color w:val="auto"/>
                <w:sz w:val="24"/>
                <w:szCs w:val="24"/>
                <w:highlight w:val="none"/>
                <w:u w:val="none" w:color="auto"/>
                <w:vertAlign w:val="subscript"/>
                <w:lang w:val="en-US" w:eastAsia="zh-CN"/>
              </w:rPr>
              <w:t>10</w:t>
            </w:r>
            <w:r>
              <w:rPr>
                <w:rFonts w:hint="default" w:ascii="Times New Roman" w:hAnsi="Times New Roman" w:eastAsia="宋体" w:cs="Times New Roman"/>
                <w:b w:val="0"/>
                <w:bCs w:val="0"/>
                <w:smallCaps w:val="0"/>
                <w:snapToGrid w:val="0"/>
                <w:color w:val="auto"/>
                <w:sz w:val="24"/>
                <w:szCs w:val="24"/>
                <w:highlight w:val="none"/>
                <w:u w:val="none" w:color="auto"/>
                <w:lang w:val="en-US" w:eastAsia="zh-CN"/>
              </w:rPr>
              <w:t>）、细颗粒物（PM</w:t>
            </w:r>
            <w:r>
              <w:rPr>
                <w:rFonts w:hint="default" w:ascii="Times New Roman" w:hAnsi="Times New Roman" w:eastAsia="宋体" w:cs="Times New Roman"/>
                <w:b w:val="0"/>
                <w:bCs w:val="0"/>
                <w:smallCaps w:val="0"/>
                <w:snapToGrid w:val="0"/>
                <w:color w:val="auto"/>
                <w:sz w:val="24"/>
                <w:szCs w:val="24"/>
                <w:highlight w:val="none"/>
                <w:u w:val="none" w:color="auto"/>
                <w:vertAlign w:val="subscript"/>
                <w:lang w:val="en-US" w:eastAsia="zh-CN"/>
              </w:rPr>
              <w:t>2.5</w:t>
            </w:r>
            <w:r>
              <w:rPr>
                <w:rFonts w:hint="default" w:ascii="Times New Roman" w:hAnsi="Times New Roman" w:eastAsia="宋体" w:cs="Times New Roman"/>
                <w:b w:val="0"/>
                <w:bCs w:val="0"/>
                <w:smallCaps w:val="0"/>
                <w:snapToGrid w:val="0"/>
                <w:color w:val="auto"/>
                <w:sz w:val="24"/>
                <w:szCs w:val="24"/>
                <w:highlight w:val="none"/>
                <w:u w:val="none" w:color="auto"/>
                <w:lang w:val="en-US" w:eastAsia="zh-CN"/>
              </w:rPr>
              <w:t>）、臭氧浓度均超出</w:t>
            </w:r>
            <w:r>
              <w:rPr>
                <w:rFonts w:hint="eastAsia" w:ascii="Times New Roman" w:hAnsi="Times New Roman" w:cs="宋体"/>
                <w:spacing w:val="0"/>
                <w:position w:val="0"/>
                <w:sz w:val="24"/>
                <w:szCs w:val="24"/>
                <w:u w:val="none" w:color="auto"/>
                <w:lang w:eastAsia="zh-CN"/>
              </w:rPr>
              <w:t>表</w:t>
            </w:r>
            <w:r>
              <w:rPr>
                <w:rFonts w:hint="eastAsia" w:ascii="Times New Roman" w:hAnsi="Times New Roman" w:cs="宋体"/>
                <w:spacing w:val="0"/>
                <w:position w:val="0"/>
                <w:sz w:val="24"/>
                <w:szCs w:val="24"/>
                <w:u w:val="none" w:color="auto"/>
                <w:lang w:val="en-US" w:eastAsia="zh-CN"/>
              </w:rPr>
              <w:t>1</w:t>
            </w:r>
            <w:r>
              <w:rPr>
                <w:rFonts w:hint="eastAsia" w:ascii="Times New Roman" w:hAnsi="Times New Roman" w:eastAsia="宋体" w:cs="宋体"/>
                <w:spacing w:val="0"/>
                <w:position w:val="0"/>
                <w:sz w:val="24"/>
                <w:szCs w:val="24"/>
                <w:u w:val="none" w:color="auto"/>
              </w:rPr>
              <w:t>中过渡阶段浓度限值二级标准</w:t>
            </w:r>
            <w:r>
              <w:rPr>
                <w:rFonts w:hint="eastAsia" w:cs="宋体"/>
                <w:spacing w:val="0"/>
                <w:position w:val="0"/>
                <w:sz w:val="24"/>
                <w:szCs w:val="24"/>
                <w:u w:val="none" w:color="auto"/>
                <w:lang w:eastAsia="zh-CN"/>
              </w:rPr>
              <w:t>和</w:t>
            </w:r>
            <w:r>
              <w:rPr>
                <w:rFonts w:hint="eastAsia" w:cs="宋体"/>
                <w:spacing w:val="0"/>
                <w:position w:val="0"/>
                <w:sz w:val="24"/>
                <w:szCs w:val="24"/>
                <w:u w:val="none" w:color="auto"/>
                <w:lang w:val="en-US" w:eastAsia="zh-CN"/>
              </w:rPr>
              <w:t>2031年1月1日后二级标准限值</w:t>
            </w:r>
            <w:r>
              <w:rPr>
                <w:rFonts w:hint="eastAsia" w:ascii="Times New Roman" w:hAnsi="Times New Roman" w:eastAsia="宋体" w:cs="Times New Roman"/>
                <w:b w:val="0"/>
                <w:bCs w:val="0"/>
                <w:smallCaps w:val="0"/>
                <w:snapToGrid w:val="0"/>
                <w:color w:val="auto"/>
                <w:sz w:val="24"/>
                <w:szCs w:val="24"/>
                <w:highlight w:val="none"/>
                <w:u w:val="none" w:color="auto"/>
                <w:lang w:val="en-US" w:eastAsia="zh-CN"/>
              </w:rPr>
              <w:t>，</w:t>
            </w:r>
            <w:r>
              <w:rPr>
                <w:rFonts w:hint="default" w:ascii="Times New Roman" w:hAnsi="Times New Roman" w:eastAsia="宋体" w:cs="Times New Roman"/>
                <w:b w:val="0"/>
                <w:bCs w:val="0"/>
                <w:smallCaps w:val="0"/>
                <w:snapToGrid w:val="0"/>
                <w:color w:val="auto"/>
                <w:sz w:val="24"/>
                <w:szCs w:val="24"/>
                <w:highlight w:val="none"/>
                <w:u w:val="none" w:color="auto"/>
                <w:lang w:val="en-US" w:eastAsia="zh-CN"/>
              </w:rPr>
              <w:t>二氧化硫、二氧化氮、一氧化碳浓度未超出</w:t>
            </w:r>
            <w:r>
              <w:rPr>
                <w:rFonts w:hint="eastAsia" w:ascii="Times New Roman" w:hAnsi="Times New Roman" w:cs="宋体"/>
                <w:spacing w:val="0"/>
                <w:position w:val="0"/>
                <w:sz w:val="24"/>
                <w:szCs w:val="24"/>
                <w:u w:val="none" w:color="auto"/>
                <w:lang w:eastAsia="zh-CN"/>
              </w:rPr>
              <w:t>表</w:t>
            </w:r>
            <w:r>
              <w:rPr>
                <w:rFonts w:hint="eastAsia" w:ascii="Times New Roman" w:hAnsi="Times New Roman" w:cs="宋体"/>
                <w:spacing w:val="0"/>
                <w:position w:val="0"/>
                <w:sz w:val="24"/>
                <w:szCs w:val="24"/>
                <w:u w:val="none" w:color="auto"/>
                <w:lang w:val="en-US" w:eastAsia="zh-CN"/>
              </w:rPr>
              <w:t>1</w:t>
            </w:r>
            <w:r>
              <w:rPr>
                <w:rFonts w:hint="eastAsia" w:ascii="Times New Roman" w:hAnsi="Times New Roman" w:eastAsia="宋体" w:cs="宋体"/>
                <w:spacing w:val="0"/>
                <w:position w:val="0"/>
                <w:sz w:val="24"/>
                <w:szCs w:val="24"/>
                <w:u w:val="none" w:color="auto"/>
              </w:rPr>
              <w:t>中过渡阶段浓度限值二级标准</w:t>
            </w:r>
            <w:r>
              <w:rPr>
                <w:rFonts w:hint="eastAsia" w:cs="宋体"/>
                <w:spacing w:val="0"/>
                <w:position w:val="0"/>
                <w:sz w:val="24"/>
                <w:szCs w:val="24"/>
                <w:u w:val="none" w:color="auto"/>
                <w:lang w:eastAsia="zh-CN"/>
              </w:rPr>
              <w:t>和</w:t>
            </w:r>
            <w:r>
              <w:rPr>
                <w:rFonts w:hint="eastAsia" w:cs="宋体"/>
                <w:spacing w:val="0"/>
                <w:position w:val="0"/>
                <w:sz w:val="24"/>
                <w:szCs w:val="24"/>
                <w:u w:val="none" w:color="auto"/>
                <w:lang w:val="en-US" w:eastAsia="zh-CN"/>
              </w:rPr>
              <w:t>2031年1月1日后二级标准限值。</w:t>
            </w:r>
          </w:p>
          <w:p w14:paraId="466C7D69">
            <w:pPr>
              <w:pStyle w:val="100"/>
              <w:snapToGrid w:val="0"/>
              <w:ind w:left="0" w:leftChars="0"/>
              <w:rPr>
                <w:color w:val="auto"/>
                <w:u w:val="none"/>
                <w:lang w:val="zh-CN"/>
              </w:rPr>
            </w:pPr>
            <w:r>
              <w:rPr>
                <w:rFonts w:hint="eastAsia"/>
                <w:color w:val="auto"/>
                <w:u w:val="none"/>
                <w:lang w:val="zh-CN"/>
              </w:rPr>
              <w:t>为切实改善空气质量，持续改善全市环境空气质量，打赢大气污染防治攻坚战，安阳市制定《安阳市202</w:t>
            </w:r>
            <w:r>
              <w:rPr>
                <w:rFonts w:hint="eastAsia"/>
                <w:color w:val="auto"/>
                <w:u w:val="none"/>
                <w:lang w:val="en-US" w:eastAsia="zh-CN"/>
              </w:rPr>
              <w:t>6</w:t>
            </w:r>
            <w:r>
              <w:rPr>
                <w:rFonts w:hint="eastAsia"/>
                <w:color w:val="auto"/>
                <w:u w:val="none"/>
                <w:lang w:val="zh-CN"/>
              </w:rPr>
              <w:t>年大气污染防治攻坚行动方案》（安环委(202</w:t>
            </w:r>
            <w:r>
              <w:rPr>
                <w:rFonts w:hint="eastAsia"/>
                <w:color w:val="auto"/>
                <w:u w:val="none"/>
                <w:lang w:val="en-US" w:eastAsia="zh-CN"/>
              </w:rPr>
              <w:t>6</w:t>
            </w:r>
            <w:r>
              <w:rPr>
                <w:rFonts w:hint="eastAsia"/>
                <w:color w:val="auto"/>
                <w:u w:val="none"/>
                <w:lang w:val="zh-CN"/>
              </w:rPr>
              <w:t xml:space="preserve">) </w:t>
            </w:r>
            <w:r>
              <w:rPr>
                <w:rFonts w:hint="eastAsia"/>
                <w:color w:val="auto"/>
                <w:u w:val="none"/>
                <w:lang w:val="en-US" w:eastAsia="zh-CN"/>
              </w:rPr>
              <w:t>1</w:t>
            </w:r>
            <w:r>
              <w:rPr>
                <w:rFonts w:hint="eastAsia"/>
                <w:color w:val="auto"/>
                <w:u w:val="none"/>
                <w:lang w:val="zh-CN"/>
              </w:rPr>
              <w:t>号) ，全市PM</w:t>
            </w:r>
            <w:r>
              <w:rPr>
                <w:rFonts w:hint="eastAsia"/>
                <w:color w:val="auto"/>
                <w:u w:val="none"/>
                <w:vertAlign w:val="subscript"/>
                <w:lang w:val="zh-CN"/>
              </w:rPr>
              <w:t>2.</w:t>
            </w:r>
            <w:r>
              <w:rPr>
                <w:rFonts w:hint="eastAsia"/>
                <w:color w:val="auto"/>
                <w:u w:val="none"/>
                <w:vertAlign w:val="subscript"/>
                <w:lang w:val="en-US" w:eastAsia="zh-CN"/>
              </w:rPr>
              <w:t>5</w:t>
            </w:r>
            <w:r>
              <w:rPr>
                <w:rFonts w:hint="eastAsia"/>
                <w:color w:val="auto"/>
                <w:u w:val="none"/>
                <w:lang w:val="zh-CN"/>
              </w:rPr>
              <w:t>不超过47微克/立方米，优良天数比例达到62.5%（229天），重度及以上污染天数比率控制在1.8%（6天）以内。力争综合指数在全国168重点城市排名退出后十位</w:t>
            </w:r>
            <w:r>
              <w:rPr>
                <w:color w:val="auto"/>
                <w:u w:val="none"/>
                <w:lang w:val="zh-CN"/>
              </w:rPr>
              <w:t>。</w:t>
            </w:r>
          </w:p>
          <w:p w14:paraId="4D60798F">
            <w:pPr>
              <w:pStyle w:val="261"/>
              <w:ind w:firstLine="240"/>
            </w:pPr>
            <w:r>
              <w:t>2、地表水</w:t>
            </w:r>
          </w:p>
          <w:p w14:paraId="6FD089BA">
            <w:pPr>
              <w:adjustRightInd w:val="0"/>
              <w:snapToGrid w:val="0"/>
              <w:spacing w:line="360" w:lineRule="auto"/>
              <w:ind w:firstLine="480" w:firstLineChars="200"/>
              <w:rPr>
                <w:kern w:val="0"/>
                <w:sz w:val="24"/>
                <w:lang w:bidi="ar"/>
              </w:rPr>
            </w:pPr>
            <w:r>
              <w:rPr>
                <w:sz w:val="24"/>
                <w:szCs w:val="24"/>
              </w:rPr>
              <w:t>本项目最近的功能性地表水体为</w:t>
            </w:r>
            <w:r>
              <w:rPr>
                <w:rFonts w:hint="eastAsia"/>
                <w:sz w:val="24"/>
                <w:szCs w:val="24"/>
                <w:lang w:val="en-US" w:eastAsia="zh-CN"/>
              </w:rPr>
              <w:t>北</w:t>
            </w:r>
            <w:r>
              <w:rPr>
                <w:rFonts w:hint="eastAsia"/>
                <w:sz w:val="24"/>
                <w:szCs w:val="24"/>
              </w:rPr>
              <w:t>侧</w:t>
            </w:r>
            <w:r>
              <w:rPr>
                <w:rFonts w:hint="eastAsia"/>
                <w:sz w:val="24"/>
                <w:szCs w:val="24"/>
                <w:lang w:val="en-US" w:eastAsia="zh-CN"/>
              </w:rPr>
              <w:t>460</w:t>
            </w:r>
            <w:r>
              <w:rPr>
                <w:rFonts w:hint="eastAsia"/>
                <w:sz w:val="24"/>
                <w:szCs w:val="24"/>
              </w:rPr>
              <w:t>m的</w:t>
            </w:r>
            <w:r>
              <w:rPr>
                <w:rFonts w:hint="eastAsia"/>
                <w:sz w:val="24"/>
                <w:szCs w:val="24"/>
                <w:lang w:val="en-US" w:eastAsia="zh-CN"/>
              </w:rPr>
              <w:t>汤河</w:t>
            </w:r>
            <w:r>
              <w:rPr>
                <w:rFonts w:hint="eastAsia"/>
                <w:sz w:val="24"/>
                <w:szCs w:val="24"/>
              </w:rPr>
              <w:t>，</w:t>
            </w:r>
            <w:r>
              <w:rPr>
                <w:sz w:val="24"/>
              </w:rPr>
              <w:t>根据《安阳市202</w:t>
            </w:r>
            <w:r>
              <w:rPr>
                <w:rFonts w:hint="eastAsia"/>
                <w:sz w:val="24"/>
                <w:lang w:val="en-US" w:eastAsia="zh-CN"/>
              </w:rPr>
              <w:t>6</w:t>
            </w:r>
            <w:r>
              <w:rPr>
                <w:sz w:val="24"/>
              </w:rPr>
              <w:t>年碧水保卫战实施方案》，石辛庄断面202</w:t>
            </w:r>
            <w:r>
              <w:rPr>
                <w:rFonts w:hint="eastAsia"/>
                <w:sz w:val="24"/>
                <w:lang w:val="en-US" w:eastAsia="zh-CN"/>
              </w:rPr>
              <w:t>6</w:t>
            </w:r>
            <w:r>
              <w:rPr>
                <w:sz w:val="24"/>
              </w:rPr>
              <w:t>年地表水环境质量目标为</w:t>
            </w:r>
            <w:r>
              <w:rPr>
                <w:sz w:val="24"/>
              </w:rPr>
              <w:fldChar w:fldCharType="begin"/>
            </w:r>
            <w:r>
              <w:rPr>
                <w:sz w:val="24"/>
              </w:rPr>
              <w:instrText xml:space="preserve"> = 3 \* ROMAN \* MERGEFORMAT </w:instrText>
            </w:r>
            <w:r>
              <w:rPr>
                <w:sz w:val="24"/>
              </w:rPr>
              <w:fldChar w:fldCharType="separate"/>
            </w:r>
            <w:r>
              <w:t>III</w:t>
            </w:r>
            <w:r>
              <w:rPr>
                <w:sz w:val="24"/>
              </w:rPr>
              <w:fldChar w:fldCharType="end"/>
            </w:r>
            <w:r>
              <w:rPr>
                <w:sz w:val="24"/>
              </w:rPr>
              <w:t>类，</w:t>
            </w:r>
            <w:r>
              <w:rPr>
                <w:sz w:val="24"/>
                <w:szCs w:val="24"/>
              </w:rPr>
              <w:t>执行</w:t>
            </w:r>
            <w:r>
              <w:rPr>
                <w:sz w:val="24"/>
                <w:szCs w:val="24"/>
              </w:rPr>
              <w:fldChar w:fldCharType="begin"/>
            </w:r>
            <w:r>
              <w:rPr>
                <w:sz w:val="24"/>
                <w:szCs w:val="24"/>
              </w:rPr>
              <w:instrText xml:space="preserve"> = 3 \* ROMAN \* MERGEFORMAT </w:instrText>
            </w:r>
            <w:r>
              <w:rPr>
                <w:sz w:val="24"/>
                <w:szCs w:val="24"/>
              </w:rPr>
              <w:fldChar w:fldCharType="separate"/>
            </w:r>
            <w:r>
              <w:t>III</w:t>
            </w:r>
            <w:r>
              <w:rPr>
                <w:sz w:val="24"/>
                <w:szCs w:val="24"/>
              </w:rPr>
              <w:fldChar w:fldCharType="end"/>
            </w:r>
            <w:r>
              <w:rPr>
                <w:sz w:val="24"/>
                <w:szCs w:val="24"/>
              </w:rPr>
              <w:t>类水体标准。</w:t>
            </w:r>
            <w:r>
              <w:rPr>
                <w:kern w:val="0"/>
                <w:sz w:val="24"/>
                <w:lang w:bidi="ar"/>
              </w:rPr>
              <w:t>参考安阳市地表水汤河石辛庄市控县界断面202</w:t>
            </w:r>
            <w:r>
              <w:rPr>
                <w:rFonts w:hint="eastAsia"/>
                <w:kern w:val="0"/>
                <w:sz w:val="24"/>
                <w:lang w:val="en-US" w:eastAsia="zh-CN" w:bidi="ar"/>
              </w:rPr>
              <w:t>4</w:t>
            </w:r>
            <w:r>
              <w:rPr>
                <w:kern w:val="0"/>
                <w:sz w:val="24"/>
                <w:lang w:bidi="ar"/>
              </w:rPr>
              <w:t>年1周-202</w:t>
            </w:r>
            <w:r>
              <w:rPr>
                <w:rFonts w:hint="eastAsia"/>
                <w:kern w:val="0"/>
                <w:sz w:val="24"/>
                <w:lang w:val="en-US" w:eastAsia="zh-CN" w:bidi="ar"/>
              </w:rPr>
              <w:t>4</w:t>
            </w:r>
            <w:r>
              <w:rPr>
                <w:kern w:val="0"/>
                <w:sz w:val="24"/>
                <w:lang w:bidi="ar"/>
              </w:rPr>
              <w:t>年5</w:t>
            </w:r>
            <w:r>
              <w:rPr>
                <w:rFonts w:hint="eastAsia"/>
                <w:kern w:val="0"/>
                <w:sz w:val="24"/>
                <w:lang w:val="en-US" w:eastAsia="zh-CN" w:bidi="ar"/>
              </w:rPr>
              <w:t>2</w:t>
            </w:r>
            <w:r>
              <w:rPr>
                <w:kern w:val="0"/>
                <w:sz w:val="24"/>
                <w:lang w:bidi="ar"/>
              </w:rPr>
              <w:t>周的常规监测数据，统计结果见下表。</w:t>
            </w:r>
          </w:p>
          <w:p w14:paraId="757D9630">
            <w:pPr>
              <w:pStyle w:val="56"/>
              <w:keepNext w:val="0"/>
              <w:keepLines w:val="0"/>
              <w:pageBreakBefore w:val="0"/>
              <w:widowControl w:val="0"/>
              <w:numPr>
                <w:ilvl w:val="0"/>
                <w:numId w:val="0"/>
              </w:numPr>
              <w:kinsoku/>
              <w:wordWrap/>
              <w:overflowPunct/>
              <w:topLinePunct w:val="0"/>
              <w:autoSpaceDE w:val="0"/>
              <w:autoSpaceDN w:val="0"/>
              <w:bidi w:val="0"/>
              <w:adjustRightInd w:val="0"/>
              <w:snapToGrid w:val="0"/>
              <w:spacing w:before="0"/>
              <w:ind w:left="210" w:leftChars="0"/>
              <w:jc w:val="center"/>
              <w:textAlignment w:val="auto"/>
              <w:rPr>
                <w:rFonts w:hint="eastAsia" w:hAnsi="宋体" w:cs="宋体"/>
                <w:lang w:val="en-US"/>
              </w:rPr>
            </w:pPr>
            <w:bookmarkStart w:id="33" w:name="_Toc2284"/>
            <w:bookmarkStart w:id="34" w:name="_Toc13637"/>
            <w:r>
              <w:rPr>
                <w:rFonts w:hint="eastAsia" w:hAnsi="宋体" w:cs="宋体"/>
                <w:lang w:val="en-US" w:eastAsia="zh-CN"/>
              </w:rPr>
              <w:t xml:space="preserve">表 18  </w:t>
            </w:r>
            <w:r>
              <w:rPr>
                <w:rFonts w:hint="eastAsia" w:hAnsi="宋体" w:cs="宋体"/>
                <w:lang w:val="en-US"/>
              </w:rPr>
              <w:t>汤河石辛庄市控断面水质监测结果表</w:t>
            </w:r>
          </w:p>
          <w:bookmarkEnd w:id="33"/>
          <w:bookmarkEnd w:id="34"/>
          <w:tbl>
            <w:tblPr>
              <w:tblStyle w:val="47"/>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2628"/>
              <w:gridCol w:w="1495"/>
              <w:gridCol w:w="1361"/>
              <w:gridCol w:w="1190"/>
              <w:gridCol w:w="1712"/>
            </w:tblGrid>
            <w:tr w14:paraId="735AE48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21" w:hRule="atLeast"/>
                <w:jc w:val="center"/>
              </w:trPr>
              <w:tc>
                <w:tcPr>
                  <w:tcW w:w="1566" w:type="pct"/>
                  <w:noWrap w:val="0"/>
                  <w:tcMar>
                    <w:top w:w="15" w:type="dxa"/>
                    <w:left w:w="15" w:type="dxa"/>
                    <w:bottom w:w="0" w:type="dxa"/>
                    <w:right w:w="15" w:type="dxa"/>
                  </w:tcMar>
                  <w:vAlign w:val="center"/>
                </w:tcPr>
                <w:p w14:paraId="2FDB4118">
                  <w:pPr>
                    <w:contextualSpacing/>
                    <w:jc w:val="center"/>
                    <w:rPr>
                      <w:b/>
                      <w:bCs/>
                      <w:szCs w:val="21"/>
                    </w:rPr>
                  </w:pPr>
                  <w:r>
                    <w:rPr>
                      <w:b/>
                      <w:bCs/>
                      <w:szCs w:val="21"/>
                    </w:rPr>
                    <w:t>时间</w:t>
                  </w:r>
                </w:p>
              </w:tc>
              <w:tc>
                <w:tcPr>
                  <w:tcW w:w="891" w:type="pct"/>
                  <w:noWrap w:val="0"/>
                  <w:tcMar>
                    <w:top w:w="15" w:type="dxa"/>
                    <w:left w:w="15" w:type="dxa"/>
                    <w:bottom w:w="0" w:type="dxa"/>
                    <w:right w:w="15" w:type="dxa"/>
                  </w:tcMar>
                  <w:vAlign w:val="center"/>
                </w:tcPr>
                <w:p w14:paraId="7B52BBFA">
                  <w:pPr>
                    <w:contextualSpacing/>
                    <w:jc w:val="center"/>
                    <w:rPr>
                      <w:b/>
                      <w:bCs/>
                      <w:szCs w:val="21"/>
                    </w:rPr>
                  </w:pPr>
                  <w:r>
                    <w:rPr>
                      <w:b/>
                      <w:bCs/>
                      <w:szCs w:val="21"/>
                    </w:rPr>
                    <w:t>COD</w:t>
                  </w:r>
                </w:p>
              </w:tc>
              <w:tc>
                <w:tcPr>
                  <w:tcW w:w="811" w:type="pct"/>
                  <w:noWrap w:val="0"/>
                  <w:tcMar>
                    <w:top w:w="15" w:type="dxa"/>
                    <w:left w:w="15" w:type="dxa"/>
                    <w:bottom w:w="0" w:type="dxa"/>
                    <w:right w:w="15" w:type="dxa"/>
                  </w:tcMar>
                  <w:vAlign w:val="center"/>
                </w:tcPr>
                <w:p w14:paraId="4125436F">
                  <w:pPr>
                    <w:contextualSpacing/>
                    <w:jc w:val="center"/>
                    <w:rPr>
                      <w:b/>
                      <w:bCs/>
                      <w:szCs w:val="21"/>
                    </w:rPr>
                  </w:pPr>
                  <w:r>
                    <w:rPr>
                      <w:b/>
                      <w:bCs/>
                      <w:szCs w:val="21"/>
                    </w:rPr>
                    <w:t>氨氮</w:t>
                  </w:r>
                </w:p>
              </w:tc>
              <w:tc>
                <w:tcPr>
                  <w:tcW w:w="709" w:type="pct"/>
                  <w:noWrap w:val="0"/>
                  <w:tcMar>
                    <w:top w:w="15" w:type="dxa"/>
                    <w:left w:w="15" w:type="dxa"/>
                    <w:bottom w:w="0" w:type="dxa"/>
                    <w:right w:w="15" w:type="dxa"/>
                  </w:tcMar>
                  <w:vAlign w:val="center"/>
                </w:tcPr>
                <w:p w14:paraId="2DC60F58">
                  <w:pPr>
                    <w:contextualSpacing/>
                    <w:jc w:val="center"/>
                    <w:rPr>
                      <w:b/>
                      <w:bCs/>
                      <w:szCs w:val="21"/>
                    </w:rPr>
                  </w:pPr>
                  <w:r>
                    <w:rPr>
                      <w:b/>
                      <w:bCs/>
                      <w:szCs w:val="21"/>
                    </w:rPr>
                    <w:t>总磷</w:t>
                  </w:r>
                </w:p>
              </w:tc>
              <w:tc>
                <w:tcPr>
                  <w:tcW w:w="1020" w:type="pct"/>
                  <w:noWrap w:val="0"/>
                  <w:tcMar>
                    <w:top w:w="15" w:type="dxa"/>
                    <w:left w:w="15" w:type="dxa"/>
                    <w:bottom w:w="0" w:type="dxa"/>
                    <w:right w:w="15" w:type="dxa"/>
                  </w:tcMar>
                  <w:vAlign w:val="center"/>
                </w:tcPr>
                <w:p w14:paraId="245841F4">
                  <w:pPr>
                    <w:contextualSpacing/>
                    <w:jc w:val="center"/>
                    <w:rPr>
                      <w:b/>
                      <w:bCs/>
                      <w:szCs w:val="21"/>
                    </w:rPr>
                  </w:pPr>
                  <w:r>
                    <w:rPr>
                      <w:b/>
                      <w:bCs/>
                      <w:szCs w:val="21"/>
                    </w:rPr>
                    <w:t>高锰酸盐指数</w:t>
                  </w:r>
                </w:p>
              </w:tc>
            </w:tr>
            <w:tr w14:paraId="34C9509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1566" w:type="pct"/>
                  <w:noWrap w:val="0"/>
                  <w:tcMar>
                    <w:top w:w="15" w:type="dxa"/>
                    <w:left w:w="15" w:type="dxa"/>
                    <w:bottom w:w="0" w:type="dxa"/>
                    <w:right w:w="15" w:type="dxa"/>
                  </w:tcMar>
                  <w:vAlign w:val="center"/>
                </w:tcPr>
                <w:p w14:paraId="0E503F8B">
                  <w:pPr>
                    <w:contextualSpacing/>
                    <w:jc w:val="center"/>
                    <w:rPr>
                      <w:szCs w:val="21"/>
                    </w:rPr>
                  </w:pPr>
                  <w:r>
                    <w:rPr>
                      <w:szCs w:val="21"/>
                    </w:rPr>
                    <w:t>202</w:t>
                  </w:r>
                  <w:r>
                    <w:rPr>
                      <w:rFonts w:hint="eastAsia"/>
                      <w:szCs w:val="21"/>
                      <w:lang w:val="en-US" w:eastAsia="zh-CN"/>
                    </w:rPr>
                    <w:t>4</w:t>
                  </w:r>
                  <w:r>
                    <w:rPr>
                      <w:szCs w:val="21"/>
                    </w:rPr>
                    <w:t>年1周</w:t>
                  </w:r>
                </w:p>
              </w:tc>
              <w:tc>
                <w:tcPr>
                  <w:tcW w:w="891" w:type="pct"/>
                  <w:noWrap w:val="0"/>
                  <w:tcMar>
                    <w:top w:w="15" w:type="dxa"/>
                    <w:left w:w="15" w:type="dxa"/>
                    <w:bottom w:w="0" w:type="dxa"/>
                    <w:right w:w="15" w:type="dxa"/>
                  </w:tcMar>
                  <w:vAlign w:val="center"/>
                </w:tcPr>
                <w:p w14:paraId="3305CE1D">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16.5</w:t>
                  </w:r>
                </w:p>
              </w:tc>
              <w:tc>
                <w:tcPr>
                  <w:tcW w:w="811" w:type="pct"/>
                  <w:noWrap w:val="0"/>
                  <w:tcMar>
                    <w:top w:w="15" w:type="dxa"/>
                    <w:left w:w="15" w:type="dxa"/>
                    <w:bottom w:w="0" w:type="dxa"/>
                    <w:right w:w="15" w:type="dxa"/>
                  </w:tcMar>
                  <w:vAlign w:val="center"/>
                </w:tcPr>
                <w:p w14:paraId="3A5FCCBA">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1.278</w:t>
                  </w:r>
                </w:p>
              </w:tc>
              <w:tc>
                <w:tcPr>
                  <w:tcW w:w="709" w:type="pct"/>
                  <w:noWrap w:val="0"/>
                  <w:tcMar>
                    <w:top w:w="15" w:type="dxa"/>
                    <w:left w:w="15" w:type="dxa"/>
                    <w:bottom w:w="0" w:type="dxa"/>
                    <w:right w:w="15" w:type="dxa"/>
                  </w:tcMar>
                  <w:vAlign w:val="center"/>
                </w:tcPr>
                <w:p w14:paraId="212CD161">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0.142</w:t>
                  </w:r>
                </w:p>
              </w:tc>
              <w:tc>
                <w:tcPr>
                  <w:tcW w:w="1020" w:type="pct"/>
                  <w:noWrap w:val="0"/>
                  <w:tcMar>
                    <w:top w:w="15" w:type="dxa"/>
                    <w:left w:w="15" w:type="dxa"/>
                    <w:bottom w:w="0" w:type="dxa"/>
                    <w:right w:w="15" w:type="dxa"/>
                  </w:tcMar>
                  <w:vAlign w:val="center"/>
                </w:tcPr>
                <w:p w14:paraId="432CC171">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6.6</w:t>
                  </w:r>
                </w:p>
              </w:tc>
            </w:tr>
            <w:tr w14:paraId="2E3181F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54" w:hRule="atLeast"/>
                <w:jc w:val="center"/>
              </w:trPr>
              <w:tc>
                <w:tcPr>
                  <w:tcW w:w="1566" w:type="pct"/>
                  <w:noWrap w:val="0"/>
                  <w:tcMar>
                    <w:top w:w="15" w:type="dxa"/>
                    <w:left w:w="15" w:type="dxa"/>
                    <w:bottom w:w="0" w:type="dxa"/>
                    <w:right w:w="15" w:type="dxa"/>
                  </w:tcMar>
                  <w:vAlign w:val="center"/>
                </w:tcPr>
                <w:p w14:paraId="419B9988">
                  <w:pPr>
                    <w:contextualSpacing/>
                    <w:jc w:val="center"/>
                    <w:rPr>
                      <w:szCs w:val="21"/>
                    </w:rPr>
                  </w:pPr>
                  <w:r>
                    <w:rPr>
                      <w:szCs w:val="21"/>
                    </w:rPr>
                    <w:t>202</w:t>
                  </w:r>
                  <w:r>
                    <w:rPr>
                      <w:rFonts w:hint="eastAsia"/>
                      <w:szCs w:val="21"/>
                      <w:lang w:val="en-US" w:eastAsia="zh-CN"/>
                    </w:rPr>
                    <w:t>4</w:t>
                  </w:r>
                  <w:r>
                    <w:rPr>
                      <w:szCs w:val="21"/>
                    </w:rPr>
                    <w:t>年2周</w:t>
                  </w:r>
                </w:p>
              </w:tc>
              <w:tc>
                <w:tcPr>
                  <w:tcW w:w="891" w:type="pct"/>
                  <w:noWrap w:val="0"/>
                  <w:tcMar>
                    <w:top w:w="15" w:type="dxa"/>
                    <w:left w:w="15" w:type="dxa"/>
                    <w:bottom w:w="0" w:type="dxa"/>
                    <w:right w:w="15" w:type="dxa"/>
                  </w:tcMar>
                  <w:vAlign w:val="center"/>
                </w:tcPr>
                <w:p w14:paraId="2D01A07A">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20.3</w:t>
                  </w:r>
                </w:p>
              </w:tc>
              <w:tc>
                <w:tcPr>
                  <w:tcW w:w="811" w:type="pct"/>
                  <w:noWrap w:val="0"/>
                  <w:tcMar>
                    <w:top w:w="15" w:type="dxa"/>
                    <w:left w:w="15" w:type="dxa"/>
                    <w:bottom w:w="0" w:type="dxa"/>
                    <w:right w:w="15" w:type="dxa"/>
                  </w:tcMar>
                  <w:vAlign w:val="center"/>
                </w:tcPr>
                <w:p w14:paraId="681EB200">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1.74</w:t>
                  </w:r>
                </w:p>
              </w:tc>
              <w:tc>
                <w:tcPr>
                  <w:tcW w:w="709" w:type="pct"/>
                  <w:noWrap w:val="0"/>
                  <w:tcMar>
                    <w:top w:w="15" w:type="dxa"/>
                    <w:left w:w="15" w:type="dxa"/>
                    <w:bottom w:w="0" w:type="dxa"/>
                    <w:right w:w="15" w:type="dxa"/>
                  </w:tcMar>
                  <w:vAlign w:val="center"/>
                </w:tcPr>
                <w:p w14:paraId="6891C44F">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0.193</w:t>
                  </w:r>
                </w:p>
              </w:tc>
              <w:tc>
                <w:tcPr>
                  <w:tcW w:w="1020" w:type="pct"/>
                  <w:noWrap w:val="0"/>
                  <w:tcMar>
                    <w:top w:w="15" w:type="dxa"/>
                    <w:left w:w="15" w:type="dxa"/>
                    <w:bottom w:w="0" w:type="dxa"/>
                    <w:right w:w="15" w:type="dxa"/>
                  </w:tcMar>
                  <w:vAlign w:val="center"/>
                </w:tcPr>
                <w:p w14:paraId="0F3BEEC8">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7.2</w:t>
                  </w:r>
                </w:p>
              </w:tc>
            </w:tr>
            <w:tr w14:paraId="4CB01F9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66" w:hRule="atLeast"/>
                <w:jc w:val="center"/>
              </w:trPr>
              <w:tc>
                <w:tcPr>
                  <w:tcW w:w="1566" w:type="pct"/>
                  <w:noWrap w:val="0"/>
                  <w:tcMar>
                    <w:top w:w="15" w:type="dxa"/>
                    <w:left w:w="15" w:type="dxa"/>
                    <w:bottom w:w="0" w:type="dxa"/>
                    <w:right w:w="15" w:type="dxa"/>
                  </w:tcMar>
                  <w:vAlign w:val="center"/>
                </w:tcPr>
                <w:p w14:paraId="6F74A707">
                  <w:pPr>
                    <w:contextualSpacing/>
                    <w:jc w:val="center"/>
                    <w:rPr>
                      <w:szCs w:val="21"/>
                    </w:rPr>
                  </w:pPr>
                  <w:r>
                    <w:rPr>
                      <w:szCs w:val="21"/>
                    </w:rPr>
                    <w:t>202</w:t>
                  </w:r>
                  <w:r>
                    <w:rPr>
                      <w:rFonts w:hint="eastAsia"/>
                      <w:szCs w:val="21"/>
                      <w:lang w:val="en-US" w:eastAsia="zh-CN"/>
                    </w:rPr>
                    <w:t>4</w:t>
                  </w:r>
                  <w:r>
                    <w:rPr>
                      <w:szCs w:val="21"/>
                    </w:rPr>
                    <w:t>年3周</w:t>
                  </w:r>
                </w:p>
              </w:tc>
              <w:tc>
                <w:tcPr>
                  <w:tcW w:w="891" w:type="pct"/>
                  <w:noWrap w:val="0"/>
                  <w:tcMar>
                    <w:top w:w="15" w:type="dxa"/>
                    <w:left w:w="15" w:type="dxa"/>
                    <w:bottom w:w="0" w:type="dxa"/>
                    <w:right w:w="15" w:type="dxa"/>
                  </w:tcMar>
                  <w:vAlign w:val="center"/>
                </w:tcPr>
                <w:p w14:paraId="4F2F780D">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18.9</w:t>
                  </w:r>
                </w:p>
              </w:tc>
              <w:tc>
                <w:tcPr>
                  <w:tcW w:w="811" w:type="pct"/>
                  <w:noWrap w:val="0"/>
                  <w:tcMar>
                    <w:top w:w="15" w:type="dxa"/>
                    <w:left w:w="15" w:type="dxa"/>
                    <w:bottom w:w="0" w:type="dxa"/>
                    <w:right w:w="15" w:type="dxa"/>
                  </w:tcMar>
                  <w:vAlign w:val="center"/>
                </w:tcPr>
                <w:p w14:paraId="77DA9660">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1.69</w:t>
                  </w:r>
                </w:p>
              </w:tc>
              <w:tc>
                <w:tcPr>
                  <w:tcW w:w="709" w:type="pct"/>
                  <w:noWrap w:val="0"/>
                  <w:tcMar>
                    <w:top w:w="15" w:type="dxa"/>
                    <w:left w:w="15" w:type="dxa"/>
                    <w:bottom w:w="0" w:type="dxa"/>
                    <w:right w:w="15" w:type="dxa"/>
                  </w:tcMar>
                  <w:vAlign w:val="center"/>
                </w:tcPr>
                <w:p w14:paraId="2D1C9503">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0.22</w:t>
                  </w:r>
                </w:p>
              </w:tc>
              <w:tc>
                <w:tcPr>
                  <w:tcW w:w="1020" w:type="pct"/>
                  <w:noWrap w:val="0"/>
                  <w:tcMar>
                    <w:top w:w="15" w:type="dxa"/>
                    <w:left w:w="15" w:type="dxa"/>
                    <w:bottom w:w="0" w:type="dxa"/>
                    <w:right w:w="15" w:type="dxa"/>
                  </w:tcMar>
                  <w:vAlign w:val="center"/>
                </w:tcPr>
                <w:p w14:paraId="14B6BAF1">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6.9</w:t>
                  </w:r>
                </w:p>
              </w:tc>
            </w:tr>
            <w:tr w14:paraId="4E1D573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54" w:hRule="atLeast"/>
                <w:jc w:val="center"/>
              </w:trPr>
              <w:tc>
                <w:tcPr>
                  <w:tcW w:w="1566" w:type="pct"/>
                  <w:noWrap w:val="0"/>
                  <w:tcMar>
                    <w:top w:w="15" w:type="dxa"/>
                    <w:left w:w="15" w:type="dxa"/>
                    <w:bottom w:w="0" w:type="dxa"/>
                    <w:right w:w="15" w:type="dxa"/>
                  </w:tcMar>
                  <w:vAlign w:val="center"/>
                </w:tcPr>
                <w:p w14:paraId="06F2503A">
                  <w:pPr>
                    <w:contextualSpacing/>
                    <w:jc w:val="center"/>
                    <w:rPr>
                      <w:szCs w:val="21"/>
                    </w:rPr>
                  </w:pPr>
                  <w:r>
                    <w:rPr>
                      <w:szCs w:val="21"/>
                    </w:rPr>
                    <w:t>202</w:t>
                  </w:r>
                  <w:r>
                    <w:rPr>
                      <w:rFonts w:hint="eastAsia"/>
                      <w:szCs w:val="21"/>
                      <w:lang w:val="en-US" w:eastAsia="zh-CN"/>
                    </w:rPr>
                    <w:t>4</w:t>
                  </w:r>
                  <w:r>
                    <w:rPr>
                      <w:szCs w:val="21"/>
                    </w:rPr>
                    <w:t>年4周</w:t>
                  </w:r>
                </w:p>
              </w:tc>
              <w:tc>
                <w:tcPr>
                  <w:tcW w:w="891" w:type="pct"/>
                  <w:noWrap w:val="0"/>
                  <w:tcMar>
                    <w:top w:w="15" w:type="dxa"/>
                    <w:left w:w="15" w:type="dxa"/>
                    <w:bottom w:w="0" w:type="dxa"/>
                    <w:right w:w="15" w:type="dxa"/>
                  </w:tcMar>
                  <w:vAlign w:val="center"/>
                </w:tcPr>
                <w:p w14:paraId="11A295DD">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16.9</w:t>
                  </w:r>
                </w:p>
              </w:tc>
              <w:tc>
                <w:tcPr>
                  <w:tcW w:w="811" w:type="pct"/>
                  <w:noWrap w:val="0"/>
                  <w:tcMar>
                    <w:top w:w="15" w:type="dxa"/>
                    <w:left w:w="15" w:type="dxa"/>
                    <w:bottom w:w="0" w:type="dxa"/>
                    <w:right w:w="15" w:type="dxa"/>
                  </w:tcMar>
                  <w:vAlign w:val="center"/>
                </w:tcPr>
                <w:p w14:paraId="0EC9E62F">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1.12</w:t>
                  </w:r>
                </w:p>
              </w:tc>
              <w:tc>
                <w:tcPr>
                  <w:tcW w:w="709" w:type="pct"/>
                  <w:noWrap w:val="0"/>
                  <w:tcMar>
                    <w:top w:w="15" w:type="dxa"/>
                    <w:left w:w="15" w:type="dxa"/>
                    <w:bottom w:w="0" w:type="dxa"/>
                    <w:right w:w="15" w:type="dxa"/>
                  </w:tcMar>
                  <w:vAlign w:val="center"/>
                </w:tcPr>
                <w:p w14:paraId="3CB3A062">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0.205</w:t>
                  </w:r>
                </w:p>
              </w:tc>
              <w:tc>
                <w:tcPr>
                  <w:tcW w:w="1020" w:type="pct"/>
                  <w:noWrap w:val="0"/>
                  <w:tcMar>
                    <w:top w:w="15" w:type="dxa"/>
                    <w:left w:w="15" w:type="dxa"/>
                    <w:bottom w:w="0" w:type="dxa"/>
                    <w:right w:w="15" w:type="dxa"/>
                  </w:tcMar>
                  <w:vAlign w:val="center"/>
                </w:tcPr>
                <w:p w14:paraId="37AD7156">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6.8</w:t>
                  </w:r>
                </w:p>
              </w:tc>
            </w:tr>
            <w:tr w14:paraId="361B83C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54" w:hRule="atLeast"/>
                <w:jc w:val="center"/>
              </w:trPr>
              <w:tc>
                <w:tcPr>
                  <w:tcW w:w="1566" w:type="pct"/>
                  <w:noWrap w:val="0"/>
                  <w:tcMar>
                    <w:top w:w="15" w:type="dxa"/>
                    <w:left w:w="15" w:type="dxa"/>
                    <w:bottom w:w="0" w:type="dxa"/>
                    <w:right w:w="15" w:type="dxa"/>
                  </w:tcMar>
                  <w:vAlign w:val="center"/>
                </w:tcPr>
                <w:p w14:paraId="2F8634E4">
                  <w:pPr>
                    <w:contextualSpacing/>
                    <w:jc w:val="center"/>
                    <w:rPr>
                      <w:szCs w:val="21"/>
                    </w:rPr>
                  </w:pPr>
                  <w:r>
                    <w:rPr>
                      <w:szCs w:val="21"/>
                    </w:rPr>
                    <w:t>202</w:t>
                  </w:r>
                  <w:r>
                    <w:rPr>
                      <w:rFonts w:hint="eastAsia"/>
                      <w:szCs w:val="21"/>
                      <w:lang w:val="en-US" w:eastAsia="zh-CN"/>
                    </w:rPr>
                    <w:t>4</w:t>
                  </w:r>
                  <w:r>
                    <w:rPr>
                      <w:szCs w:val="21"/>
                    </w:rPr>
                    <w:t>年5周</w:t>
                  </w:r>
                </w:p>
              </w:tc>
              <w:tc>
                <w:tcPr>
                  <w:tcW w:w="891" w:type="pct"/>
                  <w:noWrap w:val="0"/>
                  <w:tcMar>
                    <w:top w:w="15" w:type="dxa"/>
                    <w:left w:w="15" w:type="dxa"/>
                    <w:bottom w:w="0" w:type="dxa"/>
                    <w:right w:w="15" w:type="dxa"/>
                  </w:tcMar>
                  <w:vAlign w:val="center"/>
                </w:tcPr>
                <w:p w14:paraId="48032CC1">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19.1</w:t>
                  </w:r>
                </w:p>
              </w:tc>
              <w:tc>
                <w:tcPr>
                  <w:tcW w:w="811" w:type="pct"/>
                  <w:noWrap w:val="0"/>
                  <w:tcMar>
                    <w:top w:w="15" w:type="dxa"/>
                    <w:left w:w="15" w:type="dxa"/>
                    <w:bottom w:w="0" w:type="dxa"/>
                    <w:right w:w="15" w:type="dxa"/>
                  </w:tcMar>
                  <w:vAlign w:val="center"/>
                </w:tcPr>
                <w:p w14:paraId="4324F6F2">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0.79</w:t>
                  </w:r>
                </w:p>
              </w:tc>
              <w:tc>
                <w:tcPr>
                  <w:tcW w:w="709" w:type="pct"/>
                  <w:noWrap w:val="0"/>
                  <w:tcMar>
                    <w:top w:w="15" w:type="dxa"/>
                    <w:left w:w="15" w:type="dxa"/>
                    <w:bottom w:w="0" w:type="dxa"/>
                    <w:right w:w="15" w:type="dxa"/>
                  </w:tcMar>
                  <w:vAlign w:val="center"/>
                </w:tcPr>
                <w:p w14:paraId="43241F9B">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0.178</w:t>
                  </w:r>
                </w:p>
              </w:tc>
              <w:tc>
                <w:tcPr>
                  <w:tcW w:w="1020" w:type="pct"/>
                  <w:noWrap w:val="0"/>
                  <w:tcMar>
                    <w:top w:w="15" w:type="dxa"/>
                    <w:left w:w="15" w:type="dxa"/>
                    <w:bottom w:w="0" w:type="dxa"/>
                    <w:right w:w="15" w:type="dxa"/>
                  </w:tcMar>
                  <w:vAlign w:val="center"/>
                </w:tcPr>
                <w:p w14:paraId="7BC5FE63">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w:t>
                  </w:r>
                </w:p>
              </w:tc>
            </w:tr>
            <w:tr w14:paraId="4FBCC60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54" w:hRule="atLeast"/>
                <w:jc w:val="center"/>
              </w:trPr>
              <w:tc>
                <w:tcPr>
                  <w:tcW w:w="1566" w:type="pct"/>
                  <w:noWrap w:val="0"/>
                  <w:tcMar>
                    <w:top w:w="15" w:type="dxa"/>
                    <w:left w:w="15" w:type="dxa"/>
                    <w:bottom w:w="0" w:type="dxa"/>
                    <w:right w:w="15" w:type="dxa"/>
                  </w:tcMar>
                  <w:vAlign w:val="center"/>
                </w:tcPr>
                <w:p w14:paraId="2D3C4C0B">
                  <w:pPr>
                    <w:contextualSpacing/>
                    <w:jc w:val="center"/>
                    <w:rPr>
                      <w:szCs w:val="21"/>
                    </w:rPr>
                  </w:pPr>
                  <w:r>
                    <w:rPr>
                      <w:szCs w:val="21"/>
                    </w:rPr>
                    <w:t>202</w:t>
                  </w:r>
                  <w:r>
                    <w:rPr>
                      <w:rFonts w:hint="eastAsia"/>
                      <w:szCs w:val="21"/>
                      <w:lang w:val="en-US" w:eastAsia="zh-CN"/>
                    </w:rPr>
                    <w:t>4</w:t>
                  </w:r>
                  <w:r>
                    <w:rPr>
                      <w:szCs w:val="21"/>
                    </w:rPr>
                    <w:t>年6周</w:t>
                  </w:r>
                </w:p>
              </w:tc>
              <w:tc>
                <w:tcPr>
                  <w:tcW w:w="891" w:type="pct"/>
                  <w:noWrap w:val="0"/>
                  <w:tcMar>
                    <w:top w:w="15" w:type="dxa"/>
                    <w:left w:w="15" w:type="dxa"/>
                    <w:bottom w:w="0" w:type="dxa"/>
                    <w:right w:w="15" w:type="dxa"/>
                  </w:tcMar>
                  <w:vAlign w:val="center"/>
                </w:tcPr>
                <w:p w14:paraId="7A35BBF8">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16.7</w:t>
                  </w:r>
                </w:p>
              </w:tc>
              <w:tc>
                <w:tcPr>
                  <w:tcW w:w="811" w:type="pct"/>
                  <w:noWrap w:val="0"/>
                  <w:tcMar>
                    <w:top w:w="15" w:type="dxa"/>
                    <w:left w:w="15" w:type="dxa"/>
                    <w:bottom w:w="0" w:type="dxa"/>
                    <w:right w:w="15" w:type="dxa"/>
                  </w:tcMar>
                  <w:vAlign w:val="center"/>
                </w:tcPr>
                <w:p w14:paraId="6FE870AB">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1.374</w:t>
                  </w:r>
                </w:p>
              </w:tc>
              <w:tc>
                <w:tcPr>
                  <w:tcW w:w="709" w:type="pct"/>
                  <w:noWrap w:val="0"/>
                  <w:tcMar>
                    <w:top w:w="15" w:type="dxa"/>
                    <w:left w:w="15" w:type="dxa"/>
                    <w:bottom w:w="0" w:type="dxa"/>
                    <w:right w:w="15" w:type="dxa"/>
                  </w:tcMar>
                  <w:vAlign w:val="center"/>
                </w:tcPr>
                <w:p w14:paraId="5B7BD510">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0.197</w:t>
                  </w:r>
                </w:p>
              </w:tc>
              <w:tc>
                <w:tcPr>
                  <w:tcW w:w="1020" w:type="pct"/>
                  <w:noWrap w:val="0"/>
                  <w:tcMar>
                    <w:top w:w="15" w:type="dxa"/>
                    <w:left w:w="15" w:type="dxa"/>
                    <w:bottom w:w="0" w:type="dxa"/>
                    <w:right w:w="15" w:type="dxa"/>
                  </w:tcMar>
                  <w:vAlign w:val="center"/>
                </w:tcPr>
                <w:p w14:paraId="61EE1028">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6.3</w:t>
                  </w:r>
                </w:p>
              </w:tc>
            </w:tr>
            <w:tr w14:paraId="60234A7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54" w:hRule="atLeast"/>
                <w:jc w:val="center"/>
              </w:trPr>
              <w:tc>
                <w:tcPr>
                  <w:tcW w:w="1566" w:type="pct"/>
                  <w:noWrap w:val="0"/>
                  <w:tcMar>
                    <w:top w:w="15" w:type="dxa"/>
                    <w:left w:w="15" w:type="dxa"/>
                    <w:bottom w:w="0" w:type="dxa"/>
                    <w:right w:w="15" w:type="dxa"/>
                  </w:tcMar>
                  <w:vAlign w:val="center"/>
                </w:tcPr>
                <w:p w14:paraId="2664D9E5">
                  <w:pPr>
                    <w:contextualSpacing/>
                    <w:jc w:val="center"/>
                    <w:rPr>
                      <w:szCs w:val="21"/>
                    </w:rPr>
                  </w:pPr>
                  <w:r>
                    <w:rPr>
                      <w:szCs w:val="21"/>
                    </w:rPr>
                    <w:t>202</w:t>
                  </w:r>
                  <w:r>
                    <w:rPr>
                      <w:rFonts w:hint="eastAsia"/>
                      <w:szCs w:val="21"/>
                      <w:lang w:val="en-US" w:eastAsia="zh-CN"/>
                    </w:rPr>
                    <w:t>4</w:t>
                  </w:r>
                  <w:r>
                    <w:rPr>
                      <w:szCs w:val="21"/>
                    </w:rPr>
                    <w:t>年7周</w:t>
                  </w:r>
                </w:p>
              </w:tc>
              <w:tc>
                <w:tcPr>
                  <w:tcW w:w="891" w:type="pct"/>
                  <w:noWrap w:val="0"/>
                  <w:tcMar>
                    <w:top w:w="15" w:type="dxa"/>
                    <w:left w:w="15" w:type="dxa"/>
                    <w:bottom w:w="0" w:type="dxa"/>
                    <w:right w:w="15" w:type="dxa"/>
                  </w:tcMar>
                  <w:vAlign w:val="center"/>
                </w:tcPr>
                <w:p w14:paraId="35DADE09">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14.7</w:t>
                  </w:r>
                </w:p>
              </w:tc>
              <w:tc>
                <w:tcPr>
                  <w:tcW w:w="811" w:type="pct"/>
                  <w:noWrap w:val="0"/>
                  <w:tcMar>
                    <w:top w:w="15" w:type="dxa"/>
                    <w:left w:w="15" w:type="dxa"/>
                    <w:bottom w:w="0" w:type="dxa"/>
                    <w:right w:w="15" w:type="dxa"/>
                  </w:tcMar>
                  <w:vAlign w:val="center"/>
                </w:tcPr>
                <w:p w14:paraId="5985369E">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1.73</w:t>
                  </w:r>
                </w:p>
              </w:tc>
              <w:tc>
                <w:tcPr>
                  <w:tcW w:w="709" w:type="pct"/>
                  <w:noWrap w:val="0"/>
                  <w:tcMar>
                    <w:top w:w="15" w:type="dxa"/>
                    <w:left w:w="15" w:type="dxa"/>
                    <w:bottom w:w="0" w:type="dxa"/>
                    <w:right w:w="15" w:type="dxa"/>
                  </w:tcMar>
                  <w:vAlign w:val="center"/>
                </w:tcPr>
                <w:p w14:paraId="536A6300">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0.22</w:t>
                  </w:r>
                </w:p>
              </w:tc>
              <w:tc>
                <w:tcPr>
                  <w:tcW w:w="1020" w:type="pct"/>
                  <w:noWrap w:val="0"/>
                  <w:tcMar>
                    <w:top w:w="15" w:type="dxa"/>
                    <w:left w:w="15" w:type="dxa"/>
                    <w:bottom w:w="0" w:type="dxa"/>
                    <w:right w:w="15" w:type="dxa"/>
                  </w:tcMar>
                  <w:vAlign w:val="center"/>
                </w:tcPr>
                <w:p w14:paraId="3786AC6F">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5.7</w:t>
                  </w:r>
                </w:p>
              </w:tc>
            </w:tr>
            <w:tr w14:paraId="79B663A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54" w:hRule="atLeast"/>
                <w:jc w:val="center"/>
              </w:trPr>
              <w:tc>
                <w:tcPr>
                  <w:tcW w:w="1566" w:type="pct"/>
                  <w:noWrap w:val="0"/>
                  <w:tcMar>
                    <w:top w:w="15" w:type="dxa"/>
                    <w:left w:w="15" w:type="dxa"/>
                    <w:bottom w:w="0" w:type="dxa"/>
                    <w:right w:w="15" w:type="dxa"/>
                  </w:tcMar>
                  <w:vAlign w:val="center"/>
                </w:tcPr>
                <w:p w14:paraId="341FDD75">
                  <w:pPr>
                    <w:contextualSpacing/>
                    <w:jc w:val="center"/>
                    <w:rPr>
                      <w:szCs w:val="21"/>
                    </w:rPr>
                  </w:pPr>
                  <w:r>
                    <w:rPr>
                      <w:szCs w:val="21"/>
                    </w:rPr>
                    <w:t>202</w:t>
                  </w:r>
                  <w:r>
                    <w:rPr>
                      <w:rFonts w:hint="eastAsia"/>
                      <w:szCs w:val="21"/>
                      <w:lang w:val="en-US" w:eastAsia="zh-CN"/>
                    </w:rPr>
                    <w:t>4</w:t>
                  </w:r>
                  <w:r>
                    <w:rPr>
                      <w:szCs w:val="21"/>
                    </w:rPr>
                    <w:t>年8周</w:t>
                  </w:r>
                </w:p>
              </w:tc>
              <w:tc>
                <w:tcPr>
                  <w:tcW w:w="891" w:type="pct"/>
                  <w:noWrap w:val="0"/>
                  <w:tcMar>
                    <w:top w:w="15" w:type="dxa"/>
                    <w:left w:w="15" w:type="dxa"/>
                    <w:bottom w:w="0" w:type="dxa"/>
                    <w:right w:w="15" w:type="dxa"/>
                  </w:tcMar>
                  <w:vAlign w:val="center"/>
                </w:tcPr>
                <w:p w14:paraId="5CBCC440">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16.3</w:t>
                  </w:r>
                </w:p>
              </w:tc>
              <w:tc>
                <w:tcPr>
                  <w:tcW w:w="811" w:type="pct"/>
                  <w:noWrap w:val="0"/>
                  <w:tcMar>
                    <w:top w:w="15" w:type="dxa"/>
                    <w:left w:w="15" w:type="dxa"/>
                    <w:bottom w:w="0" w:type="dxa"/>
                    <w:right w:w="15" w:type="dxa"/>
                  </w:tcMar>
                  <w:vAlign w:val="center"/>
                </w:tcPr>
                <w:p w14:paraId="6DB26C82">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1.77</w:t>
                  </w:r>
                </w:p>
              </w:tc>
              <w:tc>
                <w:tcPr>
                  <w:tcW w:w="709" w:type="pct"/>
                  <w:noWrap w:val="0"/>
                  <w:tcMar>
                    <w:top w:w="15" w:type="dxa"/>
                    <w:left w:w="15" w:type="dxa"/>
                    <w:bottom w:w="0" w:type="dxa"/>
                    <w:right w:w="15" w:type="dxa"/>
                  </w:tcMar>
                  <w:vAlign w:val="center"/>
                </w:tcPr>
                <w:p w14:paraId="6B8E0D7D">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0.253</w:t>
                  </w:r>
                </w:p>
              </w:tc>
              <w:tc>
                <w:tcPr>
                  <w:tcW w:w="1020" w:type="pct"/>
                  <w:noWrap w:val="0"/>
                  <w:tcMar>
                    <w:top w:w="15" w:type="dxa"/>
                    <w:left w:w="15" w:type="dxa"/>
                    <w:bottom w:w="0" w:type="dxa"/>
                    <w:right w:w="15" w:type="dxa"/>
                  </w:tcMar>
                  <w:vAlign w:val="center"/>
                </w:tcPr>
                <w:p w14:paraId="4A852222">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6.2</w:t>
                  </w:r>
                </w:p>
              </w:tc>
            </w:tr>
            <w:tr w14:paraId="47AEBAE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54" w:hRule="atLeast"/>
                <w:jc w:val="center"/>
              </w:trPr>
              <w:tc>
                <w:tcPr>
                  <w:tcW w:w="1566" w:type="pct"/>
                  <w:noWrap w:val="0"/>
                  <w:tcMar>
                    <w:top w:w="15" w:type="dxa"/>
                    <w:left w:w="15" w:type="dxa"/>
                    <w:bottom w:w="0" w:type="dxa"/>
                    <w:right w:w="15" w:type="dxa"/>
                  </w:tcMar>
                  <w:vAlign w:val="center"/>
                </w:tcPr>
                <w:p w14:paraId="45E16232">
                  <w:pPr>
                    <w:contextualSpacing/>
                    <w:jc w:val="center"/>
                    <w:rPr>
                      <w:szCs w:val="21"/>
                    </w:rPr>
                  </w:pPr>
                  <w:r>
                    <w:rPr>
                      <w:szCs w:val="21"/>
                    </w:rPr>
                    <w:t>202</w:t>
                  </w:r>
                  <w:r>
                    <w:rPr>
                      <w:rFonts w:hint="eastAsia"/>
                      <w:szCs w:val="21"/>
                      <w:lang w:val="en-US" w:eastAsia="zh-CN"/>
                    </w:rPr>
                    <w:t>4</w:t>
                  </w:r>
                  <w:r>
                    <w:rPr>
                      <w:szCs w:val="21"/>
                    </w:rPr>
                    <w:t>年9周</w:t>
                  </w:r>
                </w:p>
              </w:tc>
              <w:tc>
                <w:tcPr>
                  <w:tcW w:w="891" w:type="pct"/>
                  <w:noWrap w:val="0"/>
                  <w:tcMar>
                    <w:top w:w="15" w:type="dxa"/>
                    <w:left w:w="15" w:type="dxa"/>
                    <w:bottom w:w="0" w:type="dxa"/>
                    <w:right w:w="15" w:type="dxa"/>
                  </w:tcMar>
                  <w:vAlign w:val="center"/>
                </w:tcPr>
                <w:p w14:paraId="4ED32B23">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17.2</w:t>
                  </w:r>
                </w:p>
              </w:tc>
              <w:tc>
                <w:tcPr>
                  <w:tcW w:w="811" w:type="pct"/>
                  <w:noWrap w:val="0"/>
                  <w:tcMar>
                    <w:top w:w="15" w:type="dxa"/>
                    <w:left w:w="15" w:type="dxa"/>
                    <w:bottom w:w="0" w:type="dxa"/>
                    <w:right w:w="15" w:type="dxa"/>
                  </w:tcMar>
                  <w:vAlign w:val="center"/>
                </w:tcPr>
                <w:p w14:paraId="69895999">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1.562</w:t>
                  </w:r>
                </w:p>
              </w:tc>
              <w:tc>
                <w:tcPr>
                  <w:tcW w:w="709" w:type="pct"/>
                  <w:noWrap w:val="0"/>
                  <w:tcMar>
                    <w:top w:w="15" w:type="dxa"/>
                    <w:left w:w="15" w:type="dxa"/>
                    <w:bottom w:w="0" w:type="dxa"/>
                    <w:right w:w="15" w:type="dxa"/>
                  </w:tcMar>
                  <w:vAlign w:val="center"/>
                </w:tcPr>
                <w:p w14:paraId="0050BFCA">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0.229</w:t>
                  </w:r>
                </w:p>
              </w:tc>
              <w:tc>
                <w:tcPr>
                  <w:tcW w:w="1020" w:type="pct"/>
                  <w:noWrap w:val="0"/>
                  <w:tcMar>
                    <w:top w:w="15" w:type="dxa"/>
                    <w:left w:w="15" w:type="dxa"/>
                    <w:bottom w:w="0" w:type="dxa"/>
                    <w:right w:w="15" w:type="dxa"/>
                  </w:tcMar>
                  <w:vAlign w:val="center"/>
                </w:tcPr>
                <w:p w14:paraId="560636DA">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6.9</w:t>
                  </w:r>
                </w:p>
              </w:tc>
            </w:tr>
            <w:tr w14:paraId="69B6DBA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54" w:hRule="atLeast"/>
                <w:jc w:val="center"/>
              </w:trPr>
              <w:tc>
                <w:tcPr>
                  <w:tcW w:w="1566" w:type="pct"/>
                  <w:noWrap w:val="0"/>
                  <w:tcMar>
                    <w:top w:w="15" w:type="dxa"/>
                    <w:left w:w="15" w:type="dxa"/>
                    <w:bottom w:w="0" w:type="dxa"/>
                    <w:right w:w="15" w:type="dxa"/>
                  </w:tcMar>
                  <w:vAlign w:val="center"/>
                </w:tcPr>
                <w:p w14:paraId="1E6F9BA9">
                  <w:pPr>
                    <w:contextualSpacing/>
                    <w:jc w:val="center"/>
                    <w:rPr>
                      <w:szCs w:val="21"/>
                    </w:rPr>
                  </w:pPr>
                  <w:r>
                    <w:rPr>
                      <w:szCs w:val="21"/>
                    </w:rPr>
                    <w:t>202</w:t>
                  </w:r>
                  <w:r>
                    <w:rPr>
                      <w:rFonts w:hint="eastAsia"/>
                      <w:szCs w:val="21"/>
                      <w:lang w:val="en-US" w:eastAsia="zh-CN"/>
                    </w:rPr>
                    <w:t>4</w:t>
                  </w:r>
                  <w:r>
                    <w:rPr>
                      <w:szCs w:val="21"/>
                    </w:rPr>
                    <w:t>年10周</w:t>
                  </w:r>
                </w:p>
              </w:tc>
              <w:tc>
                <w:tcPr>
                  <w:tcW w:w="891" w:type="pct"/>
                  <w:noWrap w:val="0"/>
                  <w:tcMar>
                    <w:top w:w="15" w:type="dxa"/>
                    <w:left w:w="15" w:type="dxa"/>
                    <w:bottom w:w="0" w:type="dxa"/>
                    <w:right w:w="15" w:type="dxa"/>
                  </w:tcMar>
                  <w:vAlign w:val="center"/>
                </w:tcPr>
                <w:p w14:paraId="77A4CD8A">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17.6</w:t>
                  </w:r>
                </w:p>
              </w:tc>
              <w:tc>
                <w:tcPr>
                  <w:tcW w:w="811" w:type="pct"/>
                  <w:noWrap w:val="0"/>
                  <w:tcMar>
                    <w:top w:w="15" w:type="dxa"/>
                    <w:left w:w="15" w:type="dxa"/>
                    <w:bottom w:w="0" w:type="dxa"/>
                    <w:right w:w="15" w:type="dxa"/>
                  </w:tcMar>
                  <w:vAlign w:val="center"/>
                </w:tcPr>
                <w:p w14:paraId="5D5C4D00">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1.37</w:t>
                  </w:r>
                </w:p>
              </w:tc>
              <w:tc>
                <w:tcPr>
                  <w:tcW w:w="709" w:type="pct"/>
                  <w:noWrap w:val="0"/>
                  <w:tcMar>
                    <w:top w:w="15" w:type="dxa"/>
                    <w:left w:w="15" w:type="dxa"/>
                    <w:bottom w:w="0" w:type="dxa"/>
                    <w:right w:w="15" w:type="dxa"/>
                  </w:tcMar>
                  <w:vAlign w:val="center"/>
                </w:tcPr>
                <w:p w14:paraId="495A5943">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0.225</w:t>
                  </w:r>
                </w:p>
              </w:tc>
              <w:tc>
                <w:tcPr>
                  <w:tcW w:w="1020" w:type="pct"/>
                  <w:noWrap w:val="0"/>
                  <w:tcMar>
                    <w:top w:w="15" w:type="dxa"/>
                    <w:left w:w="15" w:type="dxa"/>
                    <w:bottom w:w="0" w:type="dxa"/>
                    <w:right w:w="15" w:type="dxa"/>
                  </w:tcMar>
                  <w:vAlign w:val="center"/>
                </w:tcPr>
                <w:p w14:paraId="05B9EE74">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7.3</w:t>
                  </w:r>
                </w:p>
              </w:tc>
            </w:tr>
            <w:tr w14:paraId="4D1236C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65" w:hRule="atLeast"/>
                <w:jc w:val="center"/>
              </w:trPr>
              <w:tc>
                <w:tcPr>
                  <w:tcW w:w="1566" w:type="pct"/>
                  <w:noWrap w:val="0"/>
                  <w:tcMar>
                    <w:top w:w="15" w:type="dxa"/>
                    <w:left w:w="15" w:type="dxa"/>
                    <w:bottom w:w="0" w:type="dxa"/>
                    <w:right w:w="15" w:type="dxa"/>
                  </w:tcMar>
                  <w:vAlign w:val="center"/>
                </w:tcPr>
                <w:p w14:paraId="128BD941">
                  <w:pPr>
                    <w:contextualSpacing/>
                    <w:jc w:val="center"/>
                    <w:rPr>
                      <w:szCs w:val="21"/>
                    </w:rPr>
                  </w:pPr>
                  <w:r>
                    <w:rPr>
                      <w:szCs w:val="21"/>
                    </w:rPr>
                    <w:t>202</w:t>
                  </w:r>
                  <w:r>
                    <w:rPr>
                      <w:rFonts w:hint="eastAsia"/>
                      <w:szCs w:val="21"/>
                      <w:lang w:val="en-US" w:eastAsia="zh-CN"/>
                    </w:rPr>
                    <w:t>4</w:t>
                  </w:r>
                  <w:r>
                    <w:rPr>
                      <w:szCs w:val="21"/>
                    </w:rPr>
                    <w:t>年11周</w:t>
                  </w:r>
                </w:p>
              </w:tc>
              <w:tc>
                <w:tcPr>
                  <w:tcW w:w="891" w:type="pct"/>
                  <w:noWrap w:val="0"/>
                  <w:tcMar>
                    <w:top w:w="15" w:type="dxa"/>
                    <w:left w:w="15" w:type="dxa"/>
                    <w:bottom w:w="0" w:type="dxa"/>
                    <w:right w:w="15" w:type="dxa"/>
                  </w:tcMar>
                  <w:vAlign w:val="center"/>
                </w:tcPr>
                <w:p w14:paraId="58513A48">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25.6</w:t>
                  </w:r>
                </w:p>
              </w:tc>
              <w:tc>
                <w:tcPr>
                  <w:tcW w:w="811" w:type="pct"/>
                  <w:noWrap w:val="0"/>
                  <w:tcMar>
                    <w:top w:w="15" w:type="dxa"/>
                    <w:left w:w="15" w:type="dxa"/>
                    <w:bottom w:w="0" w:type="dxa"/>
                    <w:right w:w="15" w:type="dxa"/>
                  </w:tcMar>
                  <w:vAlign w:val="center"/>
                </w:tcPr>
                <w:p w14:paraId="52567465">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1.142</w:t>
                  </w:r>
                </w:p>
              </w:tc>
              <w:tc>
                <w:tcPr>
                  <w:tcW w:w="709" w:type="pct"/>
                  <w:noWrap w:val="0"/>
                  <w:tcMar>
                    <w:top w:w="15" w:type="dxa"/>
                    <w:left w:w="15" w:type="dxa"/>
                    <w:bottom w:w="0" w:type="dxa"/>
                    <w:right w:w="15" w:type="dxa"/>
                  </w:tcMar>
                  <w:vAlign w:val="center"/>
                </w:tcPr>
                <w:p w14:paraId="70AFBDCF">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0.244</w:t>
                  </w:r>
                </w:p>
              </w:tc>
              <w:tc>
                <w:tcPr>
                  <w:tcW w:w="1020" w:type="pct"/>
                  <w:noWrap w:val="0"/>
                  <w:tcMar>
                    <w:top w:w="15" w:type="dxa"/>
                    <w:left w:w="15" w:type="dxa"/>
                    <w:bottom w:w="0" w:type="dxa"/>
                    <w:right w:w="15" w:type="dxa"/>
                  </w:tcMar>
                  <w:vAlign w:val="center"/>
                </w:tcPr>
                <w:p w14:paraId="6D58C911">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8.8</w:t>
                  </w:r>
                </w:p>
              </w:tc>
            </w:tr>
            <w:tr w14:paraId="5C32BDC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54" w:hRule="atLeast"/>
                <w:jc w:val="center"/>
              </w:trPr>
              <w:tc>
                <w:tcPr>
                  <w:tcW w:w="1566" w:type="pct"/>
                  <w:noWrap w:val="0"/>
                  <w:tcMar>
                    <w:top w:w="15" w:type="dxa"/>
                    <w:left w:w="15" w:type="dxa"/>
                    <w:bottom w:w="0" w:type="dxa"/>
                    <w:right w:w="15" w:type="dxa"/>
                  </w:tcMar>
                  <w:vAlign w:val="center"/>
                </w:tcPr>
                <w:p w14:paraId="49B18105">
                  <w:pPr>
                    <w:contextualSpacing/>
                    <w:jc w:val="center"/>
                    <w:rPr>
                      <w:szCs w:val="21"/>
                    </w:rPr>
                  </w:pPr>
                  <w:r>
                    <w:rPr>
                      <w:szCs w:val="21"/>
                    </w:rPr>
                    <w:t>202</w:t>
                  </w:r>
                  <w:r>
                    <w:rPr>
                      <w:rFonts w:hint="eastAsia"/>
                      <w:szCs w:val="21"/>
                      <w:lang w:val="en-US" w:eastAsia="zh-CN"/>
                    </w:rPr>
                    <w:t>4</w:t>
                  </w:r>
                  <w:r>
                    <w:rPr>
                      <w:szCs w:val="21"/>
                    </w:rPr>
                    <w:t>年12周</w:t>
                  </w:r>
                </w:p>
              </w:tc>
              <w:tc>
                <w:tcPr>
                  <w:tcW w:w="891" w:type="pct"/>
                  <w:noWrap w:val="0"/>
                  <w:tcMar>
                    <w:top w:w="15" w:type="dxa"/>
                    <w:left w:w="15" w:type="dxa"/>
                    <w:bottom w:w="0" w:type="dxa"/>
                    <w:right w:w="15" w:type="dxa"/>
                  </w:tcMar>
                  <w:vAlign w:val="center"/>
                </w:tcPr>
                <w:p w14:paraId="3B4D307D">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37.1</w:t>
                  </w:r>
                </w:p>
              </w:tc>
              <w:tc>
                <w:tcPr>
                  <w:tcW w:w="811" w:type="pct"/>
                  <w:noWrap w:val="0"/>
                  <w:tcMar>
                    <w:top w:w="15" w:type="dxa"/>
                    <w:left w:w="15" w:type="dxa"/>
                    <w:bottom w:w="0" w:type="dxa"/>
                    <w:right w:w="15" w:type="dxa"/>
                  </w:tcMar>
                  <w:vAlign w:val="center"/>
                </w:tcPr>
                <w:p w14:paraId="3D6271A8">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0.231</w:t>
                  </w:r>
                </w:p>
              </w:tc>
              <w:tc>
                <w:tcPr>
                  <w:tcW w:w="709" w:type="pct"/>
                  <w:noWrap w:val="0"/>
                  <w:tcMar>
                    <w:top w:w="15" w:type="dxa"/>
                    <w:left w:w="15" w:type="dxa"/>
                    <w:bottom w:w="0" w:type="dxa"/>
                    <w:right w:w="15" w:type="dxa"/>
                  </w:tcMar>
                  <w:vAlign w:val="center"/>
                </w:tcPr>
                <w:p w14:paraId="095D7E6B">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0.243</w:t>
                  </w:r>
                </w:p>
              </w:tc>
              <w:tc>
                <w:tcPr>
                  <w:tcW w:w="1020" w:type="pct"/>
                  <w:noWrap w:val="0"/>
                  <w:tcMar>
                    <w:top w:w="15" w:type="dxa"/>
                    <w:left w:w="15" w:type="dxa"/>
                    <w:bottom w:w="0" w:type="dxa"/>
                    <w:right w:w="15" w:type="dxa"/>
                  </w:tcMar>
                  <w:vAlign w:val="center"/>
                </w:tcPr>
                <w:p w14:paraId="63A09460">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13.3</w:t>
                  </w:r>
                </w:p>
              </w:tc>
            </w:tr>
            <w:tr w14:paraId="3552FD3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54" w:hRule="atLeast"/>
                <w:jc w:val="center"/>
              </w:trPr>
              <w:tc>
                <w:tcPr>
                  <w:tcW w:w="1566" w:type="pct"/>
                  <w:noWrap w:val="0"/>
                  <w:tcMar>
                    <w:top w:w="15" w:type="dxa"/>
                    <w:left w:w="15" w:type="dxa"/>
                    <w:bottom w:w="0" w:type="dxa"/>
                    <w:right w:w="15" w:type="dxa"/>
                  </w:tcMar>
                  <w:vAlign w:val="center"/>
                </w:tcPr>
                <w:p w14:paraId="3E2CB874">
                  <w:pPr>
                    <w:contextualSpacing/>
                    <w:jc w:val="center"/>
                    <w:rPr>
                      <w:szCs w:val="21"/>
                    </w:rPr>
                  </w:pPr>
                  <w:r>
                    <w:rPr>
                      <w:szCs w:val="21"/>
                    </w:rPr>
                    <w:t>202</w:t>
                  </w:r>
                  <w:r>
                    <w:rPr>
                      <w:rFonts w:hint="eastAsia"/>
                      <w:szCs w:val="21"/>
                      <w:lang w:val="en-US" w:eastAsia="zh-CN"/>
                    </w:rPr>
                    <w:t>4</w:t>
                  </w:r>
                  <w:r>
                    <w:rPr>
                      <w:szCs w:val="21"/>
                    </w:rPr>
                    <w:t>年13周</w:t>
                  </w:r>
                </w:p>
              </w:tc>
              <w:tc>
                <w:tcPr>
                  <w:tcW w:w="891" w:type="pct"/>
                  <w:noWrap w:val="0"/>
                  <w:tcMar>
                    <w:top w:w="15" w:type="dxa"/>
                    <w:left w:w="15" w:type="dxa"/>
                    <w:bottom w:w="0" w:type="dxa"/>
                    <w:right w:w="15" w:type="dxa"/>
                  </w:tcMar>
                  <w:vAlign w:val="center"/>
                </w:tcPr>
                <w:p w14:paraId="164CA44F">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33.2</w:t>
                  </w:r>
                </w:p>
              </w:tc>
              <w:tc>
                <w:tcPr>
                  <w:tcW w:w="811" w:type="pct"/>
                  <w:noWrap w:val="0"/>
                  <w:tcMar>
                    <w:top w:w="15" w:type="dxa"/>
                    <w:left w:w="15" w:type="dxa"/>
                    <w:bottom w:w="0" w:type="dxa"/>
                    <w:right w:w="15" w:type="dxa"/>
                  </w:tcMar>
                  <w:vAlign w:val="center"/>
                </w:tcPr>
                <w:p w14:paraId="3FEE45D2">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1.04</w:t>
                  </w:r>
                </w:p>
              </w:tc>
              <w:tc>
                <w:tcPr>
                  <w:tcW w:w="709" w:type="pct"/>
                  <w:noWrap w:val="0"/>
                  <w:tcMar>
                    <w:top w:w="15" w:type="dxa"/>
                    <w:left w:w="15" w:type="dxa"/>
                    <w:bottom w:w="0" w:type="dxa"/>
                    <w:right w:w="15" w:type="dxa"/>
                  </w:tcMar>
                  <w:vAlign w:val="center"/>
                </w:tcPr>
                <w:p w14:paraId="5BAEFE69">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0.354</w:t>
                  </w:r>
                </w:p>
              </w:tc>
              <w:tc>
                <w:tcPr>
                  <w:tcW w:w="1020" w:type="pct"/>
                  <w:noWrap w:val="0"/>
                  <w:tcMar>
                    <w:top w:w="15" w:type="dxa"/>
                    <w:left w:w="15" w:type="dxa"/>
                    <w:bottom w:w="0" w:type="dxa"/>
                    <w:right w:w="15" w:type="dxa"/>
                  </w:tcMar>
                  <w:vAlign w:val="center"/>
                </w:tcPr>
                <w:p w14:paraId="631945E6">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11</w:t>
                  </w:r>
                </w:p>
              </w:tc>
            </w:tr>
            <w:tr w14:paraId="5B5610B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82" w:hRule="atLeast"/>
                <w:jc w:val="center"/>
              </w:trPr>
              <w:tc>
                <w:tcPr>
                  <w:tcW w:w="1566" w:type="pct"/>
                  <w:noWrap w:val="0"/>
                  <w:tcMar>
                    <w:top w:w="15" w:type="dxa"/>
                    <w:left w:w="15" w:type="dxa"/>
                    <w:bottom w:w="0" w:type="dxa"/>
                    <w:right w:w="15" w:type="dxa"/>
                  </w:tcMar>
                  <w:vAlign w:val="center"/>
                </w:tcPr>
                <w:p w14:paraId="730A282C">
                  <w:pPr>
                    <w:contextualSpacing/>
                    <w:jc w:val="center"/>
                    <w:rPr>
                      <w:szCs w:val="21"/>
                    </w:rPr>
                  </w:pPr>
                  <w:r>
                    <w:rPr>
                      <w:szCs w:val="21"/>
                    </w:rPr>
                    <w:t>202</w:t>
                  </w:r>
                  <w:r>
                    <w:rPr>
                      <w:rFonts w:hint="eastAsia"/>
                      <w:szCs w:val="21"/>
                      <w:lang w:val="en-US" w:eastAsia="zh-CN"/>
                    </w:rPr>
                    <w:t>4</w:t>
                  </w:r>
                  <w:r>
                    <w:rPr>
                      <w:szCs w:val="21"/>
                    </w:rPr>
                    <w:t>年14周</w:t>
                  </w:r>
                </w:p>
              </w:tc>
              <w:tc>
                <w:tcPr>
                  <w:tcW w:w="891" w:type="pct"/>
                  <w:noWrap w:val="0"/>
                  <w:tcMar>
                    <w:top w:w="15" w:type="dxa"/>
                    <w:left w:w="15" w:type="dxa"/>
                    <w:bottom w:w="0" w:type="dxa"/>
                    <w:right w:w="15" w:type="dxa"/>
                  </w:tcMar>
                  <w:vAlign w:val="center"/>
                </w:tcPr>
                <w:p w14:paraId="089E568F">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25.6</w:t>
                  </w:r>
                </w:p>
              </w:tc>
              <w:tc>
                <w:tcPr>
                  <w:tcW w:w="811" w:type="pct"/>
                  <w:noWrap w:val="0"/>
                  <w:tcMar>
                    <w:top w:w="15" w:type="dxa"/>
                    <w:left w:w="15" w:type="dxa"/>
                    <w:bottom w:w="0" w:type="dxa"/>
                    <w:right w:w="15" w:type="dxa"/>
                  </w:tcMar>
                  <w:vAlign w:val="center"/>
                </w:tcPr>
                <w:p w14:paraId="18A62D0D">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0.22</w:t>
                  </w:r>
                </w:p>
              </w:tc>
              <w:tc>
                <w:tcPr>
                  <w:tcW w:w="709" w:type="pct"/>
                  <w:noWrap w:val="0"/>
                  <w:tcMar>
                    <w:top w:w="15" w:type="dxa"/>
                    <w:left w:w="15" w:type="dxa"/>
                    <w:bottom w:w="0" w:type="dxa"/>
                    <w:right w:w="15" w:type="dxa"/>
                  </w:tcMar>
                  <w:vAlign w:val="center"/>
                </w:tcPr>
                <w:p w14:paraId="606F02B8">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1.199</w:t>
                  </w:r>
                </w:p>
              </w:tc>
              <w:tc>
                <w:tcPr>
                  <w:tcW w:w="1020" w:type="pct"/>
                  <w:noWrap w:val="0"/>
                  <w:tcMar>
                    <w:top w:w="15" w:type="dxa"/>
                    <w:left w:w="15" w:type="dxa"/>
                    <w:bottom w:w="0" w:type="dxa"/>
                    <w:right w:w="15" w:type="dxa"/>
                  </w:tcMar>
                  <w:vAlign w:val="center"/>
                </w:tcPr>
                <w:p w14:paraId="6769162F">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7.9</w:t>
                  </w:r>
                </w:p>
              </w:tc>
            </w:tr>
            <w:tr w14:paraId="57B4504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54" w:hRule="atLeast"/>
                <w:jc w:val="center"/>
              </w:trPr>
              <w:tc>
                <w:tcPr>
                  <w:tcW w:w="1566" w:type="pct"/>
                  <w:noWrap w:val="0"/>
                  <w:tcMar>
                    <w:top w:w="15" w:type="dxa"/>
                    <w:left w:w="15" w:type="dxa"/>
                    <w:bottom w:w="0" w:type="dxa"/>
                    <w:right w:w="15" w:type="dxa"/>
                  </w:tcMar>
                  <w:vAlign w:val="center"/>
                </w:tcPr>
                <w:p w14:paraId="03409781">
                  <w:pPr>
                    <w:contextualSpacing/>
                    <w:jc w:val="center"/>
                    <w:rPr>
                      <w:szCs w:val="21"/>
                    </w:rPr>
                  </w:pPr>
                  <w:r>
                    <w:rPr>
                      <w:szCs w:val="21"/>
                    </w:rPr>
                    <w:t>202</w:t>
                  </w:r>
                  <w:r>
                    <w:rPr>
                      <w:rFonts w:hint="eastAsia"/>
                      <w:szCs w:val="21"/>
                      <w:lang w:val="en-US" w:eastAsia="zh-CN"/>
                    </w:rPr>
                    <w:t>4</w:t>
                  </w:r>
                  <w:r>
                    <w:rPr>
                      <w:szCs w:val="21"/>
                    </w:rPr>
                    <w:t>年15周</w:t>
                  </w:r>
                </w:p>
              </w:tc>
              <w:tc>
                <w:tcPr>
                  <w:tcW w:w="891" w:type="pct"/>
                  <w:noWrap w:val="0"/>
                  <w:tcMar>
                    <w:top w:w="15" w:type="dxa"/>
                    <w:left w:w="15" w:type="dxa"/>
                    <w:bottom w:w="0" w:type="dxa"/>
                    <w:right w:w="15" w:type="dxa"/>
                  </w:tcMar>
                  <w:vAlign w:val="center"/>
                </w:tcPr>
                <w:p w14:paraId="0339FCC0">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31.8</w:t>
                  </w:r>
                </w:p>
              </w:tc>
              <w:tc>
                <w:tcPr>
                  <w:tcW w:w="811" w:type="pct"/>
                  <w:noWrap w:val="0"/>
                  <w:tcMar>
                    <w:top w:w="15" w:type="dxa"/>
                    <w:left w:w="15" w:type="dxa"/>
                    <w:bottom w:w="0" w:type="dxa"/>
                    <w:right w:w="15" w:type="dxa"/>
                  </w:tcMar>
                  <w:vAlign w:val="center"/>
                </w:tcPr>
                <w:p w14:paraId="2792AE7B">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0.036</w:t>
                  </w:r>
                </w:p>
              </w:tc>
              <w:tc>
                <w:tcPr>
                  <w:tcW w:w="709" w:type="pct"/>
                  <w:noWrap w:val="0"/>
                  <w:tcMar>
                    <w:top w:w="15" w:type="dxa"/>
                    <w:left w:w="15" w:type="dxa"/>
                    <w:bottom w:w="0" w:type="dxa"/>
                    <w:right w:w="15" w:type="dxa"/>
                  </w:tcMar>
                  <w:vAlign w:val="center"/>
                </w:tcPr>
                <w:p w14:paraId="5C03CADD">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0.163</w:t>
                  </w:r>
                </w:p>
              </w:tc>
              <w:tc>
                <w:tcPr>
                  <w:tcW w:w="1020" w:type="pct"/>
                  <w:noWrap w:val="0"/>
                  <w:tcMar>
                    <w:top w:w="15" w:type="dxa"/>
                    <w:left w:w="15" w:type="dxa"/>
                    <w:bottom w:w="0" w:type="dxa"/>
                    <w:right w:w="15" w:type="dxa"/>
                  </w:tcMar>
                  <w:vAlign w:val="center"/>
                </w:tcPr>
                <w:p w14:paraId="78070EA8">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10.1</w:t>
                  </w:r>
                </w:p>
              </w:tc>
            </w:tr>
            <w:tr w14:paraId="585C0F2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54" w:hRule="atLeast"/>
                <w:jc w:val="center"/>
              </w:trPr>
              <w:tc>
                <w:tcPr>
                  <w:tcW w:w="1566" w:type="pct"/>
                  <w:noWrap w:val="0"/>
                  <w:tcMar>
                    <w:top w:w="15" w:type="dxa"/>
                    <w:left w:w="15" w:type="dxa"/>
                    <w:bottom w:w="0" w:type="dxa"/>
                    <w:right w:w="15" w:type="dxa"/>
                  </w:tcMar>
                  <w:vAlign w:val="center"/>
                </w:tcPr>
                <w:p w14:paraId="0614D869">
                  <w:pPr>
                    <w:contextualSpacing/>
                    <w:jc w:val="center"/>
                    <w:rPr>
                      <w:szCs w:val="21"/>
                    </w:rPr>
                  </w:pPr>
                  <w:r>
                    <w:rPr>
                      <w:szCs w:val="21"/>
                    </w:rPr>
                    <w:t>202</w:t>
                  </w:r>
                  <w:r>
                    <w:rPr>
                      <w:rFonts w:hint="eastAsia"/>
                      <w:szCs w:val="21"/>
                      <w:lang w:val="en-US" w:eastAsia="zh-CN"/>
                    </w:rPr>
                    <w:t>4</w:t>
                  </w:r>
                  <w:r>
                    <w:rPr>
                      <w:szCs w:val="21"/>
                    </w:rPr>
                    <w:t>年16周</w:t>
                  </w:r>
                </w:p>
              </w:tc>
              <w:tc>
                <w:tcPr>
                  <w:tcW w:w="891" w:type="pct"/>
                  <w:noWrap w:val="0"/>
                  <w:tcMar>
                    <w:top w:w="15" w:type="dxa"/>
                    <w:left w:w="15" w:type="dxa"/>
                    <w:bottom w:w="0" w:type="dxa"/>
                    <w:right w:w="15" w:type="dxa"/>
                  </w:tcMar>
                  <w:vAlign w:val="center"/>
                </w:tcPr>
                <w:p w14:paraId="34745F5C">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29.7</w:t>
                  </w:r>
                </w:p>
              </w:tc>
              <w:tc>
                <w:tcPr>
                  <w:tcW w:w="811" w:type="pct"/>
                  <w:noWrap w:val="0"/>
                  <w:tcMar>
                    <w:top w:w="15" w:type="dxa"/>
                    <w:left w:w="15" w:type="dxa"/>
                    <w:bottom w:w="0" w:type="dxa"/>
                    <w:right w:w="15" w:type="dxa"/>
                  </w:tcMar>
                  <w:vAlign w:val="center"/>
                </w:tcPr>
                <w:p w14:paraId="48DB8136">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0.122</w:t>
                  </w:r>
                </w:p>
              </w:tc>
              <w:tc>
                <w:tcPr>
                  <w:tcW w:w="709" w:type="pct"/>
                  <w:noWrap w:val="0"/>
                  <w:tcMar>
                    <w:top w:w="15" w:type="dxa"/>
                    <w:left w:w="15" w:type="dxa"/>
                    <w:bottom w:w="0" w:type="dxa"/>
                    <w:right w:w="15" w:type="dxa"/>
                  </w:tcMar>
                  <w:vAlign w:val="center"/>
                </w:tcPr>
                <w:p w14:paraId="4FCBD2FE">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0.176</w:t>
                  </w:r>
                </w:p>
              </w:tc>
              <w:tc>
                <w:tcPr>
                  <w:tcW w:w="1020" w:type="pct"/>
                  <w:noWrap w:val="0"/>
                  <w:tcMar>
                    <w:top w:w="15" w:type="dxa"/>
                    <w:left w:w="15" w:type="dxa"/>
                    <w:bottom w:w="0" w:type="dxa"/>
                    <w:right w:w="15" w:type="dxa"/>
                  </w:tcMar>
                  <w:vAlign w:val="center"/>
                </w:tcPr>
                <w:p w14:paraId="372E0CCE">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9.4</w:t>
                  </w:r>
                </w:p>
              </w:tc>
            </w:tr>
            <w:tr w14:paraId="7C1CB62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54" w:hRule="atLeast"/>
                <w:jc w:val="center"/>
              </w:trPr>
              <w:tc>
                <w:tcPr>
                  <w:tcW w:w="1566" w:type="pct"/>
                  <w:noWrap w:val="0"/>
                  <w:tcMar>
                    <w:top w:w="15" w:type="dxa"/>
                    <w:left w:w="15" w:type="dxa"/>
                    <w:bottom w:w="0" w:type="dxa"/>
                    <w:right w:w="15" w:type="dxa"/>
                  </w:tcMar>
                  <w:vAlign w:val="center"/>
                </w:tcPr>
                <w:p w14:paraId="4C1D5B84">
                  <w:pPr>
                    <w:contextualSpacing/>
                    <w:jc w:val="center"/>
                    <w:rPr>
                      <w:szCs w:val="21"/>
                    </w:rPr>
                  </w:pPr>
                  <w:r>
                    <w:rPr>
                      <w:szCs w:val="21"/>
                    </w:rPr>
                    <w:t>202</w:t>
                  </w:r>
                  <w:r>
                    <w:rPr>
                      <w:rFonts w:hint="eastAsia"/>
                      <w:szCs w:val="21"/>
                      <w:lang w:val="en-US" w:eastAsia="zh-CN"/>
                    </w:rPr>
                    <w:t>4</w:t>
                  </w:r>
                  <w:r>
                    <w:rPr>
                      <w:szCs w:val="21"/>
                    </w:rPr>
                    <w:t>年17周</w:t>
                  </w:r>
                </w:p>
              </w:tc>
              <w:tc>
                <w:tcPr>
                  <w:tcW w:w="891" w:type="pct"/>
                  <w:noWrap w:val="0"/>
                  <w:tcMar>
                    <w:top w:w="15" w:type="dxa"/>
                    <w:left w:w="15" w:type="dxa"/>
                    <w:bottom w:w="0" w:type="dxa"/>
                    <w:right w:w="15" w:type="dxa"/>
                  </w:tcMar>
                  <w:vAlign w:val="center"/>
                </w:tcPr>
                <w:p w14:paraId="4DEA52C5">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35.2</w:t>
                  </w:r>
                </w:p>
              </w:tc>
              <w:tc>
                <w:tcPr>
                  <w:tcW w:w="811" w:type="pct"/>
                  <w:noWrap w:val="0"/>
                  <w:tcMar>
                    <w:top w:w="15" w:type="dxa"/>
                    <w:left w:w="15" w:type="dxa"/>
                    <w:bottom w:w="0" w:type="dxa"/>
                    <w:right w:w="15" w:type="dxa"/>
                  </w:tcMar>
                  <w:vAlign w:val="center"/>
                </w:tcPr>
                <w:p w14:paraId="08E62297">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0.36</w:t>
                  </w:r>
                </w:p>
              </w:tc>
              <w:tc>
                <w:tcPr>
                  <w:tcW w:w="709" w:type="pct"/>
                  <w:noWrap w:val="0"/>
                  <w:tcMar>
                    <w:top w:w="15" w:type="dxa"/>
                    <w:left w:w="15" w:type="dxa"/>
                    <w:bottom w:w="0" w:type="dxa"/>
                    <w:right w:w="15" w:type="dxa"/>
                  </w:tcMar>
                  <w:vAlign w:val="center"/>
                </w:tcPr>
                <w:p w14:paraId="759C6BCA">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0.196</w:t>
                  </w:r>
                </w:p>
              </w:tc>
              <w:tc>
                <w:tcPr>
                  <w:tcW w:w="1020" w:type="pct"/>
                  <w:noWrap w:val="0"/>
                  <w:tcMar>
                    <w:top w:w="15" w:type="dxa"/>
                    <w:left w:w="15" w:type="dxa"/>
                    <w:bottom w:w="0" w:type="dxa"/>
                    <w:right w:w="15" w:type="dxa"/>
                  </w:tcMar>
                  <w:vAlign w:val="center"/>
                </w:tcPr>
                <w:p w14:paraId="088FA759">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11.1</w:t>
                  </w:r>
                </w:p>
              </w:tc>
            </w:tr>
            <w:tr w14:paraId="427DB54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54" w:hRule="atLeast"/>
                <w:jc w:val="center"/>
              </w:trPr>
              <w:tc>
                <w:tcPr>
                  <w:tcW w:w="1566" w:type="pct"/>
                  <w:noWrap w:val="0"/>
                  <w:tcMar>
                    <w:top w:w="15" w:type="dxa"/>
                    <w:left w:w="15" w:type="dxa"/>
                    <w:bottom w:w="0" w:type="dxa"/>
                    <w:right w:w="15" w:type="dxa"/>
                  </w:tcMar>
                  <w:vAlign w:val="center"/>
                </w:tcPr>
                <w:p w14:paraId="5B7FD8F2">
                  <w:pPr>
                    <w:contextualSpacing/>
                    <w:jc w:val="center"/>
                    <w:rPr>
                      <w:szCs w:val="21"/>
                    </w:rPr>
                  </w:pPr>
                  <w:r>
                    <w:rPr>
                      <w:szCs w:val="21"/>
                    </w:rPr>
                    <w:t>202</w:t>
                  </w:r>
                  <w:r>
                    <w:rPr>
                      <w:rFonts w:hint="eastAsia"/>
                      <w:szCs w:val="21"/>
                      <w:lang w:val="en-US" w:eastAsia="zh-CN"/>
                    </w:rPr>
                    <w:t>4</w:t>
                  </w:r>
                  <w:r>
                    <w:rPr>
                      <w:szCs w:val="21"/>
                    </w:rPr>
                    <w:t>年18周</w:t>
                  </w:r>
                </w:p>
              </w:tc>
              <w:tc>
                <w:tcPr>
                  <w:tcW w:w="891" w:type="pct"/>
                  <w:noWrap w:val="0"/>
                  <w:tcMar>
                    <w:top w:w="15" w:type="dxa"/>
                    <w:left w:w="15" w:type="dxa"/>
                    <w:bottom w:w="0" w:type="dxa"/>
                    <w:right w:w="15" w:type="dxa"/>
                  </w:tcMar>
                  <w:vAlign w:val="center"/>
                </w:tcPr>
                <w:p w14:paraId="455E7E2D">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45.8</w:t>
                  </w:r>
                </w:p>
              </w:tc>
              <w:tc>
                <w:tcPr>
                  <w:tcW w:w="811" w:type="pct"/>
                  <w:noWrap w:val="0"/>
                  <w:tcMar>
                    <w:top w:w="15" w:type="dxa"/>
                    <w:left w:w="15" w:type="dxa"/>
                    <w:bottom w:w="0" w:type="dxa"/>
                    <w:right w:w="15" w:type="dxa"/>
                  </w:tcMar>
                  <w:vAlign w:val="center"/>
                </w:tcPr>
                <w:p w14:paraId="7743585B">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0.27</w:t>
                  </w:r>
                </w:p>
              </w:tc>
              <w:tc>
                <w:tcPr>
                  <w:tcW w:w="709" w:type="pct"/>
                  <w:noWrap w:val="0"/>
                  <w:tcMar>
                    <w:top w:w="15" w:type="dxa"/>
                    <w:left w:w="15" w:type="dxa"/>
                    <w:bottom w:w="0" w:type="dxa"/>
                    <w:right w:w="15" w:type="dxa"/>
                  </w:tcMar>
                  <w:vAlign w:val="center"/>
                </w:tcPr>
                <w:p w14:paraId="3FFD5D98">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0.332</w:t>
                  </w:r>
                </w:p>
              </w:tc>
              <w:tc>
                <w:tcPr>
                  <w:tcW w:w="1020" w:type="pct"/>
                  <w:noWrap w:val="0"/>
                  <w:tcMar>
                    <w:top w:w="15" w:type="dxa"/>
                    <w:left w:w="15" w:type="dxa"/>
                    <w:bottom w:w="0" w:type="dxa"/>
                    <w:right w:w="15" w:type="dxa"/>
                  </w:tcMar>
                  <w:vAlign w:val="center"/>
                </w:tcPr>
                <w:p w14:paraId="7332D2D3">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10.5</w:t>
                  </w:r>
                </w:p>
              </w:tc>
            </w:tr>
            <w:tr w14:paraId="6B2CC29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60" w:hRule="atLeast"/>
                <w:jc w:val="center"/>
              </w:trPr>
              <w:tc>
                <w:tcPr>
                  <w:tcW w:w="1566" w:type="pct"/>
                  <w:noWrap w:val="0"/>
                  <w:tcMar>
                    <w:top w:w="15" w:type="dxa"/>
                    <w:left w:w="15" w:type="dxa"/>
                    <w:bottom w:w="0" w:type="dxa"/>
                    <w:right w:w="15" w:type="dxa"/>
                  </w:tcMar>
                  <w:vAlign w:val="center"/>
                </w:tcPr>
                <w:p w14:paraId="529D8180">
                  <w:pPr>
                    <w:contextualSpacing/>
                    <w:jc w:val="center"/>
                    <w:rPr>
                      <w:szCs w:val="21"/>
                    </w:rPr>
                  </w:pPr>
                  <w:r>
                    <w:rPr>
                      <w:szCs w:val="21"/>
                    </w:rPr>
                    <w:t>202</w:t>
                  </w:r>
                  <w:r>
                    <w:rPr>
                      <w:rFonts w:hint="eastAsia"/>
                      <w:szCs w:val="21"/>
                      <w:lang w:val="en-US" w:eastAsia="zh-CN"/>
                    </w:rPr>
                    <w:t>4</w:t>
                  </w:r>
                  <w:r>
                    <w:rPr>
                      <w:szCs w:val="21"/>
                    </w:rPr>
                    <w:t>年19周</w:t>
                  </w:r>
                </w:p>
              </w:tc>
              <w:tc>
                <w:tcPr>
                  <w:tcW w:w="891" w:type="pct"/>
                  <w:noWrap w:val="0"/>
                  <w:tcMar>
                    <w:top w:w="15" w:type="dxa"/>
                    <w:left w:w="15" w:type="dxa"/>
                    <w:bottom w:w="0" w:type="dxa"/>
                    <w:right w:w="15" w:type="dxa"/>
                  </w:tcMar>
                  <w:vAlign w:val="center"/>
                </w:tcPr>
                <w:p w14:paraId="4959BCFD">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30.3</w:t>
                  </w:r>
                </w:p>
              </w:tc>
              <w:tc>
                <w:tcPr>
                  <w:tcW w:w="811" w:type="pct"/>
                  <w:noWrap w:val="0"/>
                  <w:tcMar>
                    <w:top w:w="15" w:type="dxa"/>
                    <w:left w:w="15" w:type="dxa"/>
                    <w:bottom w:w="0" w:type="dxa"/>
                    <w:right w:w="15" w:type="dxa"/>
                  </w:tcMar>
                  <w:vAlign w:val="center"/>
                </w:tcPr>
                <w:p w14:paraId="39459E4D">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0.04</w:t>
                  </w:r>
                </w:p>
              </w:tc>
              <w:tc>
                <w:tcPr>
                  <w:tcW w:w="709" w:type="pct"/>
                  <w:noWrap w:val="0"/>
                  <w:tcMar>
                    <w:top w:w="15" w:type="dxa"/>
                    <w:left w:w="15" w:type="dxa"/>
                    <w:bottom w:w="0" w:type="dxa"/>
                    <w:right w:w="15" w:type="dxa"/>
                  </w:tcMar>
                  <w:vAlign w:val="center"/>
                </w:tcPr>
                <w:p w14:paraId="77D31523">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0.178</w:t>
                  </w:r>
                </w:p>
              </w:tc>
              <w:tc>
                <w:tcPr>
                  <w:tcW w:w="1020" w:type="pct"/>
                  <w:noWrap w:val="0"/>
                  <w:tcMar>
                    <w:top w:w="15" w:type="dxa"/>
                    <w:left w:w="15" w:type="dxa"/>
                    <w:bottom w:w="0" w:type="dxa"/>
                    <w:right w:w="15" w:type="dxa"/>
                  </w:tcMar>
                  <w:vAlign w:val="center"/>
                </w:tcPr>
                <w:p w14:paraId="05C72ABD">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8.3</w:t>
                  </w:r>
                </w:p>
              </w:tc>
            </w:tr>
            <w:tr w14:paraId="7FAE7FA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54" w:hRule="atLeast"/>
                <w:jc w:val="center"/>
              </w:trPr>
              <w:tc>
                <w:tcPr>
                  <w:tcW w:w="1566" w:type="pct"/>
                  <w:noWrap w:val="0"/>
                  <w:tcMar>
                    <w:top w:w="15" w:type="dxa"/>
                    <w:left w:w="15" w:type="dxa"/>
                    <w:bottom w:w="0" w:type="dxa"/>
                    <w:right w:w="15" w:type="dxa"/>
                  </w:tcMar>
                  <w:vAlign w:val="center"/>
                </w:tcPr>
                <w:p w14:paraId="2B6956CA">
                  <w:pPr>
                    <w:contextualSpacing/>
                    <w:jc w:val="center"/>
                    <w:rPr>
                      <w:szCs w:val="21"/>
                    </w:rPr>
                  </w:pPr>
                  <w:r>
                    <w:rPr>
                      <w:szCs w:val="21"/>
                    </w:rPr>
                    <w:t>202</w:t>
                  </w:r>
                  <w:r>
                    <w:rPr>
                      <w:rFonts w:hint="eastAsia"/>
                      <w:szCs w:val="21"/>
                      <w:lang w:val="en-US" w:eastAsia="zh-CN"/>
                    </w:rPr>
                    <w:t>4</w:t>
                  </w:r>
                  <w:r>
                    <w:rPr>
                      <w:szCs w:val="21"/>
                    </w:rPr>
                    <w:t>年20周</w:t>
                  </w:r>
                </w:p>
              </w:tc>
              <w:tc>
                <w:tcPr>
                  <w:tcW w:w="891" w:type="pct"/>
                  <w:noWrap w:val="0"/>
                  <w:tcMar>
                    <w:top w:w="15" w:type="dxa"/>
                    <w:left w:w="15" w:type="dxa"/>
                    <w:bottom w:w="0" w:type="dxa"/>
                    <w:right w:w="15" w:type="dxa"/>
                  </w:tcMar>
                  <w:vAlign w:val="center"/>
                </w:tcPr>
                <w:p w14:paraId="526DBFFA">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26.3</w:t>
                  </w:r>
                </w:p>
              </w:tc>
              <w:tc>
                <w:tcPr>
                  <w:tcW w:w="811" w:type="pct"/>
                  <w:noWrap w:val="0"/>
                  <w:tcMar>
                    <w:top w:w="15" w:type="dxa"/>
                    <w:left w:w="15" w:type="dxa"/>
                    <w:bottom w:w="0" w:type="dxa"/>
                    <w:right w:w="15" w:type="dxa"/>
                  </w:tcMar>
                  <w:vAlign w:val="center"/>
                </w:tcPr>
                <w:p w14:paraId="3A881EC4">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0.04</w:t>
                  </w:r>
                </w:p>
              </w:tc>
              <w:tc>
                <w:tcPr>
                  <w:tcW w:w="709" w:type="pct"/>
                  <w:noWrap w:val="0"/>
                  <w:tcMar>
                    <w:top w:w="15" w:type="dxa"/>
                    <w:left w:w="15" w:type="dxa"/>
                    <w:bottom w:w="0" w:type="dxa"/>
                    <w:right w:w="15" w:type="dxa"/>
                  </w:tcMar>
                  <w:vAlign w:val="center"/>
                </w:tcPr>
                <w:p w14:paraId="380C7A33">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0.124</w:t>
                  </w:r>
                </w:p>
              </w:tc>
              <w:tc>
                <w:tcPr>
                  <w:tcW w:w="1020" w:type="pct"/>
                  <w:noWrap w:val="0"/>
                  <w:tcMar>
                    <w:top w:w="15" w:type="dxa"/>
                    <w:left w:w="15" w:type="dxa"/>
                    <w:bottom w:w="0" w:type="dxa"/>
                    <w:right w:w="15" w:type="dxa"/>
                  </w:tcMar>
                  <w:vAlign w:val="center"/>
                </w:tcPr>
                <w:p w14:paraId="7054293E">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8.2</w:t>
                  </w:r>
                </w:p>
              </w:tc>
            </w:tr>
            <w:tr w14:paraId="11E8F8F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54" w:hRule="atLeast"/>
                <w:jc w:val="center"/>
              </w:trPr>
              <w:tc>
                <w:tcPr>
                  <w:tcW w:w="1566" w:type="pct"/>
                  <w:noWrap w:val="0"/>
                  <w:tcMar>
                    <w:top w:w="15" w:type="dxa"/>
                    <w:left w:w="15" w:type="dxa"/>
                    <w:bottom w:w="0" w:type="dxa"/>
                    <w:right w:w="15" w:type="dxa"/>
                  </w:tcMar>
                  <w:vAlign w:val="center"/>
                </w:tcPr>
                <w:p w14:paraId="4701925B">
                  <w:pPr>
                    <w:contextualSpacing/>
                    <w:jc w:val="center"/>
                    <w:rPr>
                      <w:szCs w:val="21"/>
                    </w:rPr>
                  </w:pPr>
                  <w:r>
                    <w:rPr>
                      <w:szCs w:val="21"/>
                    </w:rPr>
                    <w:t>202</w:t>
                  </w:r>
                  <w:r>
                    <w:rPr>
                      <w:rFonts w:hint="eastAsia"/>
                      <w:szCs w:val="21"/>
                      <w:lang w:val="en-US" w:eastAsia="zh-CN"/>
                    </w:rPr>
                    <w:t>4</w:t>
                  </w:r>
                  <w:r>
                    <w:rPr>
                      <w:szCs w:val="21"/>
                    </w:rPr>
                    <w:t>年21周</w:t>
                  </w:r>
                </w:p>
              </w:tc>
              <w:tc>
                <w:tcPr>
                  <w:tcW w:w="891" w:type="pct"/>
                  <w:noWrap w:val="0"/>
                  <w:tcMar>
                    <w:top w:w="15" w:type="dxa"/>
                    <w:left w:w="15" w:type="dxa"/>
                    <w:bottom w:w="0" w:type="dxa"/>
                    <w:right w:w="15" w:type="dxa"/>
                  </w:tcMar>
                  <w:vAlign w:val="center"/>
                </w:tcPr>
                <w:p w14:paraId="60B469A1">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p>
              </w:tc>
              <w:tc>
                <w:tcPr>
                  <w:tcW w:w="811" w:type="pct"/>
                  <w:noWrap w:val="0"/>
                  <w:tcMar>
                    <w:top w:w="15" w:type="dxa"/>
                    <w:left w:w="15" w:type="dxa"/>
                    <w:bottom w:w="0" w:type="dxa"/>
                    <w:right w:w="15" w:type="dxa"/>
                  </w:tcMar>
                  <w:vAlign w:val="center"/>
                </w:tcPr>
                <w:p w14:paraId="0BF28F81">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p>
              </w:tc>
              <w:tc>
                <w:tcPr>
                  <w:tcW w:w="709" w:type="pct"/>
                  <w:noWrap w:val="0"/>
                  <w:tcMar>
                    <w:top w:w="15" w:type="dxa"/>
                    <w:left w:w="15" w:type="dxa"/>
                    <w:bottom w:w="0" w:type="dxa"/>
                    <w:right w:w="15" w:type="dxa"/>
                  </w:tcMar>
                  <w:vAlign w:val="center"/>
                </w:tcPr>
                <w:p w14:paraId="236DA496">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p>
              </w:tc>
              <w:tc>
                <w:tcPr>
                  <w:tcW w:w="1020" w:type="pct"/>
                  <w:noWrap w:val="0"/>
                  <w:tcMar>
                    <w:top w:w="15" w:type="dxa"/>
                    <w:left w:w="15" w:type="dxa"/>
                    <w:bottom w:w="0" w:type="dxa"/>
                    <w:right w:w="15" w:type="dxa"/>
                  </w:tcMar>
                  <w:vAlign w:val="center"/>
                </w:tcPr>
                <w:p w14:paraId="7D6501A4">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w:t>
                  </w:r>
                </w:p>
              </w:tc>
            </w:tr>
            <w:tr w14:paraId="16291FB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54" w:hRule="atLeast"/>
                <w:jc w:val="center"/>
              </w:trPr>
              <w:tc>
                <w:tcPr>
                  <w:tcW w:w="1566" w:type="pct"/>
                  <w:noWrap w:val="0"/>
                  <w:tcMar>
                    <w:top w:w="15" w:type="dxa"/>
                    <w:left w:w="15" w:type="dxa"/>
                    <w:bottom w:w="0" w:type="dxa"/>
                    <w:right w:w="15" w:type="dxa"/>
                  </w:tcMar>
                  <w:vAlign w:val="center"/>
                </w:tcPr>
                <w:p w14:paraId="54D5BACC">
                  <w:pPr>
                    <w:contextualSpacing/>
                    <w:jc w:val="center"/>
                    <w:rPr>
                      <w:szCs w:val="21"/>
                    </w:rPr>
                  </w:pPr>
                  <w:r>
                    <w:rPr>
                      <w:szCs w:val="21"/>
                    </w:rPr>
                    <w:t>202</w:t>
                  </w:r>
                  <w:r>
                    <w:rPr>
                      <w:rFonts w:hint="eastAsia"/>
                      <w:szCs w:val="21"/>
                      <w:lang w:val="en-US" w:eastAsia="zh-CN"/>
                    </w:rPr>
                    <w:t>4</w:t>
                  </w:r>
                  <w:r>
                    <w:rPr>
                      <w:szCs w:val="21"/>
                    </w:rPr>
                    <w:t>年22周</w:t>
                  </w:r>
                </w:p>
              </w:tc>
              <w:tc>
                <w:tcPr>
                  <w:tcW w:w="891" w:type="pct"/>
                  <w:noWrap w:val="0"/>
                  <w:tcMar>
                    <w:top w:w="15" w:type="dxa"/>
                    <w:left w:w="15" w:type="dxa"/>
                    <w:bottom w:w="0" w:type="dxa"/>
                    <w:right w:w="15" w:type="dxa"/>
                  </w:tcMar>
                  <w:vAlign w:val="center"/>
                </w:tcPr>
                <w:p w14:paraId="74A05623">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40.9</w:t>
                  </w:r>
                </w:p>
              </w:tc>
              <w:tc>
                <w:tcPr>
                  <w:tcW w:w="811" w:type="pct"/>
                  <w:noWrap w:val="0"/>
                  <w:tcMar>
                    <w:top w:w="15" w:type="dxa"/>
                    <w:left w:w="15" w:type="dxa"/>
                    <w:bottom w:w="0" w:type="dxa"/>
                    <w:right w:w="15" w:type="dxa"/>
                  </w:tcMar>
                  <w:vAlign w:val="center"/>
                </w:tcPr>
                <w:p w14:paraId="5B3712F2">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0.05</w:t>
                  </w:r>
                </w:p>
              </w:tc>
              <w:tc>
                <w:tcPr>
                  <w:tcW w:w="709" w:type="pct"/>
                  <w:noWrap w:val="0"/>
                  <w:tcMar>
                    <w:top w:w="15" w:type="dxa"/>
                    <w:left w:w="15" w:type="dxa"/>
                    <w:bottom w:w="0" w:type="dxa"/>
                    <w:right w:w="15" w:type="dxa"/>
                  </w:tcMar>
                  <w:vAlign w:val="center"/>
                </w:tcPr>
                <w:p w14:paraId="2F7DF82B">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0.237</w:t>
                  </w:r>
                </w:p>
              </w:tc>
              <w:tc>
                <w:tcPr>
                  <w:tcW w:w="1020" w:type="pct"/>
                  <w:noWrap w:val="0"/>
                  <w:tcMar>
                    <w:top w:w="15" w:type="dxa"/>
                    <w:left w:w="15" w:type="dxa"/>
                    <w:bottom w:w="0" w:type="dxa"/>
                    <w:right w:w="15" w:type="dxa"/>
                  </w:tcMar>
                  <w:vAlign w:val="center"/>
                </w:tcPr>
                <w:p w14:paraId="74D5903F">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10.1</w:t>
                  </w:r>
                </w:p>
              </w:tc>
            </w:tr>
            <w:tr w14:paraId="7A85679C">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54" w:hRule="atLeast"/>
                <w:jc w:val="center"/>
              </w:trPr>
              <w:tc>
                <w:tcPr>
                  <w:tcW w:w="1566" w:type="pct"/>
                  <w:noWrap w:val="0"/>
                  <w:tcMar>
                    <w:top w:w="15" w:type="dxa"/>
                    <w:left w:w="15" w:type="dxa"/>
                    <w:bottom w:w="0" w:type="dxa"/>
                    <w:right w:w="15" w:type="dxa"/>
                  </w:tcMar>
                  <w:vAlign w:val="center"/>
                </w:tcPr>
                <w:p w14:paraId="60E48D98">
                  <w:pPr>
                    <w:contextualSpacing/>
                    <w:jc w:val="center"/>
                    <w:rPr>
                      <w:szCs w:val="21"/>
                    </w:rPr>
                  </w:pPr>
                  <w:r>
                    <w:rPr>
                      <w:szCs w:val="21"/>
                    </w:rPr>
                    <w:t>202</w:t>
                  </w:r>
                  <w:r>
                    <w:rPr>
                      <w:rFonts w:hint="eastAsia"/>
                      <w:szCs w:val="21"/>
                      <w:lang w:val="en-US" w:eastAsia="zh-CN"/>
                    </w:rPr>
                    <w:t>4</w:t>
                  </w:r>
                  <w:r>
                    <w:rPr>
                      <w:szCs w:val="21"/>
                    </w:rPr>
                    <w:t>年23周</w:t>
                  </w:r>
                </w:p>
              </w:tc>
              <w:tc>
                <w:tcPr>
                  <w:tcW w:w="891" w:type="pct"/>
                  <w:noWrap w:val="0"/>
                  <w:tcMar>
                    <w:top w:w="15" w:type="dxa"/>
                    <w:left w:w="15" w:type="dxa"/>
                    <w:bottom w:w="0" w:type="dxa"/>
                    <w:right w:w="15" w:type="dxa"/>
                  </w:tcMar>
                  <w:vAlign w:val="center"/>
                </w:tcPr>
                <w:p w14:paraId="4A713CE5">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26.9</w:t>
                  </w:r>
                </w:p>
              </w:tc>
              <w:tc>
                <w:tcPr>
                  <w:tcW w:w="811" w:type="pct"/>
                  <w:noWrap w:val="0"/>
                  <w:tcMar>
                    <w:top w:w="15" w:type="dxa"/>
                    <w:left w:w="15" w:type="dxa"/>
                    <w:bottom w:w="0" w:type="dxa"/>
                    <w:right w:w="15" w:type="dxa"/>
                  </w:tcMar>
                  <w:vAlign w:val="center"/>
                </w:tcPr>
                <w:p w14:paraId="119A4D28">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0.07</w:t>
                  </w:r>
                </w:p>
              </w:tc>
              <w:tc>
                <w:tcPr>
                  <w:tcW w:w="709" w:type="pct"/>
                  <w:noWrap w:val="0"/>
                  <w:tcMar>
                    <w:top w:w="15" w:type="dxa"/>
                    <w:left w:w="15" w:type="dxa"/>
                    <w:bottom w:w="0" w:type="dxa"/>
                    <w:right w:w="15" w:type="dxa"/>
                  </w:tcMar>
                  <w:vAlign w:val="center"/>
                </w:tcPr>
                <w:p w14:paraId="7F4DFCB5">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0.142</w:t>
                  </w:r>
                </w:p>
              </w:tc>
              <w:tc>
                <w:tcPr>
                  <w:tcW w:w="1020" w:type="pct"/>
                  <w:noWrap w:val="0"/>
                  <w:tcMar>
                    <w:top w:w="15" w:type="dxa"/>
                    <w:left w:w="15" w:type="dxa"/>
                    <w:bottom w:w="0" w:type="dxa"/>
                    <w:right w:w="15" w:type="dxa"/>
                  </w:tcMar>
                  <w:vAlign w:val="center"/>
                </w:tcPr>
                <w:p w14:paraId="4CFAC8C2">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7.5</w:t>
                  </w:r>
                </w:p>
              </w:tc>
            </w:tr>
            <w:tr w14:paraId="3D4945F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54" w:hRule="atLeast"/>
                <w:jc w:val="center"/>
              </w:trPr>
              <w:tc>
                <w:tcPr>
                  <w:tcW w:w="1566" w:type="pct"/>
                  <w:noWrap w:val="0"/>
                  <w:tcMar>
                    <w:top w:w="15" w:type="dxa"/>
                    <w:left w:w="15" w:type="dxa"/>
                    <w:bottom w:w="0" w:type="dxa"/>
                    <w:right w:w="15" w:type="dxa"/>
                  </w:tcMar>
                  <w:vAlign w:val="center"/>
                </w:tcPr>
                <w:p w14:paraId="734106F6">
                  <w:pPr>
                    <w:contextualSpacing/>
                    <w:jc w:val="center"/>
                    <w:rPr>
                      <w:szCs w:val="21"/>
                    </w:rPr>
                  </w:pPr>
                  <w:r>
                    <w:rPr>
                      <w:szCs w:val="21"/>
                    </w:rPr>
                    <w:t>202</w:t>
                  </w:r>
                  <w:r>
                    <w:rPr>
                      <w:rFonts w:hint="eastAsia"/>
                      <w:szCs w:val="21"/>
                      <w:lang w:val="en-US" w:eastAsia="zh-CN"/>
                    </w:rPr>
                    <w:t>4</w:t>
                  </w:r>
                  <w:r>
                    <w:rPr>
                      <w:szCs w:val="21"/>
                    </w:rPr>
                    <w:t>年24周</w:t>
                  </w:r>
                </w:p>
              </w:tc>
              <w:tc>
                <w:tcPr>
                  <w:tcW w:w="891" w:type="pct"/>
                  <w:noWrap w:val="0"/>
                  <w:tcMar>
                    <w:top w:w="15" w:type="dxa"/>
                    <w:left w:w="15" w:type="dxa"/>
                    <w:bottom w:w="0" w:type="dxa"/>
                    <w:right w:w="15" w:type="dxa"/>
                  </w:tcMar>
                  <w:vAlign w:val="center"/>
                </w:tcPr>
                <w:p w14:paraId="7FD4D6B7">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33.6</w:t>
                  </w:r>
                </w:p>
              </w:tc>
              <w:tc>
                <w:tcPr>
                  <w:tcW w:w="811" w:type="pct"/>
                  <w:noWrap w:val="0"/>
                  <w:tcMar>
                    <w:top w:w="15" w:type="dxa"/>
                    <w:left w:w="15" w:type="dxa"/>
                    <w:bottom w:w="0" w:type="dxa"/>
                    <w:right w:w="15" w:type="dxa"/>
                  </w:tcMar>
                  <w:vAlign w:val="center"/>
                </w:tcPr>
                <w:p w14:paraId="41070FBD">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0.06</w:t>
                  </w:r>
                </w:p>
              </w:tc>
              <w:tc>
                <w:tcPr>
                  <w:tcW w:w="709" w:type="pct"/>
                  <w:noWrap w:val="0"/>
                  <w:tcMar>
                    <w:top w:w="15" w:type="dxa"/>
                    <w:left w:w="15" w:type="dxa"/>
                    <w:bottom w:w="0" w:type="dxa"/>
                    <w:right w:w="15" w:type="dxa"/>
                  </w:tcMar>
                  <w:vAlign w:val="center"/>
                </w:tcPr>
                <w:p w14:paraId="4C718A42">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0.176</w:t>
                  </w:r>
                </w:p>
              </w:tc>
              <w:tc>
                <w:tcPr>
                  <w:tcW w:w="1020" w:type="pct"/>
                  <w:noWrap w:val="0"/>
                  <w:tcMar>
                    <w:top w:w="15" w:type="dxa"/>
                    <w:left w:w="15" w:type="dxa"/>
                    <w:bottom w:w="0" w:type="dxa"/>
                    <w:right w:w="15" w:type="dxa"/>
                  </w:tcMar>
                  <w:vAlign w:val="center"/>
                </w:tcPr>
                <w:p w14:paraId="571D2CC5">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7.9</w:t>
                  </w:r>
                </w:p>
              </w:tc>
            </w:tr>
            <w:tr w14:paraId="468AFFF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54" w:hRule="atLeast"/>
                <w:jc w:val="center"/>
              </w:trPr>
              <w:tc>
                <w:tcPr>
                  <w:tcW w:w="1566" w:type="pct"/>
                  <w:noWrap w:val="0"/>
                  <w:tcMar>
                    <w:top w:w="15" w:type="dxa"/>
                    <w:left w:w="15" w:type="dxa"/>
                    <w:bottom w:w="0" w:type="dxa"/>
                    <w:right w:w="15" w:type="dxa"/>
                  </w:tcMar>
                  <w:vAlign w:val="center"/>
                </w:tcPr>
                <w:p w14:paraId="536B80B8">
                  <w:pPr>
                    <w:contextualSpacing/>
                    <w:jc w:val="center"/>
                    <w:rPr>
                      <w:szCs w:val="21"/>
                    </w:rPr>
                  </w:pPr>
                  <w:r>
                    <w:rPr>
                      <w:szCs w:val="21"/>
                    </w:rPr>
                    <w:t>202</w:t>
                  </w:r>
                  <w:r>
                    <w:rPr>
                      <w:rFonts w:hint="eastAsia"/>
                      <w:szCs w:val="21"/>
                      <w:lang w:val="en-US" w:eastAsia="zh-CN"/>
                    </w:rPr>
                    <w:t>4</w:t>
                  </w:r>
                  <w:r>
                    <w:rPr>
                      <w:szCs w:val="21"/>
                    </w:rPr>
                    <w:t>年25周</w:t>
                  </w:r>
                </w:p>
              </w:tc>
              <w:tc>
                <w:tcPr>
                  <w:tcW w:w="891" w:type="pct"/>
                  <w:noWrap w:val="0"/>
                  <w:tcMar>
                    <w:top w:w="15" w:type="dxa"/>
                    <w:left w:w="15" w:type="dxa"/>
                    <w:bottom w:w="0" w:type="dxa"/>
                    <w:right w:w="15" w:type="dxa"/>
                  </w:tcMar>
                  <w:vAlign w:val="center"/>
                </w:tcPr>
                <w:p w14:paraId="7BCE0096">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38.4</w:t>
                  </w:r>
                </w:p>
              </w:tc>
              <w:tc>
                <w:tcPr>
                  <w:tcW w:w="811" w:type="pct"/>
                  <w:noWrap w:val="0"/>
                  <w:tcMar>
                    <w:top w:w="15" w:type="dxa"/>
                    <w:left w:w="15" w:type="dxa"/>
                    <w:bottom w:w="0" w:type="dxa"/>
                    <w:right w:w="15" w:type="dxa"/>
                  </w:tcMar>
                  <w:vAlign w:val="center"/>
                </w:tcPr>
                <w:p w14:paraId="2F9144A4">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0.39</w:t>
                  </w:r>
                </w:p>
              </w:tc>
              <w:tc>
                <w:tcPr>
                  <w:tcW w:w="709" w:type="pct"/>
                  <w:noWrap w:val="0"/>
                  <w:tcMar>
                    <w:top w:w="15" w:type="dxa"/>
                    <w:left w:w="15" w:type="dxa"/>
                    <w:bottom w:w="0" w:type="dxa"/>
                    <w:right w:w="15" w:type="dxa"/>
                  </w:tcMar>
                  <w:vAlign w:val="center"/>
                </w:tcPr>
                <w:p w14:paraId="6E50FDC5">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0.217</w:t>
                  </w:r>
                </w:p>
              </w:tc>
              <w:tc>
                <w:tcPr>
                  <w:tcW w:w="1020" w:type="pct"/>
                  <w:noWrap w:val="0"/>
                  <w:tcMar>
                    <w:top w:w="15" w:type="dxa"/>
                    <w:left w:w="15" w:type="dxa"/>
                    <w:bottom w:w="0" w:type="dxa"/>
                    <w:right w:w="15" w:type="dxa"/>
                  </w:tcMar>
                  <w:vAlign w:val="center"/>
                </w:tcPr>
                <w:p w14:paraId="4AF032FC">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9.7</w:t>
                  </w:r>
                </w:p>
              </w:tc>
            </w:tr>
            <w:tr w14:paraId="3FA335C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54" w:hRule="atLeast"/>
                <w:jc w:val="center"/>
              </w:trPr>
              <w:tc>
                <w:tcPr>
                  <w:tcW w:w="1566" w:type="pct"/>
                  <w:noWrap w:val="0"/>
                  <w:tcMar>
                    <w:top w:w="15" w:type="dxa"/>
                    <w:left w:w="15" w:type="dxa"/>
                    <w:bottom w:w="0" w:type="dxa"/>
                    <w:right w:w="15" w:type="dxa"/>
                  </w:tcMar>
                  <w:vAlign w:val="center"/>
                </w:tcPr>
                <w:p w14:paraId="47D937B9">
                  <w:pPr>
                    <w:contextualSpacing/>
                    <w:jc w:val="center"/>
                    <w:rPr>
                      <w:szCs w:val="21"/>
                    </w:rPr>
                  </w:pPr>
                  <w:r>
                    <w:rPr>
                      <w:szCs w:val="21"/>
                    </w:rPr>
                    <w:t>202</w:t>
                  </w:r>
                  <w:r>
                    <w:rPr>
                      <w:rFonts w:hint="eastAsia"/>
                      <w:szCs w:val="21"/>
                      <w:lang w:val="en-US" w:eastAsia="zh-CN"/>
                    </w:rPr>
                    <w:t>4</w:t>
                  </w:r>
                  <w:r>
                    <w:rPr>
                      <w:szCs w:val="21"/>
                    </w:rPr>
                    <w:t>年26周</w:t>
                  </w:r>
                </w:p>
              </w:tc>
              <w:tc>
                <w:tcPr>
                  <w:tcW w:w="891" w:type="pct"/>
                  <w:noWrap w:val="0"/>
                  <w:tcMar>
                    <w:top w:w="15" w:type="dxa"/>
                    <w:left w:w="15" w:type="dxa"/>
                    <w:bottom w:w="0" w:type="dxa"/>
                    <w:right w:w="15" w:type="dxa"/>
                  </w:tcMar>
                  <w:vAlign w:val="center"/>
                </w:tcPr>
                <w:p w14:paraId="63813812">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41.4</w:t>
                  </w:r>
                </w:p>
              </w:tc>
              <w:tc>
                <w:tcPr>
                  <w:tcW w:w="811" w:type="pct"/>
                  <w:noWrap w:val="0"/>
                  <w:tcMar>
                    <w:top w:w="15" w:type="dxa"/>
                    <w:left w:w="15" w:type="dxa"/>
                    <w:bottom w:w="0" w:type="dxa"/>
                    <w:right w:w="15" w:type="dxa"/>
                  </w:tcMar>
                  <w:vAlign w:val="center"/>
                </w:tcPr>
                <w:p w14:paraId="035C8C14">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0.35</w:t>
                  </w:r>
                </w:p>
              </w:tc>
              <w:tc>
                <w:tcPr>
                  <w:tcW w:w="709" w:type="pct"/>
                  <w:noWrap w:val="0"/>
                  <w:tcMar>
                    <w:top w:w="15" w:type="dxa"/>
                    <w:left w:w="15" w:type="dxa"/>
                    <w:bottom w:w="0" w:type="dxa"/>
                    <w:right w:w="15" w:type="dxa"/>
                  </w:tcMar>
                  <w:vAlign w:val="center"/>
                </w:tcPr>
                <w:p w14:paraId="21489A9B">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0.153</w:t>
                  </w:r>
                </w:p>
              </w:tc>
              <w:tc>
                <w:tcPr>
                  <w:tcW w:w="1020" w:type="pct"/>
                  <w:noWrap w:val="0"/>
                  <w:tcMar>
                    <w:top w:w="15" w:type="dxa"/>
                    <w:left w:w="15" w:type="dxa"/>
                    <w:bottom w:w="0" w:type="dxa"/>
                    <w:right w:w="15" w:type="dxa"/>
                  </w:tcMar>
                  <w:vAlign w:val="center"/>
                </w:tcPr>
                <w:p w14:paraId="78C943AD">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11.5</w:t>
                  </w:r>
                </w:p>
              </w:tc>
            </w:tr>
            <w:tr w14:paraId="57BEB31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54" w:hRule="atLeast"/>
                <w:jc w:val="center"/>
              </w:trPr>
              <w:tc>
                <w:tcPr>
                  <w:tcW w:w="1566" w:type="pct"/>
                  <w:noWrap w:val="0"/>
                  <w:tcMar>
                    <w:top w:w="15" w:type="dxa"/>
                    <w:left w:w="15" w:type="dxa"/>
                    <w:bottom w:w="0" w:type="dxa"/>
                    <w:right w:w="15" w:type="dxa"/>
                  </w:tcMar>
                  <w:vAlign w:val="center"/>
                </w:tcPr>
                <w:p w14:paraId="25F5EB42">
                  <w:pPr>
                    <w:contextualSpacing/>
                    <w:jc w:val="center"/>
                    <w:rPr>
                      <w:szCs w:val="21"/>
                    </w:rPr>
                  </w:pPr>
                  <w:r>
                    <w:rPr>
                      <w:szCs w:val="21"/>
                    </w:rPr>
                    <w:t>202</w:t>
                  </w:r>
                  <w:r>
                    <w:rPr>
                      <w:rFonts w:hint="eastAsia"/>
                      <w:szCs w:val="21"/>
                      <w:lang w:val="en-US" w:eastAsia="zh-CN"/>
                    </w:rPr>
                    <w:t>4</w:t>
                  </w:r>
                  <w:r>
                    <w:rPr>
                      <w:szCs w:val="21"/>
                    </w:rPr>
                    <w:t>年27周</w:t>
                  </w:r>
                </w:p>
              </w:tc>
              <w:tc>
                <w:tcPr>
                  <w:tcW w:w="891" w:type="pct"/>
                  <w:noWrap w:val="0"/>
                  <w:tcMar>
                    <w:top w:w="15" w:type="dxa"/>
                    <w:left w:w="15" w:type="dxa"/>
                    <w:bottom w:w="0" w:type="dxa"/>
                    <w:right w:w="15" w:type="dxa"/>
                  </w:tcMar>
                  <w:vAlign w:val="center"/>
                </w:tcPr>
                <w:p w14:paraId="75438967">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50.1</w:t>
                  </w:r>
                </w:p>
              </w:tc>
              <w:tc>
                <w:tcPr>
                  <w:tcW w:w="811" w:type="pct"/>
                  <w:noWrap w:val="0"/>
                  <w:tcMar>
                    <w:top w:w="15" w:type="dxa"/>
                    <w:left w:w="15" w:type="dxa"/>
                    <w:bottom w:w="0" w:type="dxa"/>
                    <w:right w:w="15" w:type="dxa"/>
                  </w:tcMar>
                  <w:vAlign w:val="center"/>
                </w:tcPr>
                <w:p w14:paraId="007DF5AE">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1.252</w:t>
                  </w:r>
                </w:p>
              </w:tc>
              <w:tc>
                <w:tcPr>
                  <w:tcW w:w="709" w:type="pct"/>
                  <w:noWrap w:val="0"/>
                  <w:tcMar>
                    <w:top w:w="15" w:type="dxa"/>
                    <w:left w:w="15" w:type="dxa"/>
                    <w:bottom w:w="0" w:type="dxa"/>
                    <w:right w:w="15" w:type="dxa"/>
                  </w:tcMar>
                  <w:vAlign w:val="center"/>
                </w:tcPr>
                <w:p w14:paraId="20E6E72E">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0.37</w:t>
                  </w:r>
                </w:p>
              </w:tc>
              <w:tc>
                <w:tcPr>
                  <w:tcW w:w="1020" w:type="pct"/>
                  <w:noWrap w:val="0"/>
                  <w:tcMar>
                    <w:top w:w="15" w:type="dxa"/>
                    <w:left w:w="15" w:type="dxa"/>
                    <w:bottom w:w="0" w:type="dxa"/>
                    <w:right w:w="15" w:type="dxa"/>
                  </w:tcMar>
                  <w:vAlign w:val="center"/>
                </w:tcPr>
                <w:p w14:paraId="07DB065D">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9.4</w:t>
                  </w:r>
                </w:p>
              </w:tc>
            </w:tr>
            <w:tr w14:paraId="1B2E419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14" w:hRule="atLeast"/>
                <w:jc w:val="center"/>
              </w:trPr>
              <w:tc>
                <w:tcPr>
                  <w:tcW w:w="1566" w:type="pct"/>
                  <w:noWrap w:val="0"/>
                  <w:tcMar>
                    <w:top w:w="15" w:type="dxa"/>
                    <w:left w:w="15" w:type="dxa"/>
                    <w:bottom w:w="0" w:type="dxa"/>
                    <w:right w:w="15" w:type="dxa"/>
                  </w:tcMar>
                  <w:vAlign w:val="center"/>
                </w:tcPr>
                <w:p w14:paraId="6A49E9BF">
                  <w:pPr>
                    <w:contextualSpacing/>
                    <w:jc w:val="center"/>
                    <w:rPr>
                      <w:szCs w:val="21"/>
                    </w:rPr>
                  </w:pPr>
                  <w:r>
                    <w:rPr>
                      <w:szCs w:val="21"/>
                    </w:rPr>
                    <w:t>202</w:t>
                  </w:r>
                  <w:r>
                    <w:rPr>
                      <w:rFonts w:hint="eastAsia"/>
                      <w:szCs w:val="21"/>
                      <w:lang w:val="en-US" w:eastAsia="zh-CN"/>
                    </w:rPr>
                    <w:t>4</w:t>
                  </w:r>
                  <w:r>
                    <w:rPr>
                      <w:szCs w:val="21"/>
                    </w:rPr>
                    <w:t>年28周</w:t>
                  </w:r>
                </w:p>
              </w:tc>
              <w:tc>
                <w:tcPr>
                  <w:tcW w:w="891" w:type="pct"/>
                  <w:noWrap w:val="0"/>
                  <w:tcMar>
                    <w:top w:w="15" w:type="dxa"/>
                    <w:left w:w="15" w:type="dxa"/>
                    <w:bottom w:w="0" w:type="dxa"/>
                    <w:right w:w="15" w:type="dxa"/>
                  </w:tcMar>
                  <w:vAlign w:val="center"/>
                </w:tcPr>
                <w:p w14:paraId="50AA167F">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41.4</w:t>
                  </w:r>
                </w:p>
              </w:tc>
              <w:tc>
                <w:tcPr>
                  <w:tcW w:w="811" w:type="pct"/>
                  <w:noWrap w:val="0"/>
                  <w:tcMar>
                    <w:top w:w="15" w:type="dxa"/>
                    <w:left w:w="15" w:type="dxa"/>
                    <w:bottom w:w="0" w:type="dxa"/>
                    <w:right w:w="15" w:type="dxa"/>
                  </w:tcMar>
                  <w:vAlign w:val="center"/>
                </w:tcPr>
                <w:p w14:paraId="0F77E221">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1.471</w:t>
                  </w:r>
                </w:p>
              </w:tc>
              <w:tc>
                <w:tcPr>
                  <w:tcW w:w="709" w:type="pct"/>
                  <w:noWrap w:val="0"/>
                  <w:tcMar>
                    <w:top w:w="15" w:type="dxa"/>
                    <w:left w:w="15" w:type="dxa"/>
                    <w:bottom w:w="0" w:type="dxa"/>
                    <w:right w:w="15" w:type="dxa"/>
                  </w:tcMar>
                  <w:vAlign w:val="center"/>
                </w:tcPr>
                <w:p w14:paraId="78AD309C">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0.48</w:t>
                  </w:r>
                </w:p>
              </w:tc>
              <w:tc>
                <w:tcPr>
                  <w:tcW w:w="1020" w:type="pct"/>
                  <w:noWrap w:val="0"/>
                  <w:tcMar>
                    <w:top w:w="15" w:type="dxa"/>
                    <w:left w:w="15" w:type="dxa"/>
                    <w:bottom w:w="0" w:type="dxa"/>
                    <w:right w:w="15" w:type="dxa"/>
                  </w:tcMar>
                  <w:vAlign w:val="center"/>
                </w:tcPr>
                <w:p w14:paraId="5EA52696">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10.1</w:t>
                  </w:r>
                </w:p>
              </w:tc>
            </w:tr>
            <w:tr w14:paraId="79ED318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03" w:hRule="atLeast"/>
                <w:jc w:val="center"/>
              </w:trPr>
              <w:tc>
                <w:tcPr>
                  <w:tcW w:w="1566" w:type="pct"/>
                  <w:noWrap w:val="0"/>
                  <w:vAlign w:val="center"/>
                </w:tcPr>
                <w:p w14:paraId="272B5D40">
                  <w:pPr>
                    <w:contextualSpacing/>
                    <w:jc w:val="center"/>
                    <w:rPr>
                      <w:szCs w:val="21"/>
                    </w:rPr>
                  </w:pPr>
                  <w:r>
                    <w:rPr>
                      <w:szCs w:val="21"/>
                    </w:rPr>
                    <w:t>202</w:t>
                  </w:r>
                  <w:r>
                    <w:rPr>
                      <w:rFonts w:hint="eastAsia"/>
                      <w:szCs w:val="21"/>
                      <w:lang w:val="en-US" w:eastAsia="zh-CN"/>
                    </w:rPr>
                    <w:t>4</w:t>
                  </w:r>
                  <w:r>
                    <w:rPr>
                      <w:szCs w:val="21"/>
                    </w:rPr>
                    <w:t>年29周</w:t>
                  </w:r>
                </w:p>
              </w:tc>
              <w:tc>
                <w:tcPr>
                  <w:tcW w:w="891" w:type="pct"/>
                  <w:noWrap w:val="0"/>
                  <w:vAlign w:val="center"/>
                </w:tcPr>
                <w:p w14:paraId="766CDBAC">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37.7</w:t>
                  </w:r>
                </w:p>
              </w:tc>
              <w:tc>
                <w:tcPr>
                  <w:tcW w:w="811" w:type="pct"/>
                  <w:noWrap w:val="0"/>
                  <w:vAlign w:val="center"/>
                </w:tcPr>
                <w:p w14:paraId="269738EA">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1.16</w:t>
                  </w:r>
                </w:p>
              </w:tc>
              <w:tc>
                <w:tcPr>
                  <w:tcW w:w="709" w:type="pct"/>
                  <w:noWrap w:val="0"/>
                  <w:vAlign w:val="center"/>
                </w:tcPr>
                <w:p w14:paraId="58F69591">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0.557</w:t>
                  </w:r>
                </w:p>
              </w:tc>
              <w:tc>
                <w:tcPr>
                  <w:tcW w:w="1020" w:type="pct"/>
                  <w:noWrap w:val="0"/>
                  <w:vAlign w:val="center"/>
                </w:tcPr>
                <w:p w14:paraId="6315ABF5">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10</w:t>
                  </w:r>
                </w:p>
              </w:tc>
            </w:tr>
            <w:tr w14:paraId="23318D2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03" w:hRule="atLeast"/>
                <w:jc w:val="center"/>
              </w:trPr>
              <w:tc>
                <w:tcPr>
                  <w:tcW w:w="1566" w:type="pct"/>
                  <w:noWrap w:val="0"/>
                  <w:vAlign w:val="center"/>
                </w:tcPr>
                <w:p w14:paraId="6E996F6F">
                  <w:pPr>
                    <w:contextualSpacing/>
                    <w:jc w:val="center"/>
                    <w:rPr>
                      <w:szCs w:val="21"/>
                    </w:rPr>
                  </w:pPr>
                  <w:r>
                    <w:rPr>
                      <w:szCs w:val="21"/>
                    </w:rPr>
                    <w:t>202</w:t>
                  </w:r>
                  <w:r>
                    <w:rPr>
                      <w:rFonts w:hint="eastAsia"/>
                      <w:szCs w:val="21"/>
                      <w:lang w:val="en-US" w:eastAsia="zh-CN"/>
                    </w:rPr>
                    <w:t>4</w:t>
                  </w:r>
                  <w:r>
                    <w:rPr>
                      <w:szCs w:val="21"/>
                    </w:rPr>
                    <w:t>年30周</w:t>
                  </w:r>
                </w:p>
              </w:tc>
              <w:tc>
                <w:tcPr>
                  <w:tcW w:w="891" w:type="pct"/>
                  <w:noWrap w:val="0"/>
                  <w:vAlign w:val="center"/>
                </w:tcPr>
                <w:p w14:paraId="73DAD182">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49.2</w:t>
                  </w:r>
                </w:p>
              </w:tc>
              <w:tc>
                <w:tcPr>
                  <w:tcW w:w="811" w:type="pct"/>
                  <w:noWrap w:val="0"/>
                  <w:vAlign w:val="center"/>
                </w:tcPr>
                <w:p w14:paraId="41FCF409">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0.75</w:t>
                  </w:r>
                </w:p>
              </w:tc>
              <w:tc>
                <w:tcPr>
                  <w:tcW w:w="709" w:type="pct"/>
                  <w:noWrap w:val="0"/>
                  <w:vAlign w:val="center"/>
                </w:tcPr>
                <w:p w14:paraId="220AE81B">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0.573</w:t>
                  </w:r>
                </w:p>
              </w:tc>
              <w:tc>
                <w:tcPr>
                  <w:tcW w:w="1020" w:type="pct"/>
                  <w:noWrap w:val="0"/>
                  <w:vAlign w:val="center"/>
                </w:tcPr>
                <w:p w14:paraId="7624767E">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7.9</w:t>
                  </w:r>
                </w:p>
              </w:tc>
            </w:tr>
            <w:tr w14:paraId="17E7E80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03" w:hRule="atLeast"/>
                <w:jc w:val="center"/>
              </w:trPr>
              <w:tc>
                <w:tcPr>
                  <w:tcW w:w="1566" w:type="pct"/>
                  <w:noWrap w:val="0"/>
                  <w:vAlign w:val="center"/>
                </w:tcPr>
                <w:p w14:paraId="0B5592BB">
                  <w:pPr>
                    <w:contextualSpacing/>
                    <w:jc w:val="center"/>
                    <w:rPr>
                      <w:szCs w:val="21"/>
                    </w:rPr>
                  </w:pPr>
                  <w:r>
                    <w:rPr>
                      <w:szCs w:val="21"/>
                    </w:rPr>
                    <w:t>202</w:t>
                  </w:r>
                  <w:r>
                    <w:rPr>
                      <w:rFonts w:hint="eastAsia"/>
                      <w:szCs w:val="21"/>
                      <w:lang w:val="en-US" w:eastAsia="zh-CN"/>
                    </w:rPr>
                    <w:t>4</w:t>
                  </w:r>
                  <w:r>
                    <w:rPr>
                      <w:szCs w:val="21"/>
                    </w:rPr>
                    <w:t>年31周</w:t>
                  </w:r>
                </w:p>
              </w:tc>
              <w:tc>
                <w:tcPr>
                  <w:tcW w:w="891" w:type="pct"/>
                  <w:noWrap w:val="0"/>
                  <w:vAlign w:val="center"/>
                </w:tcPr>
                <w:p w14:paraId="6088CE4C">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28.3</w:t>
                  </w:r>
                </w:p>
              </w:tc>
              <w:tc>
                <w:tcPr>
                  <w:tcW w:w="811" w:type="pct"/>
                  <w:noWrap w:val="0"/>
                  <w:vAlign w:val="center"/>
                </w:tcPr>
                <w:p w14:paraId="3C3E61D7">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0.385</w:t>
                  </w:r>
                </w:p>
              </w:tc>
              <w:tc>
                <w:tcPr>
                  <w:tcW w:w="709" w:type="pct"/>
                  <w:noWrap w:val="0"/>
                  <w:vAlign w:val="center"/>
                </w:tcPr>
                <w:p w14:paraId="1A58EF3E">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0.357</w:t>
                  </w:r>
                </w:p>
              </w:tc>
              <w:tc>
                <w:tcPr>
                  <w:tcW w:w="1020" w:type="pct"/>
                  <w:noWrap w:val="0"/>
                  <w:vAlign w:val="center"/>
                </w:tcPr>
                <w:p w14:paraId="5C5D4B5B">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7.8</w:t>
                  </w:r>
                </w:p>
              </w:tc>
            </w:tr>
            <w:tr w14:paraId="04D6942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03" w:hRule="atLeast"/>
                <w:jc w:val="center"/>
              </w:trPr>
              <w:tc>
                <w:tcPr>
                  <w:tcW w:w="1566" w:type="pct"/>
                  <w:noWrap w:val="0"/>
                  <w:vAlign w:val="center"/>
                </w:tcPr>
                <w:p w14:paraId="32EAEBD7">
                  <w:pPr>
                    <w:contextualSpacing/>
                    <w:jc w:val="center"/>
                    <w:rPr>
                      <w:szCs w:val="21"/>
                    </w:rPr>
                  </w:pPr>
                  <w:r>
                    <w:rPr>
                      <w:szCs w:val="21"/>
                    </w:rPr>
                    <w:t>202</w:t>
                  </w:r>
                  <w:r>
                    <w:rPr>
                      <w:rFonts w:hint="eastAsia"/>
                      <w:szCs w:val="21"/>
                      <w:lang w:val="en-US" w:eastAsia="zh-CN"/>
                    </w:rPr>
                    <w:t>4</w:t>
                  </w:r>
                  <w:r>
                    <w:rPr>
                      <w:szCs w:val="21"/>
                    </w:rPr>
                    <w:t>年32周</w:t>
                  </w:r>
                </w:p>
              </w:tc>
              <w:tc>
                <w:tcPr>
                  <w:tcW w:w="891" w:type="pct"/>
                  <w:noWrap w:val="0"/>
                  <w:vAlign w:val="center"/>
                </w:tcPr>
                <w:p w14:paraId="74FF3B7C">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28</w:t>
                  </w:r>
                </w:p>
              </w:tc>
              <w:tc>
                <w:tcPr>
                  <w:tcW w:w="811" w:type="pct"/>
                  <w:noWrap w:val="0"/>
                  <w:vAlign w:val="center"/>
                </w:tcPr>
                <w:p w14:paraId="7BE76D82">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0.775</w:t>
                  </w:r>
                </w:p>
              </w:tc>
              <w:tc>
                <w:tcPr>
                  <w:tcW w:w="709" w:type="pct"/>
                  <w:noWrap w:val="0"/>
                  <w:vAlign w:val="center"/>
                </w:tcPr>
                <w:p w14:paraId="740C8319">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0.411</w:t>
                  </w:r>
                </w:p>
              </w:tc>
              <w:tc>
                <w:tcPr>
                  <w:tcW w:w="1020" w:type="pct"/>
                  <w:noWrap w:val="0"/>
                  <w:vAlign w:val="center"/>
                </w:tcPr>
                <w:p w14:paraId="11E826F8">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w:t>
                  </w:r>
                </w:p>
              </w:tc>
            </w:tr>
            <w:tr w14:paraId="6EF6DD5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03" w:hRule="atLeast"/>
                <w:jc w:val="center"/>
              </w:trPr>
              <w:tc>
                <w:tcPr>
                  <w:tcW w:w="1566" w:type="pct"/>
                  <w:noWrap w:val="0"/>
                  <w:vAlign w:val="center"/>
                </w:tcPr>
                <w:p w14:paraId="0AF7D993">
                  <w:pPr>
                    <w:contextualSpacing/>
                    <w:jc w:val="center"/>
                    <w:rPr>
                      <w:szCs w:val="21"/>
                    </w:rPr>
                  </w:pPr>
                  <w:r>
                    <w:rPr>
                      <w:szCs w:val="21"/>
                    </w:rPr>
                    <w:t>202</w:t>
                  </w:r>
                  <w:r>
                    <w:rPr>
                      <w:rFonts w:hint="eastAsia"/>
                      <w:szCs w:val="21"/>
                      <w:lang w:val="en-US" w:eastAsia="zh-CN"/>
                    </w:rPr>
                    <w:t>4</w:t>
                  </w:r>
                  <w:r>
                    <w:rPr>
                      <w:szCs w:val="21"/>
                    </w:rPr>
                    <w:t>年33周</w:t>
                  </w:r>
                </w:p>
              </w:tc>
              <w:tc>
                <w:tcPr>
                  <w:tcW w:w="891" w:type="pct"/>
                  <w:noWrap w:val="0"/>
                  <w:vAlign w:val="center"/>
                </w:tcPr>
                <w:p w14:paraId="79E50058">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16.9</w:t>
                  </w:r>
                </w:p>
              </w:tc>
              <w:tc>
                <w:tcPr>
                  <w:tcW w:w="811" w:type="pct"/>
                  <w:noWrap w:val="0"/>
                  <w:vAlign w:val="center"/>
                </w:tcPr>
                <w:p w14:paraId="688B9563">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1.934</w:t>
                  </w:r>
                </w:p>
              </w:tc>
              <w:tc>
                <w:tcPr>
                  <w:tcW w:w="709" w:type="pct"/>
                  <w:noWrap w:val="0"/>
                  <w:vAlign w:val="center"/>
                </w:tcPr>
                <w:p w14:paraId="6DB6D8F8">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0.456</w:t>
                  </w:r>
                </w:p>
              </w:tc>
              <w:tc>
                <w:tcPr>
                  <w:tcW w:w="1020" w:type="pct"/>
                  <w:noWrap w:val="0"/>
                  <w:vAlign w:val="center"/>
                </w:tcPr>
                <w:p w14:paraId="1A15DC57">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8.2</w:t>
                  </w:r>
                </w:p>
              </w:tc>
            </w:tr>
            <w:tr w14:paraId="09BB9EF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03" w:hRule="atLeast"/>
                <w:jc w:val="center"/>
              </w:trPr>
              <w:tc>
                <w:tcPr>
                  <w:tcW w:w="1566" w:type="pct"/>
                  <w:noWrap w:val="0"/>
                  <w:vAlign w:val="center"/>
                </w:tcPr>
                <w:p w14:paraId="5604F436">
                  <w:pPr>
                    <w:contextualSpacing/>
                    <w:jc w:val="center"/>
                    <w:rPr>
                      <w:szCs w:val="21"/>
                    </w:rPr>
                  </w:pPr>
                  <w:r>
                    <w:rPr>
                      <w:szCs w:val="21"/>
                    </w:rPr>
                    <w:t>202</w:t>
                  </w:r>
                  <w:r>
                    <w:rPr>
                      <w:rFonts w:hint="eastAsia"/>
                      <w:szCs w:val="21"/>
                      <w:lang w:val="en-US" w:eastAsia="zh-CN"/>
                    </w:rPr>
                    <w:t>4</w:t>
                  </w:r>
                  <w:r>
                    <w:rPr>
                      <w:szCs w:val="21"/>
                    </w:rPr>
                    <w:t>年34周</w:t>
                  </w:r>
                </w:p>
              </w:tc>
              <w:tc>
                <w:tcPr>
                  <w:tcW w:w="891" w:type="pct"/>
                  <w:noWrap w:val="0"/>
                  <w:vAlign w:val="center"/>
                </w:tcPr>
                <w:p w14:paraId="79D93D86">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31.8</w:t>
                  </w:r>
                </w:p>
              </w:tc>
              <w:tc>
                <w:tcPr>
                  <w:tcW w:w="811" w:type="pct"/>
                  <w:noWrap w:val="0"/>
                  <w:vAlign w:val="center"/>
                </w:tcPr>
                <w:p w14:paraId="2A54BDDC">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1.39</w:t>
                  </w:r>
                </w:p>
              </w:tc>
              <w:tc>
                <w:tcPr>
                  <w:tcW w:w="709" w:type="pct"/>
                  <w:noWrap w:val="0"/>
                  <w:vAlign w:val="center"/>
                </w:tcPr>
                <w:p w14:paraId="37564AFB">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0.549</w:t>
                  </w:r>
                </w:p>
              </w:tc>
              <w:tc>
                <w:tcPr>
                  <w:tcW w:w="1020" w:type="pct"/>
                  <w:noWrap w:val="0"/>
                  <w:vAlign w:val="center"/>
                </w:tcPr>
                <w:p w14:paraId="51F7165B">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9.7</w:t>
                  </w:r>
                </w:p>
              </w:tc>
            </w:tr>
            <w:tr w14:paraId="062BB8B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03" w:hRule="atLeast"/>
                <w:jc w:val="center"/>
              </w:trPr>
              <w:tc>
                <w:tcPr>
                  <w:tcW w:w="1566" w:type="pct"/>
                  <w:noWrap w:val="0"/>
                  <w:vAlign w:val="center"/>
                </w:tcPr>
                <w:p w14:paraId="6300CFAC">
                  <w:pPr>
                    <w:contextualSpacing/>
                    <w:jc w:val="center"/>
                    <w:rPr>
                      <w:szCs w:val="21"/>
                    </w:rPr>
                  </w:pPr>
                  <w:r>
                    <w:rPr>
                      <w:szCs w:val="21"/>
                    </w:rPr>
                    <w:t>202</w:t>
                  </w:r>
                  <w:r>
                    <w:rPr>
                      <w:rFonts w:hint="eastAsia"/>
                      <w:szCs w:val="21"/>
                      <w:lang w:val="en-US" w:eastAsia="zh-CN"/>
                    </w:rPr>
                    <w:t>4</w:t>
                  </w:r>
                  <w:r>
                    <w:rPr>
                      <w:szCs w:val="21"/>
                    </w:rPr>
                    <w:t>年35周</w:t>
                  </w:r>
                </w:p>
              </w:tc>
              <w:tc>
                <w:tcPr>
                  <w:tcW w:w="891" w:type="pct"/>
                  <w:noWrap w:val="0"/>
                  <w:vAlign w:val="center"/>
                </w:tcPr>
                <w:p w14:paraId="6504D6B8">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32</w:t>
                  </w:r>
                </w:p>
              </w:tc>
              <w:tc>
                <w:tcPr>
                  <w:tcW w:w="811" w:type="pct"/>
                  <w:noWrap w:val="0"/>
                  <w:vAlign w:val="center"/>
                </w:tcPr>
                <w:p w14:paraId="27FD8C35">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1.16</w:t>
                  </w:r>
                </w:p>
              </w:tc>
              <w:tc>
                <w:tcPr>
                  <w:tcW w:w="709" w:type="pct"/>
                  <w:noWrap w:val="0"/>
                  <w:vAlign w:val="center"/>
                </w:tcPr>
                <w:p w14:paraId="1A628F00">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0.551</w:t>
                  </w:r>
                </w:p>
              </w:tc>
              <w:tc>
                <w:tcPr>
                  <w:tcW w:w="1020" w:type="pct"/>
                  <w:noWrap w:val="0"/>
                  <w:vAlign w:val="center"/>
                </w:tcPr>
                <w:p w14:paraId="48E2259F">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8.3</w:t>
                  </w:r>
                </w:p>
              </w:tc>
            </w:tr>
            <w:tr w14:paraId="48C8D6C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03" w:hRule="atLeast"/>
                <w:jc w:val="center"/>
              </w:trPr>
              <w:tc>
                <w:tcPr>
                  <w:tcW w:w="1566" w:type="pct"/>
                  <w:noWrap w:val="0"/>
                  <w:vAlign w:val="center"/>
                </w:tcPr>
                <w:p w14:paraId="6E44B4A3">
                  <w:pPr>
                    <w:contextualSpacing/>
                    <w:jc w:val="center"/>
                    <w:rPr>
                      <w:szCs w:val="21"/>
                    </w:rPr>
                  </w:pPr>
                  <w:r>
                    <w:rPr>
                      <w:szCs w:val="21"/>
                    </w:rPr>
                    <w:t>202</w:t>
                  </w:r>
                  <w:r>
                    <w:rPr>
                      <w:rFonts w:hint="eastAsia"/>
                      <w:szCs w:val="21"/>
                      <w:lang w:val="en-US" w:eastAsia="zh-CN"/>
                    </w:rPr>
                    <w:t>4</w:t>
                  </w:r>
                  <w:r>
                    <w:rPr>
                      <w:szCs w:val="21"/>
                    </w:rPr>
                    <w:t>年36周</w:t>
                  </w:r>
                </w:p>
              </w:tc>
              <w:tc>
                <w:tcPr>
                  <w:tcW w:w="891" w:type="pct"/>
                  <w:noWrap w:val="0"/>
                  <w:vAlign w:val="center"/>
                </w:tcPr>
                <w:p w14:paraId="113E7335">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28.1</w:t>
                  </w:r>
                </w:p>
              </w:tc>
              <w:tc>
                <w:tcPr>
                  <w:tcW w:w="811" w:type="pct"/>
                  <w:noWrap w:val="0"/>
                  <w:vAlign w:val="center"/>
                </w:tcPr>
                <w:p w14:paraId="20CA4B8B">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0.288</w:t>
                  </w:r>
                </w:p>
              </w:tc>
              <w:tc>
                <w:tcPr>
                  <w:tcW w:w="709" w:type="pct"/>
                  <w:noWrap w:val="0"/>
                  <w:vAlign w:val="center"/>
                </w:tcPr>
                <w:p w14:paraId="5CA78393">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0.407</w:t>
                  </w:r>
                </w:p>
              </w:tc>
              <w:tc>
                <w:tcPr>
                  <w:tcW w:w="1020" w:type="pct"/>
                  <w:noWrap w:val="0"/>
                  <w:vAlign w:val="center"/>
                </w:tcPr>
                <w:p w14:paraId="0E38DD97">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7.2</w:t>
                  </w:r>
                </w:p>
              </w:tc>
            </w:tr>
            <w:tr w14:paraId="5B06A52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03" w:hRule="atLeast"/>
                <w:jc w:val="center"/>
              </w:trPr>
              <w:tc>
                <w:tcPr>
                  <w:tcW w:w="1566" w:type="pct"/>
                  <w:noWrap w:val="0"/>
                  <w:vAlign w:val="center"/>
                </w:tcPr>
                <w:p w14:paraId="6F28E367">
                  <w:pPr>
                    <w:contextualSpacing/>
                    <w:jc w:val="center"/>
                    <w:rPr>
                      <w:szCs w:val="21"/>
                    </w:rPr>
                  </w:pPr>
                  <w:r>
                    <w:rPr>
                      <w:szCs w:val="21"/>
                    </w:rPr>
                    <w:t>202</w:t>
                  </w:r>
                  <w:r>
                    <w:rPr>
                      <w:rFonts w:hint="eastAsia"/>
                      <w:szCs w:val="21"/>
                      <w:lang w:val="en-US" w:eastAsia="zh-CN"/>
                    </w:rPr>
                    <w:t>4</w:t>
                  </w:r>
                  <w:r>
                    <w:rPr>
                      <w:szCs w:val="21"/>
                    </w:rPr>
                    <w:t>年37周</w:t>
                  </w:r>
                </w:p>
              </w:tc>
              <w:tc>
                <w:tcPr>
                  <w:tcW w:w="891" w:type="pct"/>
                  <w:noWrap w:val="0"/>
                  <w:vAlign w:val="center"/>
                </w:tcPr>
                <w:p w14:paraId="09CC61A0">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30</w:t>
                  </w:r>
                </w:p>
              </w:tc>
              <w:tc>
                <w:tcPr>
                  <w:tcW w:w="811" w:type="pct"/>
                  <w:noWrap w:val="0"/>
                  <w:vAlign w:val="center"/>
                </w:tcPr>
                <w:p w14:paraId="2F1A4BF8">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1.899</w:t>
                  </w:r>
                </w:p>
              </w:tc>
              <w:tc>
                <w:tcPr>
                  <w:tcW w:w="709" w:type="pct"/>
                  <w:noWrap w:val="0"/>
                  <w:vAlign w:val="center"/>
                </w:tcPr>
                <w:p w14:paraId="5E95B0D0">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0.596</w:t>
                  </w:r>
                </w:p>
              </w:tc>
              <w:tc>
                <w:tcPr>
                  <w:tcW w:w="1020" w:type="pct"/>
                  <w:noWrap w:val="0"/>
                  <w:vAlign w:val="center"/>
                </w:tcPr>
                <w:p w14:paraId="49F9C611">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9.6</w:t>
                  </w:r>
                </w:p>
              </w:tc>
            </w:tr>
            <w:tr w14:paraId="447A4F2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03" w:hRule="atLeast"/>
                <w:jc w:val="center"/>
              </w:trPr>
              <w:tc>
                <w:tcPr>
                  <w:tcW w:w="1566" w:type="pct"/>
                  <w:noWrap w:val="0"/>
                  <w:vAlign w:val="center"/>
                </w:tcPr>
                <w:p w14:paraId="531D0D50">
                  <w:pPr>
                    <w:contextualSpacing/>
                    <w:jc w:val="center"/>
                    <w:rPr>
                      <w:szCs w:val="21"/>
                    </w:rPr>
                  </w:pPr>
                  <w:r>
                    <w:rPr>
                      <w:szCs w:val="21"/>
                    </w:rPr>
                    <w:t>202</w:t>
                  </w:r>
                  <w:r>
                    <w:rPr>
                      <w:rFonts w:hint="eastAsia"/>
                      <w:szCs w:val="21"/>
                      <w:lang w:val="en-US" w:eastAsia="zh-CN"/>
                    </w:rPr>
                    <w:t>4</w:t>
                  </w:r>
                  <w:r>
                    <w:rPr>
                      <w:szCs w:val="21"/>
                    </w:rPr>
                    <w:t>年38周</w:t>
                  </w:r>
                </w:p>
              </w:tc>
              <w:tc>
                <w:tcPr>
                  <w:tcW w:w="891" w:type="pct"/>
                  <w:noWrap w:val="0"/>
                  <w:vAlign w:val="center"/>
                </w:tcPr>
                <w:p w14:paraId="38D24B63">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p>
              </w:tc>
              <w:tc>
                <w:tcPr>
                  <w:tcW w:w="811" w:type="pct"/>
                  <w:noWrap w:val="0"/>
                  <w:vAlign w:val="center"/>
                </w:tcPr>
                <w:p w14:paraId="50A373E6">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p>
              </w:tc>
              <w:tc>
                <w:tcPr>
                  <w:tcW w:w="709" w:type="pct"/>
                  <w:noWrap w:val="0"/>
                  <w:vAlign w:val="center"/>
                </w:tcPr>
                <w:p w14:paraId="5F0D8E4F">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w:t>
                  </w:r>
                </w:p>
              </w:tc>
              <w:tc>
                <w:tcPr>
                  <w:tcW w:w="1020" w:type="pct"/>
                  <w:noWrap w:val="0"/>
                  <w:vAlign w:val="center"/>
                </w:tcPr>
                <w:p w14:paraId="7D5951C4">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0</w:t>
                  </w:r>
                </w:p>
              </w:tc>
            </w:tr>
            <w:tr w14:paraId="1B9DE91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18" w:hRule="atLeast"/>
                <w:jc w:val="center"/>
              </w:trPr>
              <w:tc>
                <w:tcPr>
                  <w:tcW w:w="1566" w:type="pct"/>
                  <w:noWrap w:val="0"/>
                  <w:vAlign w:val="center"/>
                </w:tcPr>
                <w:p w14:paraId="68011392">
                  <w:pPr>
                    <w:contextualSpacing/>
                    <w:jc w:val="center"/>
                    <w:rPr>
                      <w:szCs w:val="21"/>
                    </w:rPr>
                  </w:pPr>
                  <w:r>
                    <w:rPr>
                      <w:szCs w:val="21"/>
                    </w:rPr>
                    <w:t>202</w:t>
                  </w:r>
                  <w:r>
                    <w:rPr>
                      <w:rFonts w:hint="eastAsia"/>
                      <w:szCs w:val="21"/>
                      <w:lang w:val="en-US" w:eastAsia="zh-CN"/>
                    </w:rPr>
                    <w:t>4</w:t>
                  </w:r>
                  <w:r>
                    <w:rPr>
                      <w:szCs w:val="21"/>
                    </w:rPr>
                    <w:t>年39周</w:t>
                  </w:r>
                </w:p>
              </w:tc>
              <w:tc>
                <w:tcPr>
                  <w:tcW w:w="891" w:type="pct"/>
                  <w:noWrap w:val="0"/>
                  <w:vAlign w:val="center"/>
                </w:tcPr>
                <w:p w14:paraId="47827DF7">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27.8</w:t>
                  </w:r>
                </w:p>
              </w:tc>
              <w:tc>
                <w:tcPr>
                  <w:tcW w:w="811" w:type="pct"/>
                  <w:noWrap w:val="0"/>
                  <w:vAlign w:val="center"/>
                </w:tcPr>
                <w:p w14:paraId="40BC1D1A">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0.79</w:t>
                  </w:r>
                </w:p>
              </w:tc>
              <w:tc>
                <w:tcPr>
                  <w:tcW w:w="709" w:type="pct"/>
                  <w:noWrap w:val="0"/>
                  <w:vAlign w:val="center"/>
                </w:tcPr>
                <w:p w14:paraId="5CCEF8F9">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0.352</w:t>
                  </w:r>
                </w:p>
              </w:tc>
              <w:tc>
                <w:tcPr>
                  <w:tcW w:w="1020" w:type="pct"/>
                  <w:noWrap w:val="0"/>
                  <w:vAlign w:val="center"/>
                </w:tcPr>
                <w:p w14:paraId="17E6E535">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10.1</w:t>
                  </w:r>
                </w:p>
              </w:tc>
            </w:tr>
            <w:tr w14:paraId="1E85459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03" w:hRule="atLeast"/>
                <w:jc w:val="center"/>
              </w:trPr>
              <w:tc>
                <w:tcPr>
                  <w:tcW w:w="1566" w:type="pct"/>
                  <w:noWrap w:val="0"/>
                  <w:vAlign w:val="center"/>
                </w:tcPr>
                <w:p w14:paraId="1F3B3A70">
                  <w:pPr>
                    <w:contextualSpacing/>
                    <w:jc w:val="center"/>
                    <w:rPr>
                      <w:szCs w:val="21"/>
                    </w:rPr>
                  </w:pPr>
                  <w:r>
                    <w:rPr>
                      <w:szCs w:val="21"/>
                    </w:rPr>
                    <w:t>202</w:t>
                  </w:r>
                  <w:r>
                    <w:rPr>
                      <w:rFonts w:hint="eastAsia"/>
                      <w:szCs w:val="21"/>
                      <w:lang w:val="en-US" w:eastAsia="zh-CN"/>
                    </w:rPr>
                    <w:t>4</w:t>
                  </w:r>
                  <w:r>
                    <w:rPr>
                      <w:szCs w:val="21"/>
                    </w:rPr>
                    <w:t>年40周</w:t>
                  </w:r>
                </w:p>
              </w:tc>
              <w:tc>
                <w:tcPr>
                  <w:tcW w:w="891" w:type="pct"/>
                  <w:noWrap w:val="0"/>
                  <w:vAlign w:val="center"/>
                </w:tcPr>
                <w:p w14:paraId="0DCE3189">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22.4</w:t>
                  </w:r>
                </w:p>
              </w:tc>
              <w:tc>
                <w:tcPr>
                  <w:tcW w:w="811" w:type="pct"/>
                  <w:noWrap w:val="0"/>
                  <w:vAlign w:val="center"/>
                </w:tcPr>
                <w:p w14:paraId="4DE899FD">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1.687</w:t>
                  </w:r>
                </w:p>
              </w:tc>
              <w:tc>
                <w:tcPr>
                  <w:tcW w:w="709" w:type="pct"/>
                  <w:noWrap w:val="0"/>
                  <w:vAlign w:val="center"/>
                </w:tcPr>
                <w:p w14:paraId="1A6B7256">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0.365</w:t>
                  </w:r>
                </w:p>
              </w:tc>
              <w:tc>
                <w:tcPr>
                  <w:tcW w:w="1020" w:type="pct"/>
                  <w:noWrap w:val="0"/>
                  <w:vAlign w:val="center"/>
                </w:tcPr>
                <w:p w14:paraId="21D21603">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8.8</w:t>
                  </w:r>
                </w:p>
              </w:tc>
            </w:tr>
            <w:tr w14:paraId="45CFC04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03" w:hRule="atLeast"/>
                <w:jc w:val="center"/>
              </w:trPr>
              <w:tc>
                <w:tcPr>
                  <w:tcW w:w="1566" w:type="pct"/>
                  <w:noWrap w:val="0"/>
                  <w:vAlign w:val="center"/>
                </w:tcPr>
                <w:p w14:paraId="199932AA">
                  <w:pPr>
                    <w:contextualSpacing/>
                    <w:jc w:val="center"/>
                    <w:rPr>
                      <w:szCs w:val="21"/>
                    </w:rPr>
                  </w:pPr>
                  <w:r>
                    <w:rPr>
                      <w:szCs w:val="21"/>
                    </w:rPr>
                    <w:t>202</w:t>
                  </w:r>
                  <w:r>
                    <w:rPr>
                      <w:rFonts w:hint="eastAsia"/>
                      <w:szCs w:val="21"/>
                      <w:lang w:val="en-US" w:eastAsia="zh-CN"/>
                    </w:rPr>
                    <w:t>4</w:t>
                  </w:r>
                  <w:r>
                    <w:rPr>
                      <w:szCs w:val="21"/>
                    </w:rPr>
                    <w:t>年41周</w:t>
                  </w:r>
                </w:p>
              </w:tc>
              <w:tc>
                <w:tcPr>
                  <w:tcW w:w="891" w:type="pct"/>
                  <w:noWrap w:val="0"/>
                  <w:vAlign w:val="center"/>
                </w:tcPr>
                <w:p w14:paraId="2CF08E86">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23.1</w:t>
                  </w:r>
                </w:p>
              </w:tc>
              <w:tc>
                <w:tcPr>
                  <w:tcW w:w="811" w:type="pct"/>
                  <w:noWrap w:val="0"/>
                  <w:vAlign w:val="center"/>
                </w:tcPr>
                <w:p w14:paraId="3245F875">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0.394</w:t>
                  </w:r>
                </w:p>
              </w:tc>
              <w:tc>
                <w:tcPr>
                  <w:tcW w:w="709" w:type="pct"/>
                  <w:noWrap w:val="0"/>
                  <w:vAlign w:val="center"/>
                </w:tcPr>
                <w:p w14:paraId="09DD7A40">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0.244</w:t>
                  </w:r>
                </w:p>
              </w:tc>
              <w:tc>
                <w:tcPr>
                  <w:tcW w:w="1020" w:type="pct"/>
                  <w:noWrap w:val="0"/>
                  <w:vAlign w:val="center"/>
                </w:tcPr>
                <w:p w14:paraId="4D7ABD95">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8.8</w:t>
                  </w:r>
                </w:p>
              </w:tc>
            </w:tr>
            <w:tr w14:paraId="51D6BE8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03" w:hRule="atLeast"/>
                <w:jc w:val="center"/>
              </w:trPr>
              <w:tc>
                <w:tcPr>
                  <w:tcW w:w="1566" w:type="pct"/>
                  <w:noWrap w:val="0"/>
                  <w:vAlign w:val="center"/>
                </w:tcPr>
                <w:p w14:paraId="3B41AD13">
                  <w:pPr>
                    <w:contextualSpacing/>
                    <w:jc w:val="center"/>
                    <w:rPr>
                      <w:szCs w:val="21"/>
                    </w:rPr>
                  </w:pPr>
                  <w:r>
                    <w:rPr>
                      <w:szCs w:val="21"/>
                    </w:rPr>
                    <w:t>202</w:t>
                  </w:r>
                  <w:r>
                    <w:rPr>
                      <w:rFonts w:hint="eastAsia"/>
                      <w:szCs w:val="21"/>
                      <w:lang w:val="en-US" w:eastAsia="zh-CN"/>
                    </w:rPr>
                    <w:t>4</w:t>
                  </w:r>
                  <w:r>
                    <w:rPr>
                      <w:szCs w:val="21"/>
                    </w:rPr>
                    <w:t>年42周</w:t>
                  </w:r>
                </w:p>
              </w:tc>
              <w:tc>
                <w:tcPr>
                  <w:tcW w:w="891" w:type="pct"/>
                  <w:noWrap w:val="0"/>
                  <w:vAlign w:val="center"/>
                </w:tcPr>
                <w:p w14:paraId="5C699538">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28</w:t>
                  </w:r>
                </w:p>
              </w:tc>
              <w:tc>
                <w:tcPr>
                  <w:tcW w:w="811" w:type="pct"/>
                  <w:noWrap w:val="0"/>
                  <w:vAlign w:val="center"/>
                </w:tcPr>
                <w:p w14:paraId="270AA630">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1.35</w:t>
                  </w:r>
                </w:p>
              </w:tc>
              <w:tc>
                <w:tcPr>
                  <w:tcW w:w="709" w:type="pct"/>
                  <w:noWrap w:val="0"/>
                  <w:vAlign w:val="center"/>
                </w:tcPr>
                <w:p w14:paraId="012DBB90">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0.491</w:t>
                  </w:r>
                </w:p>
              </w:tc>
              <w:tc>
                <w:tcPr>
                  <w:tcW w:w="1020" w:type="pct"/>
                  <w:noWrap w:val="0"/>
                  <w:vAlign w:val="center"/>
                </w:tcPr>
                <w:p w14:paraId="2C99DB0E">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10.2</w:t>
                  </w:r>
                </w:p>
              </w:tc>
            </w:tr>
            <w:tr w14:paraId="72D00C0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03" w:hRule="atLeast"/>
                <w:jc w:val="center"/>
              </w:trPr>
              <w:tc>
                <w:tcPr>
                  <w:tcW w:w="1566" w:type="pct"/>
                  <w:noWrap w:val="0"/>
                  <w:vAlign w:val="center"/>
                </w:tcPr>
                <w:p w14:paraId="0FFBD3CD">
                  <w:pPr>
                    <w:contextualSpacing/>
                    <w:jc w:val="center"/>
                    <w:rPr>
                      <w:szCs w:val="21"/>
                    </w:rPr>
                  </w:pPr>
                  <w:r>
                    <w:rPr>
                      <w:szCs w:val="21"/>
                    </w:rPr>
                    <w:t>202</w:t>
                  </w:r>
                  <w:r>
                    <w:rPr>
                      <w:rFonts w:hint="eastAsia"/>
                      <w:szCs w:val="21"/>
                      <w:lang w:val="en-US" w:eastAsia="zh-CN"/>
                    </w:rPr>
                    <w:t>4</w:t>
                  </w:r>
                  <w:r>
                    <w:rPr>
                      <w:szCs w:val="21"/>
                    </w:rPr>
                    <w:t>年43周</w:t>
                  </w:r>
                </w:p>
              </w:tc>
              <w:tc>
                <w:tcPr>
                  <w:tcW w:w="891" w:type="pct"/>
                  <w:noWrap w:val="0"/>
                  <w:vAlign w:val="center"/>
                </w:tcPr>
                <w:p w14:paraId="352E270F">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22.7</w:t>
                  </w:r>
                </w:p>
              </w:tc>
              <w:tc>
                <w:tcPr>
                  <w:tcW w:w="811" w:type="pct"/>
                  <w:noWrap w:val="0"/>
                  <w:vAlign w:val="center"/>
                </w:tcPr>
                <w:p w14:paraId="3FB95C14">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1.1</w:t>
                  </w:r>
                </w:p>
              </w:tc>
              <w:tc>
                <w:tcPr>
                  <w:tcW w:w="709" w:type="pct"/>
                  <w:noWrap w:val="0"/>
                  <w:vAlign w:val="center"/>
                </w:tcPr>
                <w:p w14:paraId="5DF49D94">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0.4</w:t>
                  </w:r>
                </w:p>
              </w:tc>
              <w:tc>
                <w:tcPr>
                  <w:tcW w:w="1020" w:type="pct"/>
                  <w:noWrap w:val="0"/>
                  <w:vAlign w:val="center"/>
                </w:tcPr>
                <w:p w14:paraId="61477732">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8.7</w:t>
                  </w:r>
                </w:p>
              </w:tc>
            </w:tr>
            <w:tr w14:paraId="671FC44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03" w:hRule="atLeast"/>
                <w:jc w:val="center"/>
              </w:trPr>
              <w:tc>
                <w:tcPr>
                  <w:tcW w:w="1566" w:type="pct"/>
                  <w:noWrap w:val="0"/>
                  <w:vAlign w:val="center"/>
                </w:tcPr>
                <w:p w14:paraId="5BEEADB3">
                  <w:pPr>
                    <w:contextualSpacing/>
                    <w:jc w:val="center"/>
                    <w:rPr>
                      <w:szCs w:val="21"/>
                    </w:rPr>
                  </w:pPr>
                  <w:r>
                    <w:rPr>
                      <w:szCs w:val="21"/>
                    </w:rPr>
                    <w:t>202</w:t>
                  </w:r>
                  <w:r>
                    <w:rPr>
                      <w:rFonts w:hint="eastAsia"/>
                      <w:szCs w:val="21"/>
                      <w:lang w:val="en-US" w:eastAsia="zh-CN"/>
                    </w:rPr>
                    <w:t>4</w:t>
                  </w:r>
                  <w:r>
                    <w:rPr>
                      <w:szCs w:val="21"/>
                    </w:rPr>
                    <w:t>年44周</w:t>
                  </w:r>
                </w:p>
              </w:tc>
              <w:tc>
                <w:tcPr>
                  <w:tcW w:w="891" w:type="pct"/>
                  <w:noWrap w:val="0"/>
                  <w:vAlign w:val="center"/>
                </w:tcPr>
                <w:p w14:paraId="243F5A71">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24.9</w:t>
                  </w:r>
                </w:p>
              </w:tc>
              <w:tc>
                <w:tcPr>
                  <w:tcW w:w="811" w:type="pct"/>
                  <w:noWrap w:val="0"/>
                  <w:vAlign w:val="center"/>
                </w:tcPr>
                <w:p w14:paraId="0A6B77E2">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0.656</w:t>
                  </w:r>
                </w:p>
              </w:tc>
              <w:tc>
                <w:tcPr>
                  <w:tcW w:w="709" w:type="pct"/>
                  <w:noWrap w:val="0"/>
                  <w:vAlign w:val="center"/>
                </w:tcPr>
                <w:p w14:paraId="73A958DE">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0.312</w:t>
                  </w:r>
                </w:p>
              </w:tc>
              <w:tc>
                <w:tcPr>
                  <w:tcW w:w="1020" w:type="pct"/>
                  <w:noWrap w:val="0"/>
                  <w:vAlign w:val="center"/>
                </w:tcPr>
                <w:p w14:paraId="633D79C4">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9.2</w:t>
                  </w:r>
                </w:p>
              </w:tc>
            </w:tr>
            <w:tr w14:paraId="168B795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03" w:hRule="atLeast"/>
                <w:jc w:val="center"/>
              </w:trPr>
              <w:tc>
                <w:tcPr>
                  <w:tcW w:w="1566" w:type="pct"/>
                  <w:noWrap w:val="0"/>
                  <w:vAlign w:val="center"/>
                </w:tcPr>
                <w:p w14:paraId="3E76B875">
                  <w:pPr>
                    <w:contextualSpacing/>
                    <w:jc w:val="center"/>
                    <w:rPr>
                      <w:szCs w:val="21"/>
                    </w:rPr>
                  </w:pPr>
                  <w:r>
                    <w:rPr>
                      <w:szCs w:val="21"/>
                    </w:rPr>
                    <w:t>202</w:t>
                  </w:r>
                  <w:r>
                    <w:rPr>
                      <w:rFonts w:hint="eastAsia"/>
                      <w:szCs w:val="21"/>
                      <w:lang w:val="en-US" w:eastAsia="zh-CN"/>
                    </w:rPr>
                    <w:t>4</w:t>
                  </w:r>
                  <w:r>
                    <w:rPr>
                      <w:szCs w:val="21"/>
                    </w:rPr>
                    <w:t>年45周</w:t>
                  </w:r>
                </w:p>
              </w:tc>
              <w:tc>
                <w:tcPr>
                  <w:tcW w:w="891" w:type="pct"/>
                  <w:noWrap w:val="0"/>
                  <w:vAlign w:val="center"/>
                </w:tcPr>
                <w:p w14:paraId="5070FCBE">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21.9</w:t>
                  </w:r>
                </w:p>
              </w:tc>
              <w:tc>
                <w:tcPr>
                  <w:tcW w:w="811" w:type="pct"/>
                  <w:noWrap w:val="0"/>
                  <w:vAlign w:val="center"/>
                </w:tcPr>
                <w:p w14:paraId="42B1440B">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0.364</w:t>
                  </w:r>
                </w:p>
              </w:tc>
              <w:tc>
                <w:tcPr>
                  <w:tcW w:w="709" w:type="pct"/>
                  <w:noWrap w:val="0"/>
                  <w:vAlign w:val="center"/>
                </w:tcPr>
                <w:p w14:paraId="5BE119F2">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0.238</w:t>
                  </w:r>
                </w:p>
              </w:tc>
              <w:tc>
                <w:tcPr>
                  <w:tcW w:w="1020" w:type="pct"/>
                  <w:noWrap w:val="0"/>
                  <w:vAlign w:val="center"/>
                </w:tcPr>
                <w:p w14:paraId="13A24ACB">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8</w:t>
                  </w:r>
                </w:p>
              </w:tc>
            </w:tr>
            <w:tr w14:paraId="3FAFAB22">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03" w:hRule="atLeast"/>
                <w:jc w:val="center"/>
              </w:trPr>
              <w:tc>
                <w:tcPr>
                  <w:tcW w:w="1566" w:type="pct"/>
                  <w:noWrap w:val="0"/>
                  <w:vAlign w:val="center"/>
                </w:tcPr>
                <w:p w14:paraId="4E57162F">
                  <w:pPr>
                    <w:contextualSpacing/>
                    <w:jc w:val="center"/>
                    <w:rPr>
                      <w:szCs w:val="21"/>
                    </w:rPr>
                  </w:pPr>
                  <w:r>
                    <w:rPr>
                      <w:szCs w:val="21"/>
                    </w:rPr>
                    <w:t>202</w:t>
                  </w:r>
                  <w:r>
                    <w:rPr>
                      <w:rFonts w:hint="eastAsia"/>
                      <w:szCs w:val="21"/>
                      <w:lang w:val="en-US" w:eastAsia="zh-CN"/>
                    </w:rPr>
                    <w:t>4</w:t>
                  </w:r>
                  <w:r>
                    <w:rPr>
                      <w:szCs w:val="21"/>
                    </w:rPr>
                    <w:t>年46周</w:t>
                  </w:r>
                </w:p>
              </w:tc>
              <w:tc>
                <w:tcPr>
                  <w:tcW w:w="891" w:type="pct"/>
                  <w:noWrap w:val="0"/>
                  <w:vAlign w:val="center"/>
                </w:tcPr>
                <w:p w14:paraId="0D04B038">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20</w:t>
                  </w:r>
                </w:p>
              </w:tc>
              <w:tc>
                <w:tcPr>
                  <w:tcW w:w="811" w:type="pct"/>
                  <w:noWrap w:val="0"/>
                  <w:vAlign w:val="center"/>
                </w:tcPr>
                <w:p w14:paraId="485A4114">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0.55</w:t>
                  </w:r>
                </w:p>
              </w:tc>
              <w:tc>
                <w:tcPr>
                  <w:tcW w:w="709" w:type="pct"/>
                  <w:noWrap w:val="0"/>
                  <w:vAlign w:val="center"/>
                </w:tcPr>
                <w:p w14:paraId="738A6AFD">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0.421</w:t>
                  </w:r>
                </w:p>
              </w:tc>
              <w:tc>
                <w:tcPr>
                  <w:tcW w:w="1020" w:type="pct"/>
                  <w:noWrap w:val="0"/>
                  <w:vAlign w:val="center"/>
                </w:tcPr>
                <w:p w14:paraId="03547A73">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6.8</w:t>
                  </w:r>
                </w:p>
              </w:tc>
            </w:tr>
            <w:tr w14:paraId="2512922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03" w:hRule="atLeast"/>
                <w:jc w:val="center"/>
              </w:trPr>
              <w:tc>
                <w:tcPr>
                  <w:tcW w:w="1566" w:type="pct"/>
                  <w:noWrap w:val="0"/>
                  <w:vAlign w:val="center"/>
                </w:tcPr>
                <w:p w14:paraId="76E11E30">
                  <w:pPr>
                    <w:contextualSpacing/>
                    <w:jc w:val="center"/>
                    <w:rPr>
                      <w:szCs w:val="21"/>
                    </w:rPr>
                  </w:pPr>
                  <w:r>
                    <w:rPr>
                      <w:szCs w:val="21"/>
                    </w:rPr>
                    <w:t>202</w:t>
                  </w:r>
                  <w:r>
                    <w:rPr>
                      <w:rFonts w:hint="eastAsia"/>
                      <w:szCs w:val="21"/>
                      <w:lang w:val="en-US" w:eastAsia="zh-CN"/>
                    </w:rPr>
                    <w:t>4</w:t>
                  </w:r>
                  <w:r>
                    <w:rPr>
                      <w:szCs w:val="21"/>
                    </w:rPr>
                    <w:t>年47周</w:t>
                  </w:r>
                </w:p>
              </w:tc>
              <w:tc>
                <w:tcPr>
                  <w:tcW w:w="891" w:type="pct"/>
                  <w:noWrap w:val="0"/>
                  <w:vAlign w:val="center"/>
                </w:tcPr>
                <w:p w14:paraId="41982962">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15.5</w:t>
                  </w:r>
                </w:p>
              </w:tc>
              <w:tc>
                <w:tcPr>
                  <w:tcW w:w="811" w:type="pct"/>
                  <w:noWrap w:val="0"/>
                  <w:vAlign w:val="center"/>
                </w:tcPr>
                <w:p w14:paraId="048AFA5B">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0.518</w:t>
                  </w:r>
                </w:p>
              </w:tc>
              <w:tc>
                <w:tcPr>
                  <w:tcW w:w="709" w:type="pct"/>
                  <w:noWrap w:val="0"/>
                  <w:vAlign w:val="center"/>
                </w:tcPr>
                <w:p w14:paraId="5C79824A">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0.34</w:t>
                  </w:r>
                </w:p>
              </w:tc>
              <w:tc>
                <w:tcPr>
                  <w:tcW w:w="1020" w:type="pct"/>
                  <w:noWrap w:val="0"/>
                  <w:vAlign w:val="center"/>
                </w:tcPr>
                <w:p w14:paraId="17C358E9">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5.7</w:t>
                  </w:r>
                </w:p>
              </w:tc>
            </w:tr>
            <w:tr w14:paraId="4C8D88FD">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03" w:hRule="atLeast"/>
                <w:jc w:val="center"/>
              </w:trPr>
              <w:tc>
                <w:tcPr>
                  <w:tcW w:w="1566" w:type="pct"/>
                  <w:noWrap w:val="0"/>
                  <w:vAlign w:val="center"/>
                </w:tcPr>
                <w:p w14:paraId="4CB8B8CA">
                  <w:pPr>
                    <w:contextualSpacing/>
                    <w:jc w:val="center"/>
                    <w:rPr>
                      <w:szCs w:val="21"/>
                    </w:rPr>
                  </w:pPr>
                  <w:r>
                    <w:rPr>
                      <w:szCs w:val="21"/>
                    </w:rPr>
                    <w:t>202</w:t>
                  </w:r>
                  <w:r>
                    <w:rPr>
                      <w:rFonts w:hint="eastAsia"/>
                      <w:szCs w:val="21"/>
                      <w:lang w:val="en-US" w:eastAsia="zh-CN"/>
                    </w:rPr>
                    <w:t>4</w:t>
                  </w:r>
                  <w:r>
                    <w:rPr>
                      <w:szCs w:val="21"/>
                    </w:rPr>
                    <w:t>年48周</w:t>
                  </w:r>
                </w:p>
              </w:tc>
              <w:tc>
                <w:tcPr>
                  <w:tcW w:w="891" w:type="pct"/>
                  <w:noWrap w:val="0"/>
                  <w:vAlign w:val="center"/>
                </w:tcPr>
                <w:p w14:paraId="48AFD219">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15.1</w:t>
                  </w:r>
                </w:p>
              </w:tc>
              <w:tc>
                <w:tcPr>
                  <w:tcW w:w="811" w:type="pct"/>
                  <w:noWrap w:val="0"/>
                  <w:vAlign w:val="center"/>
                </w:tcPr>
                <w:p w14:paraId="241C1C49">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0.855</w:t>
                  </w:r>
                </w:p>
              </w:tc>
              <w:tc>
                <w:tcPr>
                  <w:tcW w:w="709" w:type="pct"/>
                  <w:noWrap w:val="0"/>
                  <w:vAlign w:val="center"/>
                </w:tcPr>
                <w:p w14:paraId="543B9D17">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0.3</w:t>
                  </w:r>
                </w:p>
              </w:tc>
              <w:tc>
                <w:tcPr>
                  <w:tcW w:w="1020" w:type="pct"/>
                  <w:noWrap w:val="0"/>
                  <w:vAlign w:val="center"/>
                </w:tcPr>
                <w:p w14:paraId="7E99DD6E">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3.4</w:t>
                  </w:r>
                </w:p>
              </w:tc>
            </w:tr>
            <w:tr w14:paraId="2D4EEC4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03" w:hRule="atLeast"/>
                <w:jc w:val="center"/>
              </w:trPr>
              <w:tc>
                <w:tcPr>
                  <w:tcW w:w="1566" w:type="pct"/>
                  <w:noWrap w:val="0"/>
                  <w:vAlign w:val="center"/>
                </w:tcPr>
                <w:p w14:paraId="471E5450">
                  <w:pPr>
                    <w:contextualSpacing/>
                    <w:jc w:val="center"/>
                    <w:rPr>
                      <w:szCs w:val="21"/>
                    </w:rPr>
                  </w:pPr>
                  <w:r>
                    <w:rPr>
                      <w:szCs w:val="21"/>
                    </w:rPr>
                    <w:t>202</w:t>
                  </w:r>
                  <w:r>
                    <w:rPr>
                      <w:rFonts w:hint="eastAsia"/>
                      <w:szCs w:val="21"/>
                      <w:lang w:val="en-US" w:eastAsia="zh-CN"/>
                    </w:rPr>
                    <w:t>4</w:t>
                  </w:r>
                  <w:r>
                    <w:rPr>
                      <w:szCs w:val="21"/>
                    </w:rPr>
                    <w:t>年49周</w:t>
                  </w:r>
                </w:p>
              </w:tc>
              <w:tc>
                <w:tcPr>
                  <w:tcW w:w="891" w:type="pct"/>
                  <w:noWrap w:val="0"/>
                  <w:vAlign w:val="center"/>
                </w:tcPr>
                <w:p w14:paraId="2EA541F0">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17.6</w:t>
                  </w:r>
                </w:p>
              </w:tc>
              <w:tc>
                <w:tcPr>
                  <w:tcW w:w="811" w:type="pct"/>
                  <w:noWrap w:val="0"/>
                  <w:vAlign w:val="center"/>
                </w:tcPr>
                <w:p w14:paraId="38E9B798">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1.39</w:t>
                  </w:r>
                </w:p>
              </w:tc>
              <w:tc>
                <w:tcPr>
                  <w:tcW w:w="709" w:type="pct"/>
                  <w:noWrap w:val="0"/>
                  <w:vAlign w:val="center"/>
                </w:tcPr>
                <w:p w14:paraId="31516BB8">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0.252</w:t>
                  </w:r>
                </w:p>
              </w:tc>
              <w:tc>
                <w:tcPr>
                  <w:tcW w:w="1020" w:type="pct"/>
                  <w:noWrap w:val="0"/>
                  <w:vAlign w:val="center"/>
                </w:tcPr>
                <w:p w14:paraId="374F793F">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1.4</w:t>
                  </w:r>
                </w:p>
              </w:tc>
            </w:tr>
            <w:tr w14:paraId="3502F2D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03" w:hRule="atLeast"/>
                <w:jc w:val="center"/>
              </w:trPr>
              <w:tc>
                <w:tcPr>
                  <w:tcW w:w="1566" w:type="pct"/>
                  <w:noWrap w:val="0"/>
                  <w:vAlign w:val="center"/>
                </w:tcPr>
                <w:p w14:paraId="0D9E0DCA">
                  <w:pPr>
                    <w:contextualSpacing/>
                    <w:jc w:val="center"/>
                    <w:rPr>
                      <w:szCs w:val="21"/>
                    </w:rPr>
                  </w:pPr>
                  <w:r>
                    <w:rPr>
                      <w:szCs w:val="21"/>
                    </w:rPr>
                    <w:t>202</w:t>
                  </w:r>
                  <w:r>
                    <w:rPr>
                      <w:rFonts w:hint="eastAsia"/>
                      <w:szCs w:val="21"/>
                      <w:lang w:val="en-US" w:eastAsia="zh-CN"/>
                    </w:rPr>
                    <w:t>4</w:t>
                  </w:r>
                  <w:r>
                    <w:rPr>
                      <w:szCs w:val="21"/>
                    </w:rPr>
                    <w:t>年50周</w:t>
                  </w:r>
                </w:p>
              </w:tc>
              <w:tc>
                <w:tcPr>
                  <w:tcW w:w="891" w:type="pct"/>
                  <w:noWrap w:val="0"/>
                  <w:vAlign w:val="center"/>
                </w:tcPr>
                <w:p w14:paraId="042C67DF">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19.7</w:t>
                  </w:r>
                </w:p>
              </w:tc>
              <w:tc>
                <w:tcPr>
                  <w:tcW w:w="811" w:type="pct"/>
                  <w:noWrap w:val="0"/>
                  <w:vAlign w:val="center"/>
                </w:tcPr>
                <w:p w14:paraId="06A81AD3">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1.86</w:t>
                  </w:r>
                </w:p>
              </w:tc>
              <w:tc>
                <w:tcPr>
                  <w:tcW w:w="709" w:type="pct"/>
                  <w:noWrap w:val="0"/>
                  <w:vAlign w:val="center"/>
                </w:tcPr>
                <w:p w14:paraId="580EA312">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0.368</w:t>
                  </w:r>
                </w:p>
              </w:tc>
              <w:tc>
                <w:tcPr>
                  <w:tcW w:w="1020" w:type="pct"/>
                  <w:noWrap w:val="0"/>
                  <w:vAlign w:val="center"/>
                </w:tcPr>
                <w:p w14:paraId="22B15FE5">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2.2</w:t>
                  </w:r>
                </w:p>
              </w:tc>
            </w:tr>
            <w:tr w14:paraId="5FF6CD3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03" w:hRule="atLeast"/>
                <w:jc w:val="center"/>
              </w:trPr>
              <w:tc>
                <w:tcPr>
                  <w:tcW w:w="1566" w:type="pct"/>
                  <w:noWrap w:val="0"/>
                  <w:vAlign w:val="center"/>
                </w:tcPr>
                <w:p w14:paraId="22086A7F">
                  <w:pPr>
                    <w:contextualSpacing/>
                    <w:jc w:val="center"/>
                    <w:rPr>
                      <w:szCs w:val="21"/>
                    </w:rPr>
                  </w:pPr>
                  <w:r>
                    <w:rPr>
                      <w:szCs w:val="21"/>
                    </w:rPr>
                    <w:t>202</w:t>
                  </w:r>
                  <w:r>
                    <w:rPr>
                      <w:rFonts w:hint="eastAsia"/>
                      <w:szCs w:val="21"/>
                      <w:lang w:val="en-US" w:eastAsia="zh-CN"/>
                    </w:rPr>
                    <w:t>4</w:t>
                  </w:r>
                  <w:r>
                    <w:rPr>
                      <w:szCs w:val="21"/>
                    </w:rPr>
                    <w:t>年51周</w:t>
                  </w:r>
                </w:p>
              </w:tc>
              <w:tc>
                <w:tcPr>
                  <w:tcW w:w="891" w:type="pct"/>
                  <w:noWrap w:val="0"/>
                  <w:vAlign w:val="center"/>
                </w:tcPr>
                <w:p w14:paraId="1CBCCAB1">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20.2</w:t>
                  </w:r>
                </w:p>
              </w:tc>
              <w:tc>
                <w:tcPr>
                  <w:tcW w:w="811" w:type="pct"/>
                  <w:noWrap w:val="0"/>
                  <w:vAlign w:val="center"/>
                </w:tcPr>
                <w:p w14:paraId="36C787C9">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2.79</w:t>
                  </w:r>
                </w:p>
              </w:tc>
              <w:tc>
                <w:tcPr>
                  <w:tcW w:w="709" w:type="pct"/>
                  <w:noWrap w:val="0"/>
                  <w:vAlign w:val="center"/>
                </w:tcPr>
                <w:p w14:paraId="604EBB46">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0.573</w:t>
                  </w:r>
                </w:p>
              </w:tc>
              <w:tc>
                <w:tcPr>
                  <w:tcW w:w="1020" w:type="pct"/>
                  <w:noWrap w:val="0"/>
                  <w:vAlign w:val="center"/>
                </w:tcPr>
                <w:p w14:paraId="21940F97">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r>
            <w:tr w14:paraId="68DDBB3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294" w:hRule="atLeast"/>
                <w:jc w:val="center"/>
              </w:trPr>
              <w:tc>
                <w:tcPr>
                  <w:tcW w:w="1566" w:type="pct"/>
                  <w:tcBorders>
                    <w:bottom w:val="single" w:color="auto" w:sz="4" w:space="0"/>
                  </w:tcBorders>
                  <w:noWrap w:val="0"/>
                  <w:vAlign w:val="center"/>
                </w:tcPr>
                <w:p w14:paraId="78553966">
                  <w:pPr>
                    <w:contextualSpacing/>
                    <w:jc w:val="center"/>
                    <w:rPr>
                      <w:szCs w:val="21"/>
                    </w:rPr>
                  </w:pPr>
                  <w:r>
                    <w:rPr>
                      <w:szCs w:val="21"/>
                    </w:rPr>
                    <w:t>202</w:t>
                  </w:r>
                  <w:r>
                    <w:rPr>
                      <w:rFonts w:hint="eastAsia"/>
                      <w:szCs w:val="21"/>
                      <w:lang w:val="en-US" w:eastAsia="zh-CN"/>
                    </w:rPr>
                    <w:t>4</w:t>
                  </w:r>
                  <w:r>
                    <w:rPr>
                      <w:szCs w:val="21"/>
                    </w:rPr>
                    <w:t>年52周</w:t>
                  </w:r>
                </w:p>
              </w:tc>
              <w:tc>
                <w:tcPr>
                  <w:tcW w:w="891" w:type="pct"/>
                  <w:tcBorders>
                    <w:bottom w:val="single" w:color="auto" w:sz="4" w:space="0"/>
                  </w:tcBorders>
                  <w:noWrap w:val="0"/>
                  <w:vAlign w:val="center"/>
                </w:tcPr>
                <w:p w14:paraId="46E25920">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16.2</w:t>
                  </w:r>
                </w:p>
              </w:tc>
              <w:tc>
                <w:tcPr>
                  <w:tcW w:w="811" w:type="pct"/>
                  <w:tcBorders>
                    <w:bottom w:val="single" w:color="auto" w:sz="4" w:space="0"/>
                  </w:tcBorders>
                  <w:noWrap w:val="0"/>
                  <w:vAlign w:val="center"/>
                </w:tcPr>
                <w:p w14:paraId="0F2A79B1">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1.26</w:t>
                  </w:r>
                </w:p>
              </w:tc>
              <w:tc>
                <w:tcPr>
                  <w:tcW w:w="709" w:type="pct"/>
                  <w:tcBorders>
                    <w:bottom w:val="single" w:color="auto" w:sz="4" w:space="0"/>
                  </w:tcBorders>
                  <w:noWrap w:val="0"/>
                  <w:vAlign w:val="center"/>
                </w:tcPr>
                <w:p w14:paraId="0C92902C">
                  <w:pPr>
                    <w:contextualSpacing/>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0.246</w:t>
                  </w:r>
                </w:p>
              </w:tc>
              <w:tc>
                <w:tcPr>
                  <w:tcW w:w="1020" w:type="pct"/>
                  <w:tcBorders>
                    <w:bottom w:val="single" w:color="auto" w:sz="4" w:space="0"/>
                  </w:tcBorders>
                  <w:noWrap w:val="0"/>
                  <w:vAlign w:val="center"/>
                </w:tcPr>
                <w:p w14:paraId="5C8A632D">
                  <w:pPr>
                    <w:contextualSpacing/>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2.6</w:t>
                  </w:r>
                </w:p>
              </w:tc>
            </w:tr>
            <w:tr w14:paraId="3D6092B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03" w:hRule="atLeast"/>
                <w:jc w:val="center"/>
              </w:trPr>
              <w:tc>
                <w:tcPr>
                  <w:tcW w:w="1566" w:type="pct"/>
                  <w:noWrap w:val="0"/>
                  <w:vAlign w:val="center"/>
                </w:tcPr>
                <w:p w14:paraId="54CE111D">
                  <w:pPr>
                    <w:pStyle w:val="42"/>
                    <w:spacing w:before="0" w:beforeAutospacing="0" w:after="0" w:afterAutospacing="0"/>
                    <w:contextualSpacing/>
                    <w:jc w:val="center"/>
                    <w:textAlignment w:val="center"/>
                    <w:rPr>
                      <w:rFonts w:ascii="Times New Roman" w:hAnsi="Times New Roman"/>
                      <w:sz w:val="21"/>
                      <w:szCs w:val="21"/>
                    </w:rPr>
                  </w:pPr>
                  <w:r>
                    <w:rPr>
                      <w:rFonts w:ascii="Times New Roman" w:hAnsi="Times New Roman"/>
                      <w:sz w:val="21"/>
                      <w:szCs w:val="21"/>
                    </w:rPr>
                    <w:t>年均值</w:t>
                  </w:r>
                </w:p>
              </w:tc>
              <w:tc>
                <w:tcPr>
                  <w:tcW w:w="891" w:type="pct"/>
                  <w:noWrap w:val="0"/>
                  <w:vAlign w:val="center"/>
                </w:tcPr>
                <w:p w14:paraId="4CC0A0EF">
                  <w:pPr>
                    <w:pStyle w:val="42"/>
                    <w:spacing w:before="0" w:beforeAutospacing="0" w:after="0" w:afterAutospacing="0"/>
                    <w:contextualSpacing/>
                    <w:jc w:val="center"/>
                    <w:textAlignment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25.86</w:t>
                  </w:r>
                </w:p>
              </w:tc>
              <w:tc>
                <w:tcPr>
                  <w:tcW w:w="811" w:type="pct"/>
                  <w:noWrap w:val="0"/>
                  <w:vAlign w:val="center"/>
                </w:tcPr>
                <w:p w14:paraId="4BFD0BBE">
                  <w:pPr>
                    <w:pStyle w:val="42"/>
                    <w:spacing w:before="0" w:beforeAutospacing="0" w:after="0" w:afterAutospacing="0"/>
                    <w:contextualSpacing/>
                    <w:jc w:val="center"/>
                    <w:textAlignment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0.9</w:t>
                  </w:r>
                </w:p>
              </w:tc>
              <w:tc>
                <w:tcPr>
                  <w:tcW w:w="709" w:type="pct"/>
                  <w:noWrap w:val="0"/>
                  <w:vAlign w:val="center"/>
                </w:tcPr>
                <w:p w14:paraId="5F37375B">
                  <w:pPr>
                    <w:pStyle w:val="42"/>
                    <w:spacing w:before="0" w:beforeAutospacing="0" w:after="0" w:afterAutospacing="0"/>
                    <w:contextualSpacing/>
                    <w:jc w:val="center"/>
                    <w:textAlignment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0.32</w:t>
                  </w:r>
                </w:p>
              </w:tc>
              <w:tc>
                <w:tcPr>
                  <w:tcW w:w="1020" w:type="pct"/>
                  <w:noWrap w:val="0"/>
                  <w:vAlign w:val="center"/>
                </w:tcPr>
                <w:p w14:paraId="22A34B41">
                  <w:pPr>
                    <w:pStyle w:val="42"/>
                    <w:spacing w:before="0" w:beforeAutospacing="0" w:after="0" w:afterAutospacing="0"/>
                    <w:contextualSpacing/>
                    <w:jc w:val="center"/>
                    <w:textAlignment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7.62</w:t>
                  </w:r>
                </w:p>
              </w:tc>
            </w:tr>
            <w:tr w14:paraId="04A26DA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cantSplit/>
                <w:trHeight w:val="326" w:hRule="atLeast"/>
                <w:jc w:val="center"/>
              </w:trPr>
              <w:tc>
                <w:tcPr>
                  <w:tcW w:w="1566" w:type="pct"/>
                  <w:noWrap w:val="0"/>
                  <w:vAlign w:val="center"/>
                </w:tcPr>
                <w:p w14:paraId="490B8C9E">
                  <w:pPr>
                    <w:contextualSpacing/>
                    <w:jc w:val="center"/>
                    <w:rPr>
                      <w:szCs w:val="21"/>
                    </w:rPr>
                  </w:pPr>
                  <w:r>
                    <w:rPr>
                      <w:szCs w:val="21"/>
                    </w:rPr>
                    <w:fldChar w:fldCharType="begin"/>
                  </w:r>
                  <w:r>
                    <w:rPr>
                      <w:szCs w:val="21"/>
                    </w:rPr>
                    <w:instrText xml:space="preserve"> = 3 \* ROMAN \* MERGEFORMAT </w:instrText>
                  </w:r>
                  <w:r>
                    <w:rPr>
                      <w:szCs w:val="21"/>
                    </w:rPr>
                    <w:fldChar w:fldCharType="separate"/>
                  </w:r>
                  <w:r>
                    <w:t>III</w:t>
                  </w:r>
                  <w:r>
                    <w:rPr>
                      <w:szCs w:val="21"/>
                    </w:rPr>
                    <w:fldChar w:fldCharType="end"/>
                  </w:r>
                  <w:r>
                    <w:rPr>
                      <w:szCs w:val="21"/>
                    </w:rPr>
                    <w:t>类水质指标</w:t>
                  </w:r>
                </w:p>
              </w:tc>
              <w:tc>
                <w:tcPr>
                  <w:tcW w:w="891" w:type="pct"/>
                  <w:noWrap w:val="0"/>
                  <w:vAlign w:val="center"/>
                </w:tcPr>
                <w:p w14:paraId="6AD8D2E2">
                  <w:pPr>
                    <w:jc w:val="center"/>
                    <w:rPr>
                      <w:rFonts w:hint="default" w:eastAsia="宋体"/>
                      <w:szCs w:val="21"/>
                      <w:lang w:val="en-US" w:eastAsia="zh-CN"/>
                    </w:rPr>
                  </w:pPr>
                  <w:r>
                    <w:rPr>
                      <w:rFonts w:hint="eastAsia"/>
                      <w:szCs w:val="21"/>
                      <w:lang w:val="en-US" w:eastAsia="zh-CN"/>
                    </w:rPr>
                    <w:t>20</w:t>
                  </w:r>
                </w:p>
              </w:tc>
              <w:tc>
                <w:tcPr>
                  <w:tcW w:w="811" w:type="pct"/>
                  <w:noWrap w:val="0"/>
                  <w:vAlign w:val="center"/>
                </w:tcPr>
                <w:p w14:paraId="076FE35D">
                  <w:pPr>
                    <w:jc w:val="center"/>
                    <w:rPr>
                      <w:rFonts w:hint="default" w:eastAsia="宋体"/>
                      <w:szCs w:val="21"/>
                      <w:lang w:val="en-US" w:eastAsia="zh-CN"/>
                    </w:rPr>
                  </w:pPr>
                  <w:r>
                    <w:rPr>
                      <w:rFonts w:hint="eastAsia"/>
                      <w:szCs w:val="21"/>
                      <w:lang w:val="en-US" w:eastAsia="zh-CN"/>
                    </w:rPr>
                    <w:t>1.0</w:t>
                  </w:r>
                </w:p>
              </w:tc>
              <w:tc>
                <w:tcPr>
                  <w:tcW w:w="709" w:type="pct"/>
                  <w:noWrap w:val="0"/>
                  <w:vAlign w:val="center"/>
                </w:tcPr>
                <w:p w14:paraId="6A063457">
                  <w:pPr>
                    <w:jc w:val="center"/>
                    <w:rPr>
                      <w:rFonts w:hint="default" w:eastAsia="宋体"/>
                      <w:szCs w:val="21"/>
                      <w:lang w:val="en-US" w:eastAsia="zh-CN"/>
                    </w:rPr>
                  </w:pPr>
                  <w:r>
                    <w:rPr>
                      <w:rFonts w:hint="eastAsia"/>
                      <w:szCs w:val="21"/>
                      <w:lang w:val="en-US" w:eastAsia="zh-CN"/>
                    </w:rPr>
                    <w:t>0.2</w:t>
                  </w:r>
                </w:p>
              </w:tc>
              <w:tc>
                <w:tcPr>
                  <w:tcW w:w="1020" w:type="pct"/>
                  <w:noWrap w:val="0"/>
                  <w:vAlign w:val="center"/>
                </w:tcPr>
                <w:p w14:paraId="1D9BD90F">
                  <w:pPr>
                    <w:jc w:val="center"/>
                    <w:rPr>
                      <w:rFonts w:hint="default" w:eastAsia="宋体"/>
                      <w:szCs w:val="21"/>
                      <w:lang w:val="en-US" w:eastAsia="zh-CN"/>
                    </w:rPr>
                  </w:pPr>
                  <w:r>
                    <w:rPr>
                      <w:rFonts w:hint="eastAsia"/>
                      <w:szCs w:val="21"/>
                      <w:lang w:val="en-US" w:eastAsia="zh-CN"/>
                    </w:rPr>
                    <w:t>6</w:t>
                  </w:r>
                </w:p>
              </w:tc>
            </w:tr>
          </w:tbl>
          <w:p w14:paraId="730120B1">
            <w:pPr>
              <w:adjustRightInd w:val="0"/>
              <w:snapToGrid w:val="0"/>
              <w:spacing w:line="360" w:lineRule="auto"/>
              <w:ind w:left="23" w:leftChars="11" w:firstLine="480" w:firstLineChars="200"/>
              <w:rPr>
                <w:sz w:val="24"/>
                <w:szCs w:val="24"/>
              </w:rPr>
            </w:pPr>
            <w:r>
              <w:rPr>
                <w:sz w:val="24"/>
                <w:szCs w:val="24"/>
              </w:rPr>
              <w:t>由上表可知，汤河石辛庄市控断面</w:t>
            </w:r>
            <w:r>
              <w:rPr>
                <w:rFonts w:hint="eastAsia"/>
                <w:sz w:val="24"/>
                <w:szCs w:val="24"/>
                <w:lang w:val="en-US" w:eastAsia="zh-CN"/>
              </w:rPr>
              <w:t>COD、总磷、高锰酸盐指数</w:t>
            </w:r>
            <w:r>
              <w:rPr>
                <w:sz w:val="24"/>
                <w:szCs w:val="24"/>
              </w:rPr>
              <w:t>年均值</w:t>
            </w:r>
            <w:r>
              <w:rPr>
                <w:rFonts w:hint="eastAsia"/>
                <w:sz w:val="24"/>
                <w:szCs w:val="24"/>
                <w:lang w:val="en-US" w:eastAsia="zh-CN"/>
              </w:rPr>
              <w:t>不</w:t>
            </w:r>
            <w:r>
              <w:rPr>
                <w:sz w:val="24"/>
                <w:szCs w:val="24"/>
              </w:rPr>
              <w:t>能满足《地表水环境质量标准》（GB3838-2002）</w:t>
            </w:r>
            <w:r>
              <w:rPr>
                <w:sz w:val="24"/>
                <w:szCs w:val="24"/>
              </w:rPr>
              <w:fldChar w:fldCharType="begin"/>
            </w:r>
            <w:r>
              <w:rPr>
                <w:sz w:val="24"/>
                <w:szCs w:val="24"/>
              </w:rPr>
              <w:instrText xml:space="preserve"> = 3 \* ROMAN \* MERGEFORMAT </w:instrText>
            </w:r>
            <w:r>
              <w:rPr>
                <w:sz w:val="24"/>
                <w:szCs w:val="24"/>
              </w:rPr>
              <w:fldChar w:fldCharType="separate"/>
            </w:r>
            <w:r>
              <w:t>III</w:t>
            </w:r>
            <w:r>
              <w:rPr>
                <w:sz w:val="24"/>
                <w:szCs w:val="24"/>
              </w:rPr>
              <w:fldChar w:fldCharType="end"/>
            </w:r>
            <w:r>
              <w:rPr>
                <w:sz w:val="24"/>
                <w:szCs w:val="24"/>
              </w:rPr>
              <w:t>类标准的要求</w:t>
            </w:r>
            <w:r>
              <w:rPr>
                <w:rFonts w:hint="eastAsia"/>
                <w:sz w:val="24"/>
                <w:szCs w:val="24"/>
                <w:lang w:eastAsia="zh-CN"/>
              </w:rPr>
              <w:t>，</w:t>
            </w:r>
            <w:r>
              <w:rPr>
                <w:rFonts w:hint="eastAsia"/>
                <w:sz w:val="24"/>
                <w:szCs w:val="24"/>
                <w:lang w:val="en-US" w:eastAsia="zh-CN"/>
              </w:rPr>
              <w:t>氨氮年均值</w:t>
            </w:r>
            <w:r>
              <w:rPr>
                <w:sz w:val="24"/>
                <w:szCs w:val="24"/>
              </w:rPr>
              <w:t>能满足《地表水环境质量标准》（GB3838-2002）</w:t>
            </w:r>
            <w:r>
              <w:rPr>
                <w:sz w:val="24"/>
                <w:szCs w:val="24"/>
              </w:rPr>
              <w:fldChar w:fldCharType="begin"/>
            </w:r>
            <w:r>
              <w:rPr>
                <w:sz w:val="24"/>
                <w:szCs w:val="24"/>
              </w:rPr>
              <w:instrText xml:space="preserve"> = 3 \* ROMAN \* MERGEFORMAT </w:instrText>
            </w:r>
            <w:r>
              <w:rPr>
                <w:sz w:val="24"/>
                <w:szCs w:val="24"/>
              </w:rPr>
              <w:fldChar w:fldCharType="separate"/>
            </w:r>
            <w:r>
              <w:t>III</w:t>
            </w:r>
            <w:r>
              <w:rPr>
                <w:sz w:val="24"/>
                <w:szCs w:val="24"/>
              </w:rPr>
              <w:fldChar w:fldCharType="end"/>
            </w:r>
            <w:r>
              <w:rPr>
                <w:sz w:val="24"/>
                <w:szCs w:val="24"/>
              </w:rPr>
              <w:t>类标准的要求。</w:t>
            </w:r>
          </w:p>
          <w:p w14:paraId="22343101">
            <w:pPr>
              <w:pStyle w:val="261"/>
              <w:ind w:firstLine="240"/>
            </w:pPr>
            <w:r>
              <w:t>3、声环境</w:t>
            </w:r>
          </w:p>
          <w:p w14:paraId="1323CE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Times New Roman" w:cs="Times New Roman"/>
                <w:color w:val="000000" w:themeColor="text1"/>
                <w:sz w:val="24"/>
                <w:highlight w:val="none"/>
                <w14:textFill>
                  <w14:solidFill>
                    <w14:schemeClr w14:val="tx1"/>
                  </w14:solidFill>
                </w14:textFill>
              </w:rPr>
            </w:pPr>
            <w:r>
              <w:rPr>
                <w:rFonts w:hint="default" w:ascii="Times New Roman" w:hAnsi="Times New Roman" w:eastAsia="Times New Roman" w:cs="Times New Roman"/>
                <w:color w:val="000000" w:themeColor="text1"/>
                <w:sz w:val="24"/>
                <w:highlight w:val="none"/>
                <w14:textFill>
                  <w14:solidFill>
                    <w14:schemeClr w14:val="tx1"/>
                  </w14:solidFill>
                </w14:textFill>
              </w:rPr>
              <w:t>项目位于汤阴县</w:t>
            </w:r>
            <w:r>
              <w:rPr>
                <w:rFonts w:hint="eastAsia" w:ascii="Times New Roman" w:hAnsi="Times New Roman" w:eastAsia="Times New Roman" w:cs="Times New Roman"/>
                <w:color w:val="000000" w:themeColor="text1"/>
                <w:sz w:val="24"/>
                <w:highlight w:val="none"/>
                <w:lang w:eastAsia="zh-CN"/>
                <w14:textFill>
                  <w14:solidFill>
                    <w14:schemeClr w14:val="tx1"/>
                  </w14:solidFill>
                </w14:textFill>
              </w:rPr>
              <w:t>新型材料产业园区</w:t>
            </w:r>
            <w:r>
              <w:rPr>
                <w:rFonts w:hint="default" w:ascii="Times New Roman" w:hAnsi="Times New Roman" w:eastAsia="Times New Roman" w:cs="Times New Roman"/>
                <w:color w:val="000000" w:themeColor="text1"/>
                <w:sz w:val="24"/>
                <w:highlight w:val="none"/>
                <w14:textFill>
                  <w14:solidFill>
                    <w14:schemeClr w14:val="tx1"/>
                  </w14:solidFill>
                </w14:textFill>
              </w:rPr>
              <w:t>，根据声环境质量功能区划原则，项目所在区域执行《声环境质量标准》（GB3096-2008）中</w:t>
            </w:r>
            <w:r>
              <w:rPr>
                <w:rFonts w:hint="eastAsia" w:eastAsia="Times New Roman" w:cs="Times New Roman"/>
                <w:color w:val="000000" w:themeColor="text1"/>
                <w:sz w:val="24"/>
                <w:highlight w:val="none"/>
                <w:lang w:val="en-US" w:eastAsia="zh-CN"/>
                <w14:textFill>
                  <w14:solidFill>
                    <w14:schemeClr w14:val="tx1"/>
                  </w14:solidFill>
                </w14:textFill>
              </w:rPr>
              <w:t>3</w:t>
            </w:r>
            <w:r>
              <w:rPr>
                <w:rFonts w:hint="default" w:ascii="Times New Roman" w:hAnsi="Times New Roman" w:eastAsia="Times New Roman" w:cs="Times New Roman"/>
                <w:color w:val="000000" w:themeColor="text1"/>
                <w:sz w:val="24"/>
                <w:highlight w:val="none"/>
                <w14:textFill>
                  <w14:solidFill>
                    <w14:schemeClr w14:val="tx1"/>
                  </w14:solidFill>
                </w14:textFill>
              </w:rPr>
              <w:t>类标准：</w:t>
            </w:r>
            <w:r>
              <w:rPr>
                <w:rFonts w:hint="default" w:ascii="Times New Roman" w:hAnsi="Times New Roman" w:eastAsia="Times New Roman" w:cs="Times New Roman"/>
                <w:color w:val="000000" w:themeColor="text1"/>
                <w:kern w:val="0"/>
                <w:sz w:val="24"/>
                <w:highlight w:val="none"/>
                <w14:textFill>
                  <w14:solidFill>
                    <w14:schemeClr w14:val="tx1"/>
                  </w14:solidFill>
                </w14:textFill>
              </w:rPr>
              <w:t>昼间</w:t>
            </w:r>
            <w:r>
              <w:rPr>
                <w:rFonts w:hint="default" w:ascii="Times New Roman" w:hAnsi="Times New Roman" w:eastAsia="Times New Roman" w:cs="Times New Roman"/>
                <w:color w:val="000000" w:themeColor="text1"/>
                <w:highlight w:val="none"/>
                <w14:textFill>
                  <w14:solidFill>
                    <w14:schemeClr w14:val="tx1"/>
                  </w14:solidFill>
                </w14:textFill>
              </w:rPr>
              <w:t>≤</w:t>
            </w:r>
            <w:r>
              <w:rPr>
                <w:rFonts w:hint="default" w:ascii="Times New Roman" w:hAnsi="Times New Roman" w:eastAsia="Times New Roman" w:cs="Times New Roman"/>
                <w:color w:val="000000" w:themeColor="text1"/>
                <w:kern w:val="0"/>
                <w:sz w:val="24"/>
                <w:highlight w:val="none"/>
                <w14:textFill>
                  <w14:solidFill>
                    <w14:schemeClr w14:val="tx1"/>
                  </w14:solidFill>
                </w14:textFill>
              </w:rPr>
              <w:t>6</w:t>
            </w:r>
            <w:r>
              <w:rPr>
                <w:rFonts w:hint="eastAsia" w:eastAsia="Times New Roman" w:cs="Times New Roman"/>
                <w:color w:val="000000" w:themeColor="text1"/>
                <w:kern w:val="0"/>
                <w:sz w:val="24"/>
                <w:highlight w:val="none"/>
                <w:lang w:val="en-US" w:eastAsia="zh-CN"/>
                <w14:textFill>
                  <w14:solidFill>
                    <w14:schemeClr w14:val="tx1"/>
                  </w14:solidFill>
                </w14:textFill>
              </w:rPr>
              <w:t>5</w:t>
            </w:r>
            <w:r>
              <w:rPr>
                <w:rFonts w:hint="default" w:ascii="Times New Roman" w:hAnsi="Times New Roman" w:eastAsia="Times New Roman" w:cs="Times New Roman"/>
                <w:color w:val="000000" w:themeColor="text1"/>
                <w:sz w:val="24"/>
                <w:highlight w:val="none"/>
                <w14:textFill>
                  <w14:solidFill>
                    <w14:schemeClr w14:val="tx1"/>
                  </w14:solidFill>
                </w14:textFill>
              </w:rPr>
              <w:t>dB(A)</w:t>
            </w:r>
            <w:r>
              <w:rPr>
                <w:rFonts w:hint="default" w:ascii="Times New Roman" w:hAnsi="Times New Roman" w:eastAsia="Times New Roman" w:cs="Times New Roman"/>
                <w:color w:val="000000" w:themeColor="text1"/>
                <w:kern w:val="0"/>
                <w:sz w:val="24"/>
                <w:highlight w:val="none"/>
                <w14:textFill>
                  <w14:solidFill>
                    <w14:schemeClr w14:val="tx1"/>
                  </w14:solidFill>
                </w14:textFill>
              </w:rPr>
              <w:t>、夜间</w:t>
            </w:r>
            <w:r>
              <w:rPr>
                <w:rFonts w:hint="default" w:ascii="Times New Roman" w:hAnsi="Times New Roman" w:eastAsia="Times New Roman" w:cs="Times New Roman"/>
                <w:color w:val="000000" w:themeColor="text1"/>
                <w:highlight w:val="none"/>
                <w14:textFill>
                  <w14:solidFill>
                    <w14:schemeClr w14:val="tx1"/>
                  </w14:solidFill>
                </w14:textFill>
              </w:rPr>
              <w:t>≤</w:t>
            </w:r>
            <w:r>
              <w:rPr>
                <w:rFonts w:hint="eastAsia" w:eastAsia="宋体" w:cs="Times New Roman"/>
                <w:color w:val="000000" w:themeColor="text1"/>
                <w:kern w:val="0"/>
                <w:sz w:val="24"/>
                <w:highlight w:val="none"/>
                <w:lang w:val="en-US" w:eastAsia="zh-CN"/>
                <w14:textFill>
                  <w14:solidFill>
                    <w14:schemeClr w14:val="tx1"/>
                  </w14:solidFill>
                </w14:textFill>
              </w:rPr>
              <w:t>55</w:t>
            </w:r>
            <w:r>
              <w:rPr>
                <w:rFonts w:hint="default" w:ascii="Times New Roman" w:hAnsi="Times New Roman" w:eastAsia="Times New Roman" w:cs="Times New Roman"/>
                <w:color w:val="000000" w:themeColor="text1"/>
                <w:kern w:val="0"/>
                <w:sz w:val="24"/>
                <w:highlight w:val="none"/>
                <w14:textFill>
                  <w14:solidFill>
                    <w14:schemeClr w14:val="tx1"/>
                  </w14:solidFill>
                </w14:textFill>
              </w:rPr>
              <w:t>dB(A)</w:t>
            </w:r>
            <w:r>
              <w:rPr>
                <w:rFonts w:hint="default" w:ascii="Times New Roman" w:hAnsi="Times New Roman" w:eastAsia="Times New Roman" w:cs="Times New Roman"/>
                <w:color w:val="000000" w:themeColor="text1"/>
                <w:sz w:val="24"/>
                <w:highlight w:val="none"/>
                <w14:textFill>
                  <w14:solidFill>
                    <w14:schemeClr w14:val="tx1"/>
                  </w14:solidFill>
                </w14:textFill>
              </w:rPr>
              <w:t>。</w:t>
            </w:r>
          </w:p>
          <w:p w14:paraId="3BD869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szCs w:val="28"/>
              </w:rPr>
            </w:pPr>
            <w:r>
              <w:rPr>
                <w:rFonts w:hint="default" w:ascii="Times New Roman" w:hAnsi="Times New Roman" w:eastAsia="Times New Roman" w:cs="Times New Roman"/>
                <w:color w:val="000000" w:themeColor="text1"/>
                <w:sz w:val="24"/>
                <w:highlight w:val="none"/>
                <w:lang w:val="zh-TW"/>
                <w14:textFill>
                  <w14:solidFill>
                    <w14:schemeClr w14:val="tx1"/>
                  </w14:solidFill>
                </w14:textFill>
              </w:rPr>
              <w:t>项目50m范围内不涉及声环境敏感目标，</w:t>
            </w:r>
            <w:r>
              <w:rPr>
                <w:rFonts w:hint="default" w:ascii="Times New Roman" w:hAnsi="Times New Roman" w:eastAsia="Times New Roman" w:cs="Times New Roman"/>
                <w:color w:val="000000" w:themeColor="text1"/>
                <w:sz w:val="24"/>
                <w:highlight w:val="none"/>
                <w:lang w:val="zh-TW" w:eastAsia="zh-CN"/>
                <w14:textFill>
                  <w14:solidFill>
                    <w14:schemeClr w14:val="tx1"/>
                  </w14:solidFill>
                </w14:textFill>
              </w:rPr>
              <w:t>不进行声环境质量现状调查</w:t>
            </w:r>
            <w:r>
              <w:rPr>
                <w:szCs w:val="28"/>
              </w:rPr>
              <w:t>。</w:t>
            </w:r>
          </w:p>
          <w:p w14:paraId="10154BEF">
            <w:pPr>
              <w:pStyle w:val="261"/>
              <w:ind w:firstLine="240"/>
            </w:pPr>
            <w:r>
              <w:t>4、地下水</w:t>
            </w:r>
            <w:r>
              <w:rPr>
                <w:rFonts w:hint="eastAsia"/>
              </w:rPr>
              <w:t>及土壤环境</w:t>
            </w:r>
          </w:p>
          <w:p w14:paraId="7B7E92FF">
            <w:pPr>
              <w:pStyle w:val="144"/>
            </w:pPr>
            <w:r>
              <w:t>根据《建设项目环境影响报告表编制技术指南》（污染影响类）（试行），原则上不开展环境质量现状调查。</w:t>
            </w:r>
          </w:p>
          <w:p w14:paraId="6EDAAC44">
            <w:pPr>
              <w:pStyle w:val="144"/>
            </w:pPr>
            <w:r>
              <w:t>本项目厂区全部地面硬化具有一定的防渗性能，厂房建设完成后对车间地面做防渗处理，加强防控。</w:t>
            </w:r>
          </w:p>
          <w:p w14:paraId="1811CE08">
            <w:pPr>
              <w:pStyle w:val="144"/>
            </w:pPr>
            <w:r>
              <w:t>采取以上控制措施后，正常情况下，项目基本不存在可能污染地下水和土壤的污染途径，不会对区域的地下水和土壤造成影响。评价建议运营期加强监督管理，杜绝物料的跑冒滴漏，以防止地下水、土壤环境污染</w:t>
            </w:r>
            <w:r>
              <w:rPr>
                <w:rFonts w:hint="eastAsia"/>
              </w:rPr>
              <w:t>。</w:t>
            </w:r>
          </w:p>
          <w:p w14:paraId="24CF102E">
            <w:pPr>
              <w:pStyle w:val="261"/>
              <w:ind w:firstLine="240"/>
            </w:pPr>
            <w:r>
              <w:t>5、生态环境</w:t>
            </w:r>
          </w:p>
          <w:p w14:paraId="624630E3">
            <w:pPr>
              <w:adjustRightInd w:val="0"/>
              <w:snapToGrid w:val="0"/>
              <w:spacing w:line="360" w:lineRule="auto"/>
              <w:ind w:left="23" w:leftChars="11" w:firstLine="480" w:firstLineChars="200"/>
              <w:rPr>
                <w:sz w:val="24"/>
              </w:rPr>
            </w:pPr>
            <w:r>
              <w:rPr>
                <w:sz w:val="24"/>
              </w:rPr>
              <w:t>项目周围主要为</w:t>
            </w:r>
            <w:r>
              <w:rPr>
                <w:rFonts w:hint="eastAsia"/>
                <w:sz w:val="24"/>
              </w:rPr>
              <w:t>其他工业</w:t>
            </w:r>
            <w:r>
              <w:rPr>
                <w:sz w:val="24"/>
              </w:rPr>
              <w:t>企业</w:t>
            </w:r>
            <w:r>
              <w:rPr>
                <w:rFonts w:hint="eastAsia"/>
                <w:sz w:val="24"/>
              </w:rPr>
              <w:t>，</w:t>
            </w:r>
            <w:r>
              <w:rPr>
                <w:sz w:val="24"/>
              </w:rPr>
              <w:t>地表植被主要为野草、灌木等</w:t>
            </w:r>
            <w:r>
              <w:rPr>
                <w:rFonts w:hint="eastAsia"/>
                <w:sz w:val="24"/>
              </w:rPr>
              <w:t>，</w:t>
            </w:r>
            <w:r>
              <w:rPr>
                <w:sz w:val="24"/>
              </w:rPr>
              <w:t>生态环境一般。项目周边500m范围内未发现列入</w:t>
            </w:r>
            <w:r>
              <w:rPr>
                <w:rFonts w:hint="eastAsia"/>
                <w:sz w:val="24"/>
              </w:rPr>
              <w:t>《</w:t>
            </w:r>
            <w:r>
              <w:rPr>
                <w:sz w:val="24"/>
              </w:rPr>
              <w:t>国家重点保护野生植物名录</w:t>
            </w:r>
            <w:r>
              <w:rPr>
                <w:rFonts w:hint="eastAsia"/>
                <w:sz w:val="24"/>
              </w:rPr>
              <w:t>》</w:t>
            </w:r>
            <w:r>
              <w:rPr>
                <w:sz w:val="24"/>
              </w:rPr>
              <w:t>和</w:t>
            </w:r>
            <w:r>
              <w:rPr>
                <w:rFonts w:hint="eastAsia"/>
                <w:sz w:val="24"/>
              </w:rPr>
              <w:t>《</w:t>
            </w:r>
            <w:r>
              <w:rPr>
                <w:sz w:val="24"/>
              </w:rPr>
              <w:t>国家重点保护野生动物名录</w:t>
            </w:r>
            <w:r>
              <w:rPr>
                <w:rFonts w:hint="eastAsia"/>
                <w:sz w:val="24"/>
              </w:rPr>
              <w:t>》</w:t>
            </w:r>
            <w:r>
              <w:rPr>
                <w:sz w:val="24"/>
              </w:rPr>
              <w:t>的动植物。</w:t>
            </w:r>
          </w:p>
        </w:tc>
      </w:tr>
      <w:tr w14:paraId="28209A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69" w:hRule="atLeast"/>
          <w:jc w:val="center"/>
        </w:trPr>
        <w:tc>
          <w:tcPr>
            <w:tcW w:w="499" w:type="dxa"/>
            <w:vAlign w:val="center"/>
          </w:tcPr>
          <w:p w14:paraId="5900AB99">
            <w:pPr>
              <w:adjustRightInd w:val="0"/>
              <w:snapToGrid w:val="0"/>
              <w:jc w:val="center"/>
              <w:rPr>
                <w:kern w:val="0"/>
                <w:szCs w:val="21"/>
              </w:rPr>
            </w:pPr>
            <w:r>
              <w:rPr>
                <w:kern w:val="0"/>
                <w:szCs w:val="21"/>
              </w:rPr>
              <w:t>环境</w:t>
            </w:r>
          </w:p>
          <w:p w14:paraId="5443295C">
            <w:pPr>
              <w:adjustRightInd w:val="0"/>
              <w:snapToGrid w:val="0"/>
              <w:jc w:val="center"/>
              <w:rPr>
                <w:kern w:val="0"/>
                <w:szCs w:val="21"/>
              </w:rPr>
            </w:pPr>
            <w:r>
              <w:rPr>
                <w:kern w:val="0"/>
                <w:szCs w:val="21"/>
              </w:rPr>
              <w:t>保护</w:t>
            </w:r>
          </w:p>
          <w:p w14:paraId="4471F699">
            <w:pPr>
              <w:adjustRightInd w:val="0"/>
              <w:snapToGrid w:val="0"/>
              <w:jc w:val="center"/>
              <w:rPr>
                <w:kern w:val="0"/>
                <w:szCs w:val="21"/>
              </w:rPr>
            </w:pPr>
            <w:r>
              <w:rPr>
                <w:kern w:val="0"/>
                <w:szCs w:val="21"/>
              </w:rPr>
              <w:t>目标</w:t>
            </w:r>
          </w:p>
        </w:tc>
        <w:tc>
          <w:tcPr>
            <w:tcW w:w="8491" w:type="dxa"/>
          </w:tcPr>
          <w:p w14:paraId="5AA5C6E9">
            <w:pPr>
              <w:pStyle w:val="106"/>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line="240" w:lineRule="auto"/>
              <w:ind w:left="23" w:leftChars="11" w:firstLine="440" w:firstLineChars="200"/>
              <w:textAlignment w:val="auto"/>
            </w:pPr>
            <w:bookmarkStart w:id="35" w:name="_Toc197848437"/>
            <w:r>
              <w:rPr>
                <w:rFonts w:ascii="黑体" w:hAnsi="宋体" w:eastAsia="黑体" w:cs="Times New Roman"/>
                <w:kern w:val="2"/>
                <w:sz w:val="22"/>
                <w:szCs w:val="24"/>
                <w:lang w:val="zh-CN" w:eastAsia="zh-CN" w:bidi="ar-SA"/>
              </w:rPr>
              <w:t>表</w:t>
            </w:r>
            <w:r>
              <w:rPr>
                <w:rFonts w:hint="eastAsia" w:cs="Times New Roman"/>
                <w:kern w:val="2"/>
                <w:sz w:val="22"/>
                <w:szCs w:val="24"/>
                <w:lang w:val="en-US" w:eastAsia="zh-CN" w:bidi="ar-SA"/>
              </w:rPr>
              <w:t xml:space="preserve">19  </w:t>
            </w:r>
            <w:r>
              <w:rPr>
                <w:rStyle w:val="114"/>
                <w:rFonts w:hAnsi="宋体" w:eastAsia="等线"/>
                <w:bCs w:val="0"/>
                <w:sz w:val="22"/>
                <w:szCs w:val="24"/>
              </w:rPr>
              <w:t>主要环境保护目标</w:t>
            </w:r>
            <w:bookmarkEnd w:id="35"/>
          </w:p>
          <w:tbl>
            <w:tblPr>
              <w:tblStyle w:val="47"/>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1505"/>
              <w:gridCol w:w="897"/>
              <w:gridCol w:w="892"/>
              <w:gridCol w:w="1176"/>
              <w:gridCol w:w="2418"/>
            </w:tblGrid>
            <w:tr w14:paraId="27A6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 w:hRule="atLeast"/>
                <w:jc w:val="center"/>
              </w:trPr>
              <w:tc>
                <w:tcPr>
                  <w:tcW w:w="890" w:type="pct"/>
                  <w:vMerge w:val="restart"/>
                  <w:vAlign w:val="center"/>
                </w:tcPr>
                <w:p w14:paraId="2E142DF5">
                  <w:pPr>
                    <w:autoSpaceDE w:val="0"/>
                    <w:autoSpaceDN w:val="0"/>
                    <w:adjustRightInd w:val="0"/>
                    <w:snapToGrid w:val="0"/>
                    <w:jc w:val="center"/>
                    <w:rPr>
                      <w:kern w:val="0"/>
                      <w:szCs w:val="21"/>
                    </w:rPr>
                  </w:pPr>
                  <w:r>
                    <w:rPr>
                      <w:kern w:val="0"/>
                      <w:szCs w:val="21"/>
                    </w:rPr>
                    <w:t>类别</w:t>
                  </w:r>
                </w:p>
              </w:tc>
              <w:tc>
                <w:tcPr>
                  <w:tcW w:w="1433" w:type="pct"/>
                  <w:gridSpan w:val="2"/>
                  <w:vAlign w:val="center"/>
                </w:tcPr>
                <w:p w14:paraId="6F596AAB">
                  <w:pPr>
                    <w:autoSpaceDE w:val="0"/>
                    <w:autoSpaceDN w:val="0"/>
                    <w:adjustRightInd w:val="0"/>
                    <w:snapToGrid w:val="0"/>
                    <w:jc w:val="center"/>
                    <w:rPr>
                      <w:kern w:val="0"/>
                      <w:szCs w:val="21"/>
                    </w:rPr>
                  </w:pPr>
                  <w:r>
                    <w:rPr>
                      <w:kern w:val="0"/>
                      <w:szCs w:val="21"/>
                    </w:rPr>
                    <w:t>保护目标</w:t>
                  </w:r>
                </w:p>
              </w:tc>
              <w:tc>
                <w:tcPr>
                  <w:tcW w:w="1234" w:type="pct"/>
                  <w:gridSpan w:val="2"/>
                  <w:vAlign w:val="center"/>
                </w:tcPr>
                <w:p w14:paraId="090CCF6D">
                  <w:pPr>
                    <w:autoSpaceDE w:val="0"/>
                    <w:autoSpaceDN w:val="0"/>
                    <w:adjustRightInd w:val="0"/>
                    <w:snapToGrid w:val="0"/>
                    <w:jc w:val="center"/>
                    <w:rPr>
                      <w:kern w:val="0"/>
                      <w:szCs w:val="21"/>
                    </w:rPr>
                  </w:pPr>
                  <w:r>
                    <w:rPr>
                      <w:kern w:val="0"/>
                      <w:szCs w:val="21"/>
                    </w:rPr>
                    <w:t>与厂区相对位置</w:t>
                  </w:r>
                </w:p>
              </w:tc>
              <w:tc>
                <w:tcPr>
                  <w:tcW w:w="1443" w:type="pct"/>
                  <w:vMerge w:val="restart"/>
                  <w:vAlign w:val="center"/>
                </w:tcPr>
                <w:p w14:paraId="35233319">
                  <w:pPr>
                    <w:autoSpaceDE w:val="0"/>
                    <w:autoSpaceDN w:val="0"/>
                    <w:adjustRightInd w:val="0"/>
                    <w:snapToGrid w:val="0"/>
                    <w:jc w:val="center"/>
                    <w:rPr>
                      <w:kern w:val="0"/>
                      <w:szCs w:val="21"/>
                    </w:rPr>
                  </w:pPr>
                  <w:r>
                    <w:rPr>
                      <w:kern w:val="0"/>
                      <w:szCs w:val="21"/>
                    </w:rPr>
                    <w:t>保护级别</w:t>
                  </w:r>
                </w:p>
              </w:tc>
            </w:tr>
            <w:tr w14:paraId="2AFD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90" w:type="pct"/>
                  <w:vMerge w:val="continue"/>
                  <w:vAlign w:val="center"/>
                </w:tcPr>
                <w:p w14:paraId="7839A6D9">
                  <w:pPr>
                    <w:autoSpaceDE w:val="0"/>
                    <w:autoSpaceDN w:val="0"/>
                    <w:adjustRightInd w:val="0"/>
                    <w:snapToGrid w:val="0"/>
                    <w:jc w:val="center"/>
                    <w:rPr>
                      <w:b/>
                      <w:bCs/>
                      <w:kern w:val="0"/>
                      <w:szCs w:val="21"/>
                    </w:rPr>
                  </w:pPr>
                </w:p>
              </w:tc>
              <w:tc>
                <w:tcPr>
                  <w:tcW w:w="898" w:type="pct"/>
                  <w:vAlign w:val="center"/>
                </w:tcPr>
                <w:p w14:paraId="23DB1C4E">
                  <w:pPr>
                    <w:autoSpaceDE w:val="0"/>
                    <w:autoSpaceDN w:val="0"/>
                    <w:adjustRightInd w:val="0"/>
                    <w:snapToGrid w:val="0"/>
                    <w:jc w:val="center"/>
                    <w:rPr>
                      <w:kern w:val="0"/>
                      <w:szCs w:val="21"/>
                    </w:rPr>
                  </w:pPr>
                  <w:r>
                    <w:rPr>
                      <w:kern w:val="0"/>
                      <w:szCs w:val="21"/>
                    </w:rPr>
                    <w:t>名称</w:t>
                  </w:r>
                </w:p>
              </w:tc>
              <w:tc>
                <w:tcPr>
                  <w:tcW w:w="535" w:type="pct"/>
                  <w:vAlign w:val="center"/>
                </w:tcPr>
                <w:p w14:paraId="77A24CB2">
                  <w:pPr>
                    <w:autoSpaceDE w:val="0"/>
                    <w:autoSpaceDN w:val="0"/>
                    <w:adjustRightInd w:val="0"/>
                    <w:snapToGrid w:val="0"/>
                    <w:jc w:val="center"/>
                    <w:rPr>
                      <w:kern w:val="0"/>
                      <w:szCs w:val="21"/>
                    </w:rPr>
                  </w:pPr>
                  <w:r>
                    <w:rPr>
                      <w:kern w:val="0"/>
                      <w:szCs w:val="21"/>
                    </w:rPr>
                    <w:t>性质</w:t>
                  </w:r>
                </w:p>
              </w:tc>
              <w:tc>
                <w:tcPr>
                  <w:tcW w:w="532" w:type="pct"/>
                  <w:vAlign w:val="center"/>
                </w:tcPr>
                <w:p w14:paraId="6D7CC4F0">
                  <w:pPr>
                    <w:autoSpaceDE w:val="0"/>
                    <w:autoSpaceDN w:val="0"/>
                    <w:adjustRightInd w:val="0"/>
                    <w:snapToGrid w:val="0"/>
                    <w:jc w:val="center"/>
                    <w:rPr>
                      <w:kern w:val="0"/>
                      <w:szCs w:val="21"/>
                    </w:rPr>
                  </w:pPr>
                  <w:r>
                    <w:rPr>
                      <w:kern w:val="0"/>
                      <w:szCs w:val="21"/>
                    </w:rPr>
                    <w:t>方位</w:t>
                  </w:r>
                </w:p>
              </w:tc>
              <w:tc>
                <w:tcPr>
                  <w:tcW w:w="702" w:type="pct"/>
                  <w:vAlign w:val="center"/>
                </w:tcPr>
                <w:p w14:paraId="40931AFD">
                  <w:pPr>
                    <w:autoSpaceDE w:val="0"/>
                    <w:autoSpaceDN w:val="0"/>
                    <w:adjustRightInd w:val="0"/>
                    <w:snapToGrid w:val="0"/>
                    <w:jc w:val="center"/>
                    <w:rPr>
                      <w:kern w:val="0"/>
                      <w:szCs w:val="21"/>
                    </w:rPr>
                  </w:pPr>
                  <w:r>
                    <w:rPr>
                      <w:kern w:val="0"/>
                      <w:szCs w:val="21"/>
                    </w:rPr>
                    <w:t>距离</w:t>
                  </w:r>
                  <w:r>
                    <w:rPr>
                      <w:rFonts w:hint="eastAsia"/>
                      <w:kern w:val="0"/>
                      <w:szCs w:val="21"/>
                    </w:rPr>
                    <w:t>m</w:t>
                  </w:r>
                </w:p>
              </w:tc>
              <w:tc>
                <w:tcPr>
                  <w:tcW w:w="1443" w:type="pct"/>
                  <w:vMerge w:val="continue"/>
                  <w:vAlign w:val="center"/>
                </w:tcPr>
                <w:p w14:paraId="62E5F5DF">
                  <w:pPr>
                    <w:autoSpaceDE w:val="0"/>
                    <w:autoSpaceDN w:val="0"/>
                    <w:adjustRightInd w:val="0"/>
                    <w:snapToGrid w:val="0"/>
                    <w:jc w:val="center"/>
                    <w:rPr>
                      <w:kern w:val="0"/>
                      <w:szCs w:val="21"/>
                    </w:rPr>
                  </w:pPr>
                </w:p>
              </w:tc>
            </w:tr>
            <w:tr w14:paraId="628F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90" w:type="pct"/>
                  <w:vAlign w:val="center"/>
                </w:tcPr>
                <w:p w14:paraId="7D0FD941">
                  <w:pPr>
                    <w:autoSpaceDE w:val="0"/>
                    <w:autoSpaceDN w:val="0"/>
                    <w:adjustRightInd w:val="0"/>
                    <w:snapToGrid w:val="0"/>
                    <w:jc w:val="center"/>
                    <w:rPr>
                      <w:kern w:val="0"/>
                      <w:szCs w:val="21"/>
                    </w:rPr>
                  </w:pPr>
                  <w:r>
                    <w:rPr>
                      <w:kern w:val="0"/>
                      <w:szCs w:val="21"/>
                    </w:rPr>
                    <w:t>环境空气（500m范围）</w:t>
                  </w:r>
                </w:p>
              </w:tc>
              <w:tc>
                <w:tcPr>
                  <w:tcW w:w="898" w:type="pct"/>
                  <w:vAlign w:val="center"/>
                </w:tcPr>
                <w:p w14:paraId="72EBDC93">
                  <w:pPr>
                    <w:widowControl/>
                    <w:adjustRightInd w:val="0"/>
                    <w:snapToGrid w:val="0"/>
                    <w:jc w:val="center"/>
                    <w:textAlignment w:val="center"/>
                    <w:rPr>
                      <w:rFonts w:hint="eastAsia" w:eastAsia="宋体"/>
                      <w:szCs w:val="21"/>
                      <w:lang w:eastAsia="zh-CN"/>
                    </w:rPr>
                  </w:pPr>
                  <w:r>
                    <w:rPr>
                      <w:rFonts w:hint="eastAsia"/>
                      <w:szCs w:val="21"/>
                      <w:lang w:val="en-US" w:eastAsia="zh-CN"/>
                    </w:rPr>
                    <w:t>古贤镇</w:t>
                  </w:r>
                </w:p>
              </w:tc>
              <w:tc>
                <w:tcPr>
                  <w:tcW w:w="535" w:type="pct"/>
                  <w:vAlign w:val="center"/>
                </w:tcPr>
                <w:p w14:paraId="4F82315B">
                  <w:pPr>
                    <w:adjustRightInd w:val="0"/>
                    <w:snapToGrid w:val="0"/>
                    <w:jc w:val="center"/>
                    <w:rPr>
                      <w:szCs w:val="21"/>
                    </w:rPr>
                  </w:pPr>
                  <w:r>
                    <w:rPr>
                      <w:rFonts w:hint="eastAsia"/>
                      <w:szCs w:val="21"/>
                    </w:rPr>
                    <w:t>居住区</w:t>
                  </w:r>
                </w:p>
              </w:tc>
              <w:tc>
                <w:tcPr>
                  <w:tcW w:w="532" w:type="pct"/>
                  <w:vAlign w:val="center"/>
                </w:tcPr>
                <w:p w14:paraId="426DB3D2">
                  <w:pPr>
                    <w:adjustRightInd w:val="0"/>
                    <w:snapToGrid w:val="0"/>
                    <w:jc w:val="center"/>
                    <w:rPr>
                      <w:rFonts w:hint="eastAsia" w:eastAsia="宋体"/>
                      <w:szCs w:val="21"/>
                      <w:lang w:eastAsia="zh-CN"/>
                    </w:rPr>
                  </w:pPr>
                  <w:r>
                    <w:rPr>
                      <w:rFonts w:hint="eastAsia"/>
                      <w:szCs w:val="21"/>
                      <w:lang w:val="en-US" w:eastAsia="zh-CN"/>
                    </w:rPr>
                    <w:t>东</w:t>
                  </w:r>
                </w:p>
              </w:tc>
              <w:tc>
                <w:tcPr>
                  <w:tcW w:w="702" w:type="pct"/>
                  <w:vAlign w:val="center"/>
                </w:tcPr>
                <w:p w14:paraId="43FF95DA">
                  <w:pPr>
                    <w:adjustRightInd w:val="0"/>
                    <w:snapToGrid w:val="0"/>
                    <w:jc w:val="center"/>
                    <w:rPr>
                      <w:rFonts w:hint="default" w:eastAsia="宋体"/>
                      <w:szCs w:val="21"/>
                      <w:lang w:val="en-US" w:eastAsia="zh-CN"/>
                    </w:rPr>
                  </w:pPr>
                  <w:r>
                    <w:rPr>
                      <w:rFonts w:hint="eastAsia"/>
                      <w:szCs w:val="21"/>
                      <w:lang w:val="en-US" w:eastAsia="zh-CN"/>
                    </w:rPr>
                    <w:t>376</w:t>
                  </w:r>
                </w:p>
              </w:tc>
              <w:tc>
                <w:tcPr>
                  <w:tcW w:w="1443" w:type="pct"/>
                  <w:vAlign w:val="center"/>
                </w:tcPr>
                <w:p w14:paraId="2EC21251">
                  <w:pPr>
                    <w:autoSpaceDE w:val="0"/>
                    <w:autoSpaceDN w:val="0"/>
                    <w:adjustRightInd w:val="0"/>
                    <w:snapToGrid w:val="0"/>
                    <w:jc w:val="center"/>
                    <w:rPr>
                      <w:rFonts w:hint="default" w:eastAsia="宋体"/>
                      <w:kern w:val="0"/>
                      <w:szCs w:val="21"/>
                      <w:lang w:val="en-US" w:eastAsia="zh-CN"/>
                    </w:rPr>
                  </w:pPr>
                  <w:r>
                    <w:rPr>
                      <w:kern w:val="0"/>
                      <w:szCs w:val="21"/>
                    </w:rPr>
                    <w:t>《环境空气质量标准》(GB3095-20</w:t>
                  </w:r>
                  <w:r>
                    <w:rPr>
                      <w:rFonts w:hint="eastAsia"/>
                      <w:kern w:val="0"/>
                      <w:szCs w:val="21"/>
                      <w:lang w:val="en-US" w:eastAsia="zh-CN"/>
                    </w:rPr>
                    <w:t>26</w:t>
                  </w:r>
                  <w:r>
                    <w:rPr>
                      <w:kern w:val="0"/>
                      <w:szCs w:val="21"/>
                    </w:rPr>
                    <w:t>)二级标准</w:t>
                  </w:r>
                  <w:r>
                    <w:rPr>
                      <w:rFonts w:hint="eastAsia"/>
                      <w:kern w:val="0"/>
                      <w:szCs w:val="21"/>
                      <w:lang w:val="en-US" w:eastAsia="zh-CN"/>
                    </w:rPr>
                    <w:t>过渡阶段</w:t>
                  </w:r>
                </w:p>
              </w:tc>
            </w:tr>
            <w:tr w14:paraId="73F6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90" w:type="pct"/>
                  <w:vAlign w:val="center"/>
                </w:tcPr>
                <w:p w14:paraId="707B3351">
                  <w:pPr>
                    <w:autoSpaceDE w:val="0"/>
                    <w:autoSpaceDN w:val="0"/>
                    <w:adjustRightInd w:val="0"/>
                    <w:snapToGrid w:val="0"/>
                    <w:jc w:val="center"/>
                    <w:rPr>
                      <w:kern w:val="0"/>
                      <w:szCs w:val="21"/>
                    </w:rPr>
                  </w:pPr>
                  <w:r>
                    <w:rPr>
                      <w:kern w:val="0"/>
                      <w:szCs w:val="21"/>
                    </w:rPr>
                    <w:t>声环境</w:t>
                  </w:r>
                </w:p>
                <w:p w14:paraId="4F7D8A35">
                  <w:pPr>
                    <w:autoSpaceDE w:val="0"/>
                    <w:autoSpaceDN w:val="0"/>
                    <w:adjustRightInd w:val="0"/>
                    <w:snapToGrid w:val="0"/>
                    <w:jc w:val="center"/>
                    <w:rPr>
                      <w:kern w:val="0"/>
                      <w:szCs w:val="21"/>
                    </w:rPr>
                  </w:pPr>
                  <w:r>
                    <w:rPr>
                      <w:kern w:val="0"/>
                      <w:szCs w:val="21"/>
                    </w:rPr>
                    <w:t>（50m范围）</w:t>
                  </w:r>
                </w:p>
              </w:tc>
              <w:tc>
                <w:tcPr>
                  <w:tcW w:w="2667" w:type="pct"/>
                  <w:gridSpan w:val="4"/>
                  <w:vAlign w:val="center"/>
                </w:tcPr>
                <w:p w14:paraId="0453460A">
                  <w:pPr>
                    <w:adjustRightInd w:val="0"/>
                    <w:snapToGrid w:val="0"/>
                    <w:jc w:val="center"/>
                    <w:rPr>
                      <w:szCs w:val="21"/>
                    </w:rPr>
                  </w:pPr>
                  <w:r>
                    <w:rPr>
                      <w:rFonts w:hint="eastAsia" w:ascii="宋体" w:hAnsi="宋体" w:cs="宋体"/>
                      <w:color w:val="000000"/>
                      <w:kern w:val="0"/>
                      <w:szCs w:val="21"/>
                    </w:rPr>
                    <w:t>周边</w:t>
                  </w:r>
                  <w:r>
                    <w:rPr>
                      <w:color w:val="000000"/>
                      <w:kern w:val="0"/>
                      <w:szCs w:val="21"/>
                    </w:rPr>
                    <w:t>50m</w:t>
                  </w:r>
                  <w:r>
                    <w:rPr>
                      <w:rFonts w:hint="eastAsia" w:ascii="宋体" w:hAnsi="宋体" w:cs="宋体"/>
                      <w:color w:val="000000"/>
                      <w:kern w:val="0"/>
                      <w:szCs w:val="21"/>
                    </w:rPr>
                    <w:t>范围内</w:t>
                  </w:r>
                  <w:r>
                    <w:rPr>
                      <w:rFonts w:hint="eastAsia" w:ascii="宋体" w:hAnsi="宋体" w:cs="宋体"/>
                      <w:color w:val="000000"/>
                      <w:szCs w:val="21"/>
                    </w:rPr>
                    <w:t>无声环境敏感目标</w:t>
                  </w:r>
                </w:p>
              </w:tc>
              <w:tc>
                <w:tcPr>
                  <w:tcW w:w="1443" w:type="pct"/>
                  <w:vAlign w:val="center"/>
                </w:tcPr>
                <w:p w14:paraId="7CC82738">
                  <w:pPr>
                    <w:autoSpaceDE w:val="0"/>
                    <w:autoSpaceDN w:val="0"/>
                    <w:adjustRightInd w:val="0"/>
                    <w:snapToGrid w:val="0"/>
                    <w:jc w:val="center"/>
                    <w:rPr>
                      <w:szCs w:val="21"/>
                    </w:rPr>
                  </w:pPr>
                  <w:r>
                    <w:rPr>
                      <w:szCs w:val="21"/>
                    </w:rPr>
                    <w:t>《声环境质量标准》（GB3096-2008）</w:t>
                  </w:r>
                  <w:r>
                    <w:rPr>
                      <w:rFonts w:hint="eastAsia"/>
                      <w:szCs w:val="21"/>
                      <w:lang w:val="en-US" w:eastAsia="zh-CN"/>
                    </w:rPr>
                    <w:t>3</w:t>
                  </w:r>
                  <w:r>
                    <w:rPr>
                      <w:szCs w:val="21"/>
                    </w:rPr>
                    <w:t>类</w:t>
                  </w:r>
                </w:p>
              </w:tc>
            </w:tr>
            <w:tr w14:paraId="310E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90" w:type="pct"/>
                  <w:vAlign w:val="center"/>
                </w:tcPr>
                <w:p w14:paraId="202095FA">
                  <w:pPr>
                    <w:autoSpaceDE w:val="0"/>
                    <w:autoSpaceDN w:val="0"/>
                    <w:adjustRightInd w:val="0"/>
                    <w:snapToGrid w:val="0"/>
                    <w:jc w:val="center"/>
                    <w:rPr>
                      <w:kern w:val="0"/>
                      <w:szCs w:val="21"/>
                    </w:rPr>
                  </w:pPr>
                  <w:r>
                    <w:rPr>
                      <w:kern w:val="0"/>
                      <w:szCs w:val="21"/>
                    </w:rPr>
                    <w:t>地表水</w:t>
                  </w:r>
                </w:p>
              </w:tc>
              <w:tc>
                <w:tcPr>
                  <w:tcW w:w="898" w:type="pct"/>
                  <w:vAlign w:val="center"/>
                </w:tcPr>
                <w:p w14:paraId="79CC704F">
                  <w:pPr>
                    <w:autoSpaceDE w:val="0"/>
                    <w:autoSpaceDN w:val="0"/>
                    <w:adjustRightInd w:val="0"/>
                    <w:snapToGrid w:val="0"/>
                    <w:jc w:val="center"/>
                    <w:rPr>
                      <w:rFonts w:hint="eastAsia" w:eastAsia="宋体"/>
                      <w:kern w:val="0"/>
                      <w:szCs w:val="21"/>
                      <w:lang w:eastAsia="zh-CN"/>
                    </w:rPr>
                  </w:pPr>
                  <w:r>
                    <w:rPr>
                      <w:rFonts w:hint="eastAsia"/>
                      <w:kern w:val="0"/>
                      <w:szCs w:val="21"/>
                      <w:lang w:val="en-US" w:eastAsia="zh-CN"/>
                    </w:rPr>
                    <w:t>汤河</w:t>
                  </w:r>
                </w:p>
              </w:tc>
              <w:tc>
                <w:tcPr>
                  <w:tcW w:w="535" w:type="pct"/>
                  <w:vAlign w:val="center"/>
                </w:tcPr>
                <w:p w14:paraId="0836E456">
                  <w:pPr>
                    <w:autoSpaceDE w:val="0"/>
                    <w:autoSpaceDN w:val="0"/>
                    <w:adjustRightInd w:val="0"/>
                    <w:snapToGrid w:val="0"/>
                    <w:jc w:val="center"/>
                    <w:rPr>
                      <w:kern w:val="0"/>
                      <w:szCs w:val="21"/>
                    </w:rPr>
                  </w:pPr>
                  <w:r>
                    <w:rPr>
                      <w:rFonts w:hint="eastAsia"/>
                      <w:kern w:val="0"/>
                      <w:szCs w:val="21"/>
                    </w:rPr>
                    <w:t>/</w:t>
                  </w:r>
                </w:p>
              </w:tc>
              <w:tc>
                <w:tcPr>
                  <w:tcW w:w="532" w:type="pct"/>
                  <w:vAlign w:val="center"/>
                </w:tcPr>
                <w:p w14:paraId="3928FEE8">
                  <w:pPr>
                    <w:autoSpaceDE w:val="0"/>
                    <w:autoSpaceDN w:val="0"/>
                    <w:adjustRightInd w:val="0"/>
                    <w:snapToGrid w:val="0"/>
                    <w:jc w:val="center"/>
                    <w:rPr>
                      <w:rFonts w:hint="eastAsia" w:eastAsia="宋体"/>
                      <w:kern w:val="0"/>
                      <w:szCs w:val="21"/>
                      <w:lang w:eastAsia="zh-CN"/>
                    </w:rPr>
                  </w:pPr>
                  <w:r>
                    <w:rPr>
                      <w:rFonts w:hint="eastAsia"/>
                      <w:kern w:val="0"/>
                      <w:szCs w:val="21"/>
                      <w:lang w:val="en-US" w:eastAsia="zh-CN"/>
                    </w:rPr>
                    <w:t>北</w:t>
                  </w:r>
                </w:p>
              </w:tc>
              <w:tc>
                <w:tcPr>
                  <w:tcW w:w="702" w:type="pct"/>
                  <w:vAlign w:val="center"/>
                </w:tcPr>
                <w:p w14:paraId="3B64CFDE">
                  <w:pPr>
                    <w:autoSpaceDE w:val="0"/>
                    <w:autoSpaceDN w:val="0"/>
                    <w:adjustRightInd w:val="0"/>
                    <w:snapToGrid w:val="0"/>
                    <w:jc w:val="center"/>
                    <w:rPr>
                      <w:rFonts w:hint="default" w:eastAsia="宋体"/>
                      <w:kern w:val="0"/>
                      <w:szCs w:val="21"/>
                      <w:lang w:val="en-US" w:eastAsia="zh-CN"/>
                    </w:rPr>
                  </w:pPr>
                  <w:r>
                    <w:rPr>
                      <w:rFonts w:hint="eastAsia"/>
                      <w:kern w:val="0"/>
                      <w:szCs w:val="21"/>
                      <w:lang w:val="en-US" w:eastAsia="zh-CN"/>
                    </w:rPr>
                    <w:t>460</w:t>
                  </w:r>
                </w:p>
              </w:tc>
              <w:tc>
                <w:tcPr>
                  <w:tcW w:w="1443" w:type="pct"/>
                  <w:vAlign w:val="center"/>
                </w:tcPr>
                <w:p w14:paraId="076F2D8D">
                  <w:pPr>
                    <w:autoSpaceDE w:val="0"/>
                    <w:autoSpaceDN w:val="0"/>
                    <w:adjustRightInd w:val="0"/>
                    <w:snapToGrid w:val="0"/>
                    <w:jc w:val="center"/>
                    <w:rPr>
                      <w:kern w:val="0"/>
                      <w:szCs w:val="21"/>
                    </w:rPr>
                  </w:pPr>
                  <w:r>
                    <w:rPr>
                      <w:szCs w:val="21"/>
                    </w:rPr>
                    <w:t>《地表水环境质量标准》（GB3838-2002）</w:t>
                  </w:r>
                  <w:r>
                    <w:rPr>
                      <w:rFonts w:hint="eastAsia"/>
                      <w:szCs w:val="21"/>
                    </w:rPr>
                    <w:fldChar w:fldCharType="begin"/>
                  </w:r>
                  <w:r>
                    <w:rPr>
                      <w:rFonts w:hint="eastAsia"/>
                      <w:szCs w:val="21"/>
                    </w:rPr>
                    <w:instrText xml:space="preserve"> = 3 \* ROMAN \* MERGEFORMAT </w:instrText>
                  </w:r>
                  <w:r>
                    <w:rPr>
                      <w:rFonts w:hint="eastAsia"/>
                      <w:szCs w:val="21"/>
                    </w:rPr>
                    <w:fldChar w:fldCharType="separate"/>
                  </w:r>
                  <w:r>
                    <w:t>III</w:t>
                  </w:r>
                  <w:r>
                    <w:rPr>
                      <w:rFonts w:hint="eastAsia"/>
                      <w:szCs w:val="21"/>
                    </w:rPr>
                    <w:fldChar w:fldCharType="end"/>
                  </w:r>
                  <w:r>
                    <w:rPr>
                      <w:szCs w:val="21"/>
                    </w:rPr>
                    <w:t>类</w:t>
                  </w:r>
                </w:p>
              </w:tc>
            </w:tr>
            <w:tr w14:paraId="3C36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90" w:type="pct"/>
                  <w:vAlign w:val="center"/>
                </w:tcPr>
                <w:p w14:paraId="383A044A">
                  <w:pPr>
                    <w:autoSpaceDE w:val="0"/>
                    <w:autoSpaceDN w:val="0"/>
                    <w:adjustRightInd w:val="0"/>
                    <w:snapToGrid w:val="0"/>
                    <w:jc w:val="center"/>
                    <w:rPr>
                      <w:kern w:val="0"/>
                      <w:szCs w:val="21"/>
                    </w:rPr>
                  </w:pPr>
                  <w:r>
                    <w:rPr>
                      <w:kern w:val="0"/>
                      <w:szCs w:val="21"/>
                    </w:rPr>
                    <w:t>地下水（500m范围）</w:t>
                  </w:r>
                </w:p>
              </w:tc>
              <w:tc>
                <w:tcPr>
                  <w:tcW w:w="4110" w:type="pct"/>
                  <w:gridSpan w:val="5"/>
                  <w:vAlign w:val="center"/>
                </w:tcPr>
                <w:p w14:paraId="3D647EEF">
                  <w:pPr>
                    <w:autoSpaceDE w:val="0"/>
                    <w:autoSpaceDN w:val="0"/>
                    <w:adjustRightInd w:val="0"/>
                    <w:snapToGrid w:val="0"/>
                    <w:jc w:val="center"/>
                    <w:rPr>
                      <w:kern w:val="0"/>
                      <w:szCs w:val="21"/>
                    </w:rPr>
                  </w:pPr>
                  <w:r>
                    <w:rPr>
                      <w:kern w:val="0"/>
                      <w:szCs w:val="21"/>
                      <w:lang w:val="zh-CN"/>
                    </w:rPr>
                    <w:t>厂界外500米范围内不存在地下水集中式饮用水水源和热水、矿泉水、温泉等特殊地下水资源</w:t>
                  </w:r>
                </w:p>
              </w:tc>
            </w:tr>
            <w:tr w14:paraId="0AD7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90" w:type="pct"/>
                  <w:vAlign w:val="center"/>
                </w:tcPr>
                <w:p w14:paraId="2FD6C694">
                  <w:pPr>
                    <w:autoSpaceDE w:val="0"/>
                    <w:autoSpaceDN w:val="0"/>
                    <w:adjustRightInd w:val="0"/>
                    <w:snapToGrid w:val="0"/>
                    <w:jc w:val="center"/>
                    <w:rPr>
                      <w:kern w:val="0"/>
                      <w:szCs w:val="21"/>
                    </w:rPr>
                  </w:pPr>
                  <w:r>
                    <w:rPr>
                      <w:kern w:val="0"/>
                      <w:szCs w:val="21"/>
                    </w:rPr>
                    <w:t>生态环境</w:t>
                  </w:r>
                </w:p>
              </w:tc>
              <w:tc>
                <w:tcPr>
                  <w:tcW w:w="4110" w:type="pct"/>
                  <w:gridSpan w:val="5"/>
                  <w:vAlign w:val="center"/>
                </w:tcPr>
                <w:p w14:paraId="4C985620">
                  <w:pPr>
                    <w:autoSpaceDE w:val="0"/>
                    <w:autoSpaceDN w:val="0"/>
                    <w:adjustRightInd w:val="0"/>
                    <w:snapToGrid w:val="0"/>
                    <w:jc w:val="center"/>
                    <w:rPr>
                      <w:kern w:val="0"/>
                      <w:szCs w:val="21"/>
                    </w:rPr>
                  </w:pPr>
                  <w:r>
                    <w:rPr>
                      <w:kern w:val="0"/>
                      <w:szCs w:val="21"/>
                    </w:rPr>
                    <w:t>/</w:t>
                  </w:r>
                </w:p>
              </w:tc>
            </w:tr>
          </w:tbl>
          <w:p w14:paraId="2CA4E9B5">
            <w:pPr>
              <w:pStyle w:val="144"/>
              <w:ind w:left="0" w:leftChars="0" w:firstLine="0" w:firstLineChars="0"/>
            </w:pPr>
          </w:p>
        </w:tc>
      </w:tr>
      <w:tr w14:paraId="60A90E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99" w:type="dxa"/>
            <w:tcMar>
              <w:left w:w="28" w:type="dxa"/>
              <w:right w:w="28" w:type="dxa"/>
            </w:tcMar>
            <w:vAlign w:val="center"/>
          </w:tcPr>
          <w:p w14:paraId="7D385BDE">
            <w:pPr>
              <w:adjustRightInd w:val="0"/>
              <w:snapToGrid w:val="0"/>
              <w:jc w:val="center"/>
              <w:rPr>
                <w:kern w:val="0"/>
                <w:szCs w:val="21"/>
              </w:rPr>
            </w:pPr>
            <w:r>
              <w:rPr>
                <w:kern w:val="0"/>
                <w:szCs w:val="21"/>
              </w:rPr>
              <w:t>污染</w:t>
            </w:r>
          </w:p>
          <w:p w14:paraId="061C85B9">
            <w:pPr>
              <w:adjustRightInd w:val="0"/>
              <w:snapToGrid w:val="0"/>
              <w:jc w:val="center"/>
              <w:rPr>
                <w:kern w:val="0"/>
                <w:szCs w:val="21"/>
              </w:rPr>
            </w:pPr>
            <w:r>
              <w:rPr>
                <w:kern w:val="0"/>
                <w:szCs w:val="21"/>
              </w:rPr>
              <w:t>物排</w:t>
            </w:r>
          </w:p>
          <w:p w14:paraId="31EDAE61">
            <w:pPr>
              <w:adjustRightInd w:val="0"/>
              <w:snapToGrid w:val="0"/>
              <w:jc w:val="center"/>
              <w:rPr>
                <w:kern w:val="0"/>
                <w:szCs w:val="21"/>
              </w:rPr>
            </w:pPr>
            <w:r>
              <w:rPr>
                <w:kern w:val="0"/>
                <w:szCs w:val="21"/>
              </w:rPr>
              <w:t>放控</w:t>
            </w:r>
          </w:p>
          <w:p w14:paraId="02558623">
            <w:pPr>
              <w:adjustRightInd w:val="0"/>
              <w:snapToGrid w:val="0"/>
              <w:jc w:val="center"/>
              <w:rPr>
                <w:kern w:val="0"/>
                <w:szCs w:val="21"/>
              </w:rPr>
            </w:pPr>
            <w:r>
              <w:rPr>
                <w:kern w:val="0"/>
                <w:szCs w:val="21"/>
              </w:rPr>
              <w:t>制标</w:t>
            </w:r>
          </w:p>
          <w:p w14:paraId="6FB050C2">
            <w:pPr>
              <w:adjustRightInd w:val="0"/>
              <w:snapToGrid w:val="0"/>
              <w:jc w:val="center"/>
              <w:rPr>
                <w:kern w:val="0"/>
                <w:szCs w:val="21"/>
              </w:rPr>
            </w:pPr>
            <w:r>
              <w:rPr>
                <w:kern w:val="0"/>
                <w:szCs w:val="21"/>
              </w:rPr>
              <w:t>准</w:t>
            </w:r>
          </w:p>
        </w:tc>
        <w:tc>
          <w:tcPr>
            <w:tcW w:w="8491" w:type="dxa"/>
          </w:tcPr>
          <w:p w14:paraId="10D7176D">
            <w:pPr>
              <w:pStyle w:val="261"/>
              <w:ind w:firstLine="240"/>
            </w:pPr>
            <w:r>
              <w:t>1、废气</w:t>
            </w:r>
          </w:p>
          <w:p w14:paraId="6C1C3E4C">
            <w:pPr>
              <w:pStyle w:val="144"/>
            </w:pPr>
            <w:r>
              <w:t>项目营运期废气主要为</w:t>
            </w:r>
            <w:r>
              <w:rPr>
                <w:rFonts w:hint="eastAsia"/>
                <w:lang w:val="en-US" w:eastAsia="zh-CN"/>
              </w:rPr>
              <w:t>天然气燃烧废气，炒锅、煮锅燃气废气执行</w:t>
            </w:r>
            <w:r>
              <w:rPr>
                <w:kern w:val="0"/>
                <w:szCs w:val="21"/>
              </w:rPr>
              <w:t>《工业炉窑大气污染物排放标准》（DB411066-2020）</w:t>
            </w:r>
            <w:r>
              <w:rPr>
                <w:rFonts w:hAnsi="Times New Roman"/>
                <w:lang w:val="en-US" w:eastAsia="zh-CN"/>
              </w:rPr>
              <w:t>表</w:t>
            </w:r>
            <w:r>
              <w:rPr>
                <w:rFonts w:hint="eastAsia"/>
                <w:lang w:val="en-US" w:eastAsia="zh-CN"/>
              </w:rPr>
              <w:t>1</w:t>
            </w:r>
            <w:r>
              <w:rPr>
                <w:rFonts w:hint="eastAsia" w:hAnsi="Times New Roman"/>
                <w:lang w:val="en-US" w:eastAsia="zh-CN"/>
              </w:rPr>
              <w:t>及</w:t>
            </w:r>
            <w:r>
              <w:rPr>
                <w:szCs w:val="21"/>
              </w:rPr>
              <w:t>《河南省重污染天气</w:t>
            </w:r>
            <w:r>
              <w:rPr>
                <w:rFonts w:hint="eastAsia"/>
                <w:szCs w:val="21"/>
                <w:lang w:val="en-US" w:eastAsia="zh-CN"/>
              </w:rPr>
              <w:t>通用</w:t>
            </w:r>
            <w:r>
              <w:rPr>
                <w:szCs w:val="21"/>
              </w:rPr>
              <w:t>行业应急减排措施制定技术指南》（20</w:t>
            </w:r>
            <w:r>
              <w:rPr>
                <w:rFonts w:hint="eastAsia"/>
                <w:szCs w:val="21"/>
                <w:lang w:val="en-US" w:eastAsia="zh-CN"/>
              </w:rPr>
              <w:t>24</w:t>
            </w:r>
            <w:r>
              <w:rPr>
                <w:szCs w:val="21"/>
              </w:rPr>
              <w:t>年修订版）中</w:t>
            </w:r>
            <w:r>
              <w:rPr>
                <w:rFonts w:ascii="宋体" w:hAnsi="宋体"/>
                <w:szCs w:val="21"/>
              </w:rPr>
              <w:t>“</w:t>
            </w:r>
            <w:r>
              <w:rPr>
                <w:rFonts w:hint="eastAsia" w:ascii="宋体" w:hAnsi="宋体"/>
                <w:szCs w:val="21"/>
                <w:lang w:val="en-US" w:eastAsia="zh-CN"/>
              </w:rPr>
              <w:t>涉工业炉窑</w:t>
            </w:r>
            <w:r>
              <w:rPr>
                <w:rFonts w:ascii="宋体" w:hAnsi="宋体"/>
                <w:szCs w:val="21"/>
              </w:rPr>
              <w:t>”</w:t>
            </w:r>
            <w:r>
              <w:rPr>
                <w:rFonts w:hint="eastAsia"/>
                <w:szCs w:val="21"/>
                <w:lang w:val="en-US" w:eastAsia="zh-CN"/>
              </w:rPr>
              <w:t>基本</w:t>
            </w:r>
            <w:r>
              <w:rPr>
                <w:szCs w:val="21"/>
              </w:rPr>
              <w:t>要求</w:t>
            </w:r>
            <w:r>
              <w:rPr>
                <w:rFonts w:hint="eastAsia"/>
                <w:szCs w:val="21"/>
                <w:lang w:eastAsia="zh-CN"/>
              </w:rPr>
              <w:t>，</w:t>
            </w:r>
            <w:r>
              <w:rPr>
                <w:rFonts w:hint="eastAsia"/>
                <w:szCs w:val="21"/>
                <w:lang w:val="en-US" w:eastAsia="zh-CN"/>
              </w:rPr>
              <w:t>蒸汽发生器燃气废气执行</w:t>
            </w:r>
            <w:r>
              <w:rPr>
                <w:rFonts w:hint="eastAsia"/>
              </w:rPr>
              <w:t>《锅炉大气污染物排放标准》（DB41/2089-2021）</w:t>
            </w:r>
            <w:r>
              <w:rPr>
                <w:rFonts w:hint="eastAsia" w:hAnsi="Times New Roman"/>
                <w:lang w:val="en-US" w:eastAsia="zh-CN"/>
              </w:rPr>
              <w:t>及</w:t>
            </w:r>
            <w:r>
              <w:rPr>
                <w:szCs w:val="21"/>
              </w:rPr>
              <w:t>《河南省重污染天气</w:t>
            </w:r>
            <w:r>
              <w:rPr>
                <w:rFonts w:hint="eastAsia"/>
                <w:szCs w:val="21"/>
                <w:lang w:val="en-US" w:eastAsia="zh-CN"/>
              </w:rPr>
              <w:t>通用</w:t>
            </w:r>
            <w:r>
              <w:rPr>
                <w:szCs w:val="21"/>
              </w:rPr>
              <w:t>行业应急减排措施制定技术指南》（20</w:t>
            </w:r>
            <w:r>
              <w:rPr>
                <w:rFonts w:hint="eastAsia"/>
                <w:szCs w:val="21"/>
                <w:lang w:val="en-US" w:eastAsia="zh-CN"/>
              </w:rPr>
              <w:t>24</w:t>
            </w:r>
            <w:r>
              <w:rPr>
                <w:szCs w:val="21"/>
              </w:rPr>
              <w:t>年修订版）中</w:t>
            </w:r>
            <w:r>
              <w:rPr>
                <w:rFonts w:ascii="宋体" w:hAnsi="宋体"/>
                <w:szCs w:val="21"/>
              </w:rPr>
              <w:t>“</w:t>
            </w:r>
            <w:r>
              <w:rPr>
                <w:rFonts w:hint="eastAsia" w:ascii="宋体" w:hAnsi="宋体"/>
                <w:szCs w:val="21"/>
                <w:lang w:val="en-US" w:eastAsia="zh-CN"/>
              </w:rPr>
              <w:t>涉锅炉</w:t>
            </w:r>
            <w:r>
              <w:rPr>
                <w:rFonts w:ascii="宋体" w:hAnsi="宋体"/>
                <w:szCs w:val="21"/>
              </w:rPr>
              <w:t>”</w:t>
            </w:r>
            <w:r>
              <w:rPr>
                <w:rFonts w:hint="eastAsia"/>
                <w:szCs w:val="21"/>
                <w:lang w:val="en-US" w:eastAsia="zh-CN"/>
              </w:rPr>
              <w:t>基本</w:t>
            </w:r>
            <w:r>
              <w:rPr>
                <w:szCs w:val="21"/>
              </w:rPr>
              <w:t>要求</w:t>
            </w:r>
            <w:r>
              <w:rPr>
                <w:rFonts w:hint="eastAsia"/>
              </w:rPr>
              <w:t>。</w:t>
            </w:r>
            <w:r>
              <w:rPr>
                <w:rFonts w:hint="eastAsia"/>
                <w:lang w:val="en-US" w:eastAsia="zh-CN"/>
              </w:rPr>
              <w:t>熬制油烟执行</w:t>
            </w:r>
            <w:r>
              <w:rPr>
                <w:rFonts w:hint="eastAsia" w:cs="Times New Roman"/>
                <w:b w:val="0"/>
                <w:bCs w:val="0"/>
                <w:color w:val="auto"/>
                <w:sz w:val="24"/>
                <w:szCs w:val="24"/>
                <w:highlight w:val="none"/>
                <w:u w:val="none" w:color="auto"/>
                <w:lang w:val="en-US" w:eastAsia="zh-CN"/>
              </w:rPr>
              <w:t>《饮食业油烟排放标准（试行）》（GB18483-2001）小型要求。</w:t>
            </w:r>
            <w:r>
              <w:rPr>
                <w:rFonts w:hint="eastAsia"/>
              </w:rPr>
              <w:t>恶臭</w:t>
            </w:r>
            <w:r>
              <w:t>污染物执行</w:t>
            </w:r>
            <w:r>
              <w:rPr>
                <w:rFonts w:hint="eastAsia"/>
              </w:rPr>
              <w:t>《恶臭污染物排放标准》（</w:t>
            </w:r>
            <w:r>
              <w:t>GB14554-93</w:t>
            </w:r>
            <w:r>
              <w:rPr>
                <w:rFonts w:hint="eastAsia"/>
              </w:rPr>
              <w:t>）。</w:t>
            </w:r>
          </w:p>
          <w:p w14:paraId="0032E1A1">
            <w:pPr>
              <w:pStyle w:val="56"/>
              <w:numPr>
                <w:ilvl w:val="0"/>
                <w:numId w:val="0"/>
              </w:numPr>
              <w:spacing w:before="120"/>
              <w:ind w:left="3150" w:leftChars="0"/>
              <w:jc w:val="left"/>
              <w:rPr>
                <w:rFonts w:hAnsi="宋体" w:cs="宋体"/>
              </w:rPr>
            </w:pPr>
            <w:r>
              <w:rPr>
                <w:rFonts w:hint="eastAsia" w:hAnsi="宋体" w:cs="宋体"/>
                <w:lang w:val="en-US" w:eastAsia="zh-CN"/>
              </w:rPr>
              <w:t xml:space="preserve">表20 </w:t>
            </w:r>
            <w:r>
              <w:rPr>
                <w:rFonts w:hint="eastAsia" w:hAnsi="宋体" w:cs="宋体"/>
              </w:rPr>
              <w:t>大气污染物排放标准</w:t>
            </w:r>
          </w:p>
          <w:tbl>
            <w:tblPr>
              <w:tblStyle w:val="47"/>
              <w:tblW w:w="5000"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3714"/>
              <w:gridCol w:w="1101"/>
              <w:gridCol w:w="3040"/>
            </w:tblGrid>
            <w:tr w14:paraId="423E5A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8" w:type="pct"/>
                  <w:tcBorders>
                    <w:tl2br w:val="nil"/>
                    <w:tr2bl w:val="nil"/>
                  </w:tcBorders>
                  <w:noWrap w:val="0"/>
                  <w:vAlign w:val="center"/>
                </w:tcPr>
                <w:p w14:paraId="7DD23A97">
                  <w:pPr>
                    <w:adjustRightInd w:val="0"/>
                    <w:snapToGrid w:val="0"/>
                    <w:jc w:val="center"/>
                    <w:rPr>
                      <w:rFonts w:hint="eastAsia" w:eastAsia="宋体"/>
                      <w:szCs w:val="21"/>
                      <w:lang w:val="en-US" w:eastAsia="zh-CN"/>
                    </w:rPr>
                  </w:pPr>
                  <w:r>
                    <w:rPr>
                      <w:rFonts w:hint="eastAsia"/>
                      <w:szCs w:val="21"/>
                      <w:lang w:val="en-US" w:eastAsia="zh-CN"/>
                    </w:rPr>
                    <w:t>类别</w:t>
                  </w:r>
                </w:p>
              </w:tc>
              <w:tc>
                <w:tcPr>
                  <w:tcW w:w="2213" w:type="pct"/>
                  <w:tcBorders>
                    <w:tl2br w:val="nil"/>
                    <w:tr2bl w:val="nil"/>
                  </w:tcBorders>
                  <w:noWrap w:val="0"/>
                  <w:vAlign w:val="center"/>
                </w:tcPr>
                <w:p w14:paraId="51AF8DDB">
                  <w:pPr>
                    <w:adjustRightInd w:val="0"/>
                    <w:snapToGrid w:val="0"/>
                    <w:jc w:val="center"/>
                    <w:rPr>
                      <w:szCs w:val="21"/>
                    </w:rPr>
                  </w:pPr>
                  <w:r>
                    <w:rPr>
                      <w:szCs w:val="21"/>
                    </w:rPr>
                    <w:t>执行标准及级别</w:t>
                  </w:r>
                </w:p>
              </w:tc>
              <w:tc>
                <w:tcPr>
                  <w:tcW w:w="656" w:type="pct"/>
                  <w:tcBorders>
                    <w:tl2br w:val="nil"/>
                    <w:tr2bl w:val="nil"/>
                  </w:tcBorders>
                  <w:noWrap w:val="0"/>
                  <w:vAlign w:val="center"/>
                </w:tcPr>
                <w:p w14:paraId="533AA24B">
                  <w:pPr>
                    <w:adjustRightInd w:val="0"/>
                    <w:snapToGrid w:val="0"/>
                    <w:jc w:val="center"/>
                    <w:rPr>
                      <w:szCs w:val="21"/>
                    </w:rPr>
                  </w:pPr>
                  <w:r>
                    <w:rPr>
                      <w:szCs w:val="21"/>
                    </w:rPr>
                    <w:t>项目</w:t>
                  </w:r>
                </w:p>
              </w:tc>
              <w:tc>
                <w:tcPr>
                  <w:tcW w:w="1811" w:type="pct"/>
                  <w:tcBorders>
                    <w:tl2br w:val="nil"/>
                    <w:tr2bl w:val="nil"/>
                  </w:tcBorders>
                  <w:noWrap w:val="0"/>
                  <w:vAlign w:val="center"/>
                </w:tcPr>
                <w:p w14:paraId="701F54DC">
                  <w:pPr>
                    <w:adjustRightInd w:val="0"/>
                    <w:snapToGrid w:val="0"/>
                    <w:jc w:val="center"/>
                    <w:rPr>
                      <w:szCs w:val="21"/>
                    </w:rPr>
                  </w:pPr>
                  <w:r>
                    <w:rPr>
                      <w:szCs w:val="21"/>
                    </w:rPr>
                    <w:t>标准限值</w:t>
                  </w:r>
                </w:p>
              </w:tc>
            </w:tr>
            <w:tr w14:paraId="73C608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318" w:type="pct"/>
                  <w:vMerge w:val="restart"/>
                  <w:tcBorders>
                    <w:tl2br w:val="nil"/>
                    <w:tr2bl w:val="nil"/>
                  </w:tcBorders>
                  <w:noWrap w:val="0"/>
                  <w:vAlign w:val="center"/>
                </w:tcPr>
                <w:p w14:paraId="6449303E">
                  <w:pPr>
                    <w:pStyle w:val="104"/>
                    <w:jc w:val="center"/>
                    <w:rPr>
                      <w:rFonts w:hint="default" w:hAnsi="Times New Roman"/>
                      <w:lang w:val="en-US" w:eastAsia="zh-CN"/>
                    </w:rPr>
                  </w:pPr>
                  <w:r>
                    <w:rPr>
                      <w:rFonts w:hint="eastAsia" w:hAnsi="Times New Roman"/>
                      <w:lang w:val="en-US" w:eastAsia="zh-CN"/>
                    </w:rPr>
                    <w:t>有组织</w:t>
                  </w:r>
                </w:p>
              </w:tc>
              <w:tc>
                <w:tcPr>
                  <w:tcW w:w="2213" w:type="pct"/>
                  <w:vMerge w:val="restart"/>
                  <w:tcBorders>
                    <w:tl2br w:val="nil"/>
                    <w:tr2bl w:val="nil"/>
                  </w:tcBorders>
                  <w:noWrap w:val="0"/>
                  <w:vAlign w:val="center"/>
                </w:tcPr>
                <w:p w14:paraId="5C8921FC">
                  <w:pPr>
                    <w:pStyle w:val="104"/>
                    <w:jc w:val="center"/>
                    <w:rPr>
                      <w:rFonts w:hAnsi="Times New Roman"/>
                      <w:lang w:val="en-US" w:eastAsia="zh-CN"/>
                    </w:rPr>
                  </w:pPr>
                  <w:r>
                    <w:rPr>
                      <w:kern w:val="0"/>
                      <w:szCs w:val="21"/>
                    </w:rPr>
                    <w:t>《工业炉窑大气污染物排放标准》（DB411066-2020）</w:t>
                  </w:r>
                </w:p>
              </w:tc>
              <w:tc>
                <w:tcPr>
                  <w:tcW w:w="656" w:type="pct"/>
                  <w:tcBorders>
                    <w:tl2br w:val="nil"/>
                    <w:tr2bl w:val="nil"/>
                  </w:tcBorders>
                  <w:noWrap w:val="0"/>
                  <w:vAlign w:val="center"/>
                </w:tcPr>
                <w:p w14:paraId="1029D373">
                  <w:pPr>
                    <w:snapToGrid w:val="0"/>
                    <w:jc w:val="center"/>
                    <w:rPr>
                      <w:rFonts w:hAnsi="Times New Roman"/>
                      <w:lang w:val="en-US" w:eastAsia="zh-CN"/>
                    </w:rPr>
                  </w:pPr>
                  <w:r>
                    <w:rPr>
                      <w:spacing w:val="4"/>
                      <w:szCs w:val="21"/>
                    </w:rPr>
                    <w:t>颗粒物</w:t>
                  </w:r>
                </w:p>
              </w:tc>
              <w:tc>
                <w:tcPr>
                  <w:tcW w:w="1811" w:type="pct"/>
                  <w:tcBorders>
                    <w:tl2br w:val="nil"/>
                    <w:tr2bl w:val="nil"/>
                  </w:tcBorders>
                  <w:noWrap w:val="0"/>
                  <w:vAlign w:val="center"/>
                </w:tcPr>
                <w:p w14:paraId="2E1782F6">
                  <w:pPr>
                    <w:snapToGrid w:val="0"/>
                    <w:jc w:val="center"/>
                    <w:rPr>
                      <w:rFonts w:hint="default" w:hAnsi="Times New Roman"/>
                      <w:lang w:val="en-US" w:eastAsia="zh-CN"/>
                    </w:rPr>
                  </w:pPr>
                  <w:r>
                    <w:rPr>
                      <w:rFonts w:hint="eastAsia"/>
                      <w:color w:val="000000"/>
                      <w:szCs w:val="21"/>
                      <w:lang w:val="en-US" w:eastAsia="zh-CN"/>
                    </w:rPr>
                    <w:t>30</w:t>
                  </w:r>
                  <w:r>
                    <w:rPr>
                      <w:bCs/>
                      <w:color w:val="000000"/>
                      <w:szCs w:val="21"/>
                    </w:rPr>
                    <w:t>mg/m</w:t>
                  </w:r>
                  <w:r>
                    <w:rPr>
                      <w:bCs/>
                      <w:color w:val="000000"/>
                      <w:szCs w:val="21"/>
                      <w:vertAlign w:val="superscript"/>
                    </w:rPr>
                    <w:t>3</w:t>
                  </w:r>
                </w:p>
              </w:tc>
            </w:tr>
            <w:tr w14:paraId="012220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8" w:type="pct"/>
                  <w:vMerge w:val="continue"/>
                  <w:tcBorders>
                    <w:tl2br w:val="nil"/>
                    <w:tr2bl w:val="nil"/>
                  </w:tcBorders>
                  <w:noWrap w:val="0"/>
                  <w:vAlign w:val="center"/>
                </w:tcPr>
                <w:p w14:paraId="66A4D8B4">
                  <w:pPr>
                    <w:pStyle w:val="104"/>
                    <w:jc w:val="center"/>
                    <w:rPr>
                      <w:rFonts w:hint="eastAsia" w:hAnsi="Times New Roman"/>
                      <w:lang w:val="en-US" w:eastAsia="zh-CN"/>
                    </w:rPr>
                  </w:pPr>
                </w:p>
              </w:tc>
              <w:tc>
                <w:tcPr>
                  <w:tcW w:w="2213" w:type="pct"/>
                  <w:vMerge w:val="continue"/>
                  <w:tcBorders>
                    <w:tl2br w:val="nil"/>
                    <w:tr2bl w:val="nil"/>
                  </w:tcBorders>
                  <w:noWrap w:val="0"/>
                  <w:vAlign w:val="center"/>
                </w:tcPr>
                <w:p w14:paraId="334D862A">
                  <w:pPr>
                    <w:pStyle w:val="104"/>
                    <w:jc w:val="center"/>
                    <w:rPr>
                      <w:rFonts w:hAnsi="Times New Roman"/>
                      <w:lang w:val="en-US" w:eastAsia="zh-CN"/>
                    </w:rPr>
                  </w:pPr>
                </w:p>
              </w:tc>
              <w:tc>
                <w:tcPr>
                  <w:tcW w:w="656" w:type="pct"/>
                  <w:tcBorders>
                    <w:tl2br w:val="nil"/>
                    <w:tr2bl w:val="nil"/>
                  </w:tcBorders>
                  <w:noWrap w:val="0"/>
                  <w:vAlign w:val="center"/>
                </w:tcPr>
                <w:p w14:paraId="3B4BCC0A">
                  <w:pPr>
                    <w:snapToGrid w:val="0"/>
                    <w:jc w:val="center"/>
                    <w:rPr>
                      <w:rFonts w:hAnsi="Times New Roman"/>
                      <w:lang w:val="en-US" w:eastAsia="zh-CN"/>
                    </w:rPr>
                  </w:pPr>
                  <w:r>
                    <w:rPr>
                      <w:spacing w:val="4"/>
                      <w:szCs w:val="21"/>
                    </w:rPr>
                    <w:t>二氧化硫</w:t>
                  </w:r>
                </w:p>
              </w:tc>
              <w:tc>
                <w:tcPr>
                  <w:tcW w:w="1811" w:type="pct"/>
                  <w:tcBorders>
                    <w:tl2br w:val="nil"/>
                    <w:tr2bl w:val="nil"/>
                  </w:tcBorders>
                  <w:noWrap w:val="0"/>
                  <w:vAlign w:val="center"/>
                </w:tcPr>
                <w:p w14:paraId="33E8A14F">
                  <w:pPr>
                    <w:jc w:val="center"/>
                    <w:rPr>
                      <w:rFonts w:hint="default" w:hAnsi="Times New Roman"/>
                      <w:lang w:val="en-US" w:eastAsia="zh-CN"/>
                    </w:rPr>
                  </w:pPr>
                  <w:r>
                    <w:rPr>
                      <w:rFonts w:hint="eastAsia"/>
                      <w:lang w:val="en-US" w:eastAsia="zh-CN"/>
                    </w:rPr>
                    <w:t>200</w:t>
                  </w:r>
                  <w:r>
                    <w:rPr>
                      <w:bCs/>
                      <w:color w:val="000000"/>
                      <w:szCs w:val="21"/>
                    </w:rPr>
                    <w:t>mg/m</w:t>
                  </w:r>
                  <w:r>
                    <w:rPr>
                      <w:bCs/>
                      <w:color w:val="000000"/>
                      <w:szCs w:val="21"/>
                      <w:vertAlign w:val="superscript"/>
                    </w:rPr>
                    <w:t>3</w:t>
                  </w:r>
                </w:p>
              </w:tc>
            </w:tr>
            <w:tr w14:paraId="276A4A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318" w:type="pct"/>
                  <w:vMerge w:val="continue"/>
                  <w:tcBorders>
                    <w:tl2br w:val="nil"/>
                    <w:tr2bl w:val="nil"/>
                  </w:tcBorders>
                  <w:noWrap w:val="0"/>
                  <w:vAlign w:val="center"/>
                </w:tcPr>
                <w:p w14:paraId="75D5FBE7">
                  <w:pPr>
                    <w:pStyle w:val="104"/>
                    <w:jc w:val="center"/>
                    <w:rPr>
                      <w:rFonts w:hint="eastAsia" w:hAnsi="Times New Roman"/>
                      <w:lang w:val="en-US" w:eastAsia="zh-CN"/>
                    </w:rPr>
                  </w:pPr>
                </w:p>
              </w:tc>
              <w:tc>
                <w:tcPr>
                  <w:tcW w:w="2213" w:type="pct"/>
                  <w:vMerge w:val="continue"/>
                  <w:tcBorders>
                    <w:tl2br w:val="nil"/>
                    <w:tr2bl w:val="nil"/>
                  </w:tcBorders>
                  <w:noWrap w:val="0"/>
                  <w:vAlign w:val="center"/>
                </w:tcPr>
                <w:p w14:paraId="41394610">
                  <w:pPr>
                    <w:pStyle w:val="104"/>
                    <w:jc w:val="center"/>
                    <w:rPr>
                      <w:rFonts w:hAnsi="Times New Roman"/>
                      <w:lang w:val="en-US" w:eastAsia="zh-CN"/>
                    </w:rPr>
                  </w:pPr>
                </w:p>
              </w:tc>
              <w:tc>
                <w:tcPr>
                  <w:tcW w:w="656" w:type="pct"/>
                  <w:tcBorders>
                    <w:tl2br w:val="nil"/>
                    <w:tr2bl w:val="nil"/>
                  </w:tcBorders>
                  <w:noWrap w:val="0"/>
                  <w:vAlign w:val="center"/>
                </w:tcPr>
                <w:p w14:paraId="5B399750">
                  <w:pPr>
                    <w:snapToGrid w:val="0"/>
                    <w:jc w:val="center"/>
                    <w:rPr>
                      <w:rFonts w:hAnsi="Times New Roman"/>
                      <w:lang w:val="en-US" w:eastAsia="zh-CN"/>
                    </w:rPr>
                  </w:pPr>
                  <w:r>
                    <w:rPr>
                      <w:spacing w:val="4"/>
                      <w:szCs w:val="21"/>
                    </w:rPr>
                    <w:t>NO</w:t>
                  </w:r>
                  <w:r>
                    <w:rPr>
                      <w:spacing w:val="4"/>
                      <w:szCs w:val="21"/>
                      <w:vertAlign w:val="subscript"/>
                    </w:rPr>
                    <w:t>x</w:t>
                  </w:r>
                </w:p>
              </w:tc>
              <w:tc>
                <w:tcPr>
                  <w:tcW w:w="1811" w:type="pct"/>
                  <w:tcBorders>
                    <w:tl2br w:val="nil"/>
                    <w:tr2bl w:val="nil"/>
                  </w:tcBorders>
                  <w:noWrap w:val="0"/>
                  <w:vAlign w:val="center"/>
                </w:tcPr>
                <w:p w14:paraId="48054E33">
                  <w:pPr>
                    <w:snapToGrid w:val="0"/>
                    <w:jc w:val="center"/>
                    <w:rPr>
                      <w:rFonts w:hint="default" w:hAnsi="Times New Roman"/>
                      <w:lang w:val="en-US" w:eastAsia="zh-CN"/>
                    </w:rPr>
                  </w:pPr>
                  <w:r>
                    <w:rPr>
                      <w:color w:val="000000"/>
                      <w:szCs w:val="21"/>
                    </w:rPr>
                    <w:t>3</w:t>
                  </w:r>
                  <w:r>
                    <w:rPr>
                      <w:rFonts w:hint="eastAsia"/>
                      <w:color w:val="000000"/>
                      <w:szCs w:val="21"/>
                      <w:lang w:val="en-US" w:eastAsia="zh-CN"/>
                    </w:rPr>
                    <w:t>0</w:t>
                  </w:r>
                  <w:r>
                    <w:rPr>
                      <w:color w:val="000000"/>
                      <w:szCs w:val="21"/>
                    </w:rPr>
                    <w:t>0</w:t>
                  </w:r>
                  <w:r>
                    <w:rPr>
                      <w:bCs/>
                      <w:color w:val="000000"/>
                      <w:szCs w:val="21"/>
                    </w:rPr>
                    <w:t>mg/m</w:t>
                  </w:r>
                  <w:r>
                    <w:rPr>
                      <w:bCs/>
                      <w:color w:val="000000"/>
                      <w:szCs w:val="21"/>
                      <w:vertAlign w:val="superscript"/>
                    </w:rPr>
                    <w:t>3</w:t>
                  </w:r>
                </w:p>
              </w:tc>
            </w:tr>
            <w:tr w14:paraId="17043A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318" w:type="pct"/>
                  <w:vMerge w:val="continue"/>
                  <w:tcBorders>
                    <w:tl2br w:val="nil"/>
                    <w:tr2bl w:val="nil"/>
                  </w:tcBorders>
                  <w:noWrap w:val="0"/>
                  <w:vAlign w:val="center"/>
                </w:tcPr>
                <w:p w14:paraId="3D657138">
                  <w:pPr>
                    <w:pStyle w:val="104"/>
                    <w:jc w:val="center"/>
                    <w:rPr>
                      <w:rFonts w:hint="eastAsia" w:hAnsi="Times New Roman"/>
                      <w:lang w:val="en-US" w:eastAsia="zh-CN"/>
                    </w:rPr>
                  </w:pPr>
                </w:p>
              </w:tc>
              <w:tc>
                <w:tcPr>
                  <w:tcW w:w="2213" w:type="pct"/>
                  <w:vMerge w:val="continue"/>
                  <w:tcBorders>
                    <w:tl2br w:val="nil"/>
                    <w:tr2bl w:val="nil"/>
                  </w:tcBorders>
                  <w:noWrap w:val="0"/>
                  <w:vAlign w:val="center"/>
                </w:tcPr>
                <w:p w14:paraId="2B819708">
                  <w:pPr>
                    <w:pStyle w:val="104"/>
                    <w:jc w:val="center"/>
                    <w:rPr>
                      <w:rFonts w:hAnsi="Times New Roman"/>
                      <w:lang w:val="en-US" w:eastAsia="zh-CN"/>
                    </w:rPr>
                  </w:pPr>
                </w:p>
              </w:tc>
              <w:tc>
                <w:tcPr>
                  <w:tcW w:w="656" w:type="pct"/>
                  <w:tcBorders>
                    <w:tl2br w:val="nil"/>
                    <w:tr2bl w:val="nil"/>
                  </w:tcBorders>
                  <w:noWrap w:val="0"/>
                  <w:vAlign w:val="center"/>
                </w:tcPr>
                <w:p w14:paraId="38C59CCD">
                  <w:pPr>
                    <w:jc w:val="center"/>
                    <w:rPr>
                      <w:rFonts w:hAnsi="Times New Roman"/>
                      <w:lang w:val="en-US" w:eastAsia="zh-CN"/>
                    </w:rPr>
                  </w:pPr>
                  <w:r>
                    <w:rPr>
                      <w:rFonts w:hint="eastAsia"/>
                    </w:rPr>
                    <w:t>烟气黑度</w:t>
                  </w:r>
                </w:p>
              </w:tc>
              <w:tc>
                <w:tcPr>
                  <w:tcW w:w="1811" w:type="pct"/>
                  <w:tcBorders>
                    <w:tl2br w:val="nil"/>
                    <w:tr2bl w:val="nil"/>
                  </w:tcBorders>
                  <w:noWrap w:val="0"/>
                  <w:vAlign w:val="center"/>
                </w:tcPr>
                <w:p w14:paraId="509A97B3">
                  <w:pPr>
                    <w:jc w:val="center"/>
                    <w:rPr>
                      <w:rFonts w:hint="eastAsia" w:hAnsi="Times New Roman" w:eastAsia="宋体"/>
                      <w:lang w:val="en-US" w:eastAsia="zh-CN"/>
                    </w:rPr>
                  </w:pPr>
                  <w:r>
                    <w:rPr>
                      <w:rFonts w:hint="eastAsia"/>
                    </w:rPr>
                    <w:t>1</w:t>
                  </w:r>
                  <w:r>
                    <w:rPr>
                      <w:rFonts w:hint="eastAsia"/>
                      <w:lang w:eastAsia="zh-CN"/>
                    </w:rPr>
                    <w:t>（</w:t>
                  </w:r>
                  <w:r>
                    <w:rPr>
                      <w:rFonts w:hint="eastAsia"/>
                      <w:lang w:val="en-US" w:eastAsia="zh-CN"/>
                    </w:rPr>
                    <w:t>林格曼黑度，级</w:t>
                  </w:r>
                  <w:r>
                    <w:rPr>
                      <w:rFonts w:hint="eastAsia"/>
                      <w:lang w:eastAsia="zh-CN"/>
                    </w:rPr>
                    <w:t>）</w:t>
                  </w:r>
                </w:p>
              </w:tc>
            </w:tr>
            <w:tr w14:paraId="721806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318" w:type="pct"/>
                  <w:vMerge w:val="continue"/>
                  <w:tcBorders>
                    <w:tl2br w:val="nil"/>
                    <w:tr2bl w:val="nil"/>
                  </w:tcBorders>
                  <w:noWrap w:val="0"/>
                  <w:vAlign w:val="center"/>
                </w:tcPr>
                <w:p w14:paraId="70C22388">
                  <w:pPr>
                    <w:adjustRightInd w:val="0"/>
                    <w:snapToGrid w:val="0"/>
                    <w:jc w:val="center"/>
                    <w:rPr>
                      <w:rFonts w:hAnsi="Times New Roman"/>
                      <w:lang w:val="en-US" w:eastAsia="zh-CN"/>
                    </w:rPr>
                  </w:pPr>
                </w:p>
              </w:tc>
              <w:tc>
                <w:tcPr>
                  <w:tcW w:w="2213" w:type="pct"/>
                  <w:vMerge w:val="restart"/>
                  <w:tcBorders>
                    <w:tl2br w:val="nil"/>
                    <w:tr2bl w:val="nil"/>
                  </w:tcBorders>
                  <w:noWrap w:val="0"/>
                  <w:vAlign w:val="center"/>
                </w:tcPr>
                <w:p w14:paraId="171C8D75">
                  <w:pPr>
                    <w:jc w:val="center"/>
                    <w:rPr>
                      <w:szCs w:val="21"/>
                    </w:rPr>
                  </w:pPr>
                  <w:r>
                    <w:rPr>
                      <w:spacing w:val="4"/>
                      <w:szCs w:val="21"/>
                    </w:rPr>
                    <w:t>《锅炉大气污染物排放标准》（</w:t>
                  </w:r>
                  <w:r>
                    <w:rPr>
                      <w:rFonts w:hint="eastAsia"/>
                      <w:spacing w:val="4"/>
                      <w:szCs w:val="21"/>
                    </w:rPr>
                    <w:t>D</w:t>
                  </w:r>
                  <w:r>
                    <w:rPr>
                      <w:spacing w:val="4"/>
                      <w:szCs w:val="21"/>
                    </w:rPr>
                    <w:t>B</w:t>
                  </w:r>
                  <w:r>
                    <w:rPr>
                      <w:rFonts w:hint="eastAsia"/>
                      <w:spacing w:val="4"/>
                      <w:szCs w:val="21"/>
                    </w:rPr>
                    <w:t>41/2089</w:t>
                  </w:r>
                  <w:r>
                    <w:rPr>
                      <w:spacing w:val="4"/>
                      <w:szCs w:val="21"/>
                    </w:rPr>
                    <w:t>-20</w:t>
                  </w:r>
                  <w:r>
                    <w:rPr>
                      <w:rFonts w:hint="eastAsia"/>
                      <w:spacing w:val="4"/>
                      <w:szCs w:val="21"/>
                    </w:rPr>
                    <w:t>21</w:t>
                  </w:r>
                  <w:r>
                    <w:rPr>
                      <w:spacing w:val="4"/>
                      <w:szCs w:val="21"/>
                    </w:rPr>
                    <w:t>）</w:t>
                  </w:r>
                </w:p>
              </w:tc>
              <w:tc>
                <w:tcPr>
                  <w:tcW w:w="656" w:type="pct"/>
                  <w:tcBorders>
                    <w:tl2br w:val="nil"/>
                    <w:tr2bl w:val="nil"/>
                  </w:tcBorders>
                  <w:noWrap w:val="0"/>
                  <w:vAlign w:val="center"/>
                </w:tcPr>
                <w:p w14:paraId="2E3C5EE2">
                  <w:pPr>
                    <w:snapToGrid w:val="0"/>
                    <w:jc w:val="center"/>
                    <w:rPr>
                      <w:rFonts w:hAnsi="Times New Roman"/>
                      <w:lang w:val="en-US" w:eastAsia="zh-CN"/>
                    </w:rPr>
                  </w:pPr>
                  <w:r>
                    <w:rPr>
                      <w:spacing w:val="4"/>
                      <w:szCs w:val="21"/>
                    </w:rPr>
                    <w:t>颗粒物</w:t>
                  </w:r>
                </w:p>
              </w:tc>
              <w:tc>
                <w:tcPr>
                  <w:tcW w:w="1811" w:type="pct"/>
                  <w:tcBorders>
                    <w:tl2br w:val="nil"/>
                    <w:tr2bl w:val="nil"/>
                  </w:tcBorders>
                  <w:noWrap w:val="0"/>
                  <w:vAlign w:val="center"/>
                </w:tcPr>
                <w:p w14:paraId="3519D61F">
                  <w:pPr>
                    <w:snapToGrid w:val="0"/>
                    <w:jc w:val="center"/>
                    <w:rPr>
                      <w:rFonts w:hAnsi="Times New Roman"/>
                      <w:lang w:val="en-US" w:eastAsia="zh-CN"/>
                    </w:rPr>
                  </w:pPr>
                  <w:r>
                    <w:rPr>
                      <w:rFonts w:hint="eastAsia"/>
                      <w:color w:val="000000"/>
                      <w:szCs w:val="21"/>
                    </w:rPr>
                    <w:t>5</w:t>
                  </w:r>
                  <w:r>
                    <w:rPr>
                      <w:bCs/>
                      <w:color w:val="000000"/>
                      <w:szCs w:val="21"/>
                    </w:rPr>
                    <w:t>mg/m</w:t>
                  </w:r>
                  <w:r>
                    <w:rPr>
                      <w:bCs/>
                      <w:color w:val="000000"/>
                      <w:szCs w:val="21"/>
                      <w:vertAlign w:val="superscript"/>
                    </w:rPr>
                    <w:t>3</w:t>
                  </w:r>
                </w:p>
              </w:tc>
            </w:tr>
            <w:tr w14:paraId="6499F41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8" w:type="pct"/>
                  <w:vMerge w:val="continue"/>
                  <w:tcBorders>
                    <w:tl2br w:val="nil"/>
                    <w:tr2bl w:val="nil"/>
                  </w:tcBorders>
                  <w:noWrap w:val="0"/>
                  <w:vAlign w:val="center"/>
                </w:tcPr>
                <w:p w14:paraId="77045483">
                  <w:pPr>
                    <w:adjustRightInd w:val="0"/>
                    <w:snapToGrid w:val="0"/>
                    <w:jc w:val="center"/>
                    <w:rPr>
                      <w:rFonts w:hAnsi="Times New Roman"/>
                      <w:lang w:val="en-US" w:eastAsia="zh-CN"/>
                    </w:rPr>
                  </w:pPr>
                </w:p>
              </w:tc>
              <w:tc>
                <w:tcPr>
                  <w:tcW w:w="2213" w:type="pct"/>
                  <w:vMerge w:val="continue"/>
                  <w:tcBorders>
                    <w:tl2br w:val="nil"/>
                    <w:tr2bl w:val="nil"/>
                  </w:tcBorders>
                  <w:noWrap w:val="0"/>
                  <w:vAlign w:val="center"/>
                </w:tcPr>
                <w:p w14:paraId="4C12F82D">
                  <w:pPr>
                    <w:jc w:val="center"/>
                    <w:rPr>
                      <w:szCs w:val="21"/>
                    </w:rPr>
                  </w:pPr>
                </w:p>
              </w:tc>
              <w:tc>
                <w:tcPr>
                  <w:tcW w:w="656" w:type="pct"/>
                  <w:tcBorders>
                    <w:tl2br w:val="nil"/>
                    <w:tr2bl w:val="nil"/>
                  </w:tcBorders>
                  <w:noWrap w:val="0"/>
                  <w:vAlign w:val="center"/>
                </w:tcPr>
                <w:p w14:paraId="134BF33C">
                  <w:pPr>
                    <w:snapToGrid w:val="0"/>
                    <w:jc w:val="center"/>
                    <w:rPr>
                      <w:rFonts w:hAnsi="Times New Roman"/>
                      <w:lang w:val="en-US" w:eastAsia="zh-CN"/>
                    </w:rPr>
                  </w:pPr>
                  <w:r>
                    <w:rPr>
                      <w:spacing w:val="4"/>
                      <w:szCs w:val="21"/>
                    </w:rPr>
                    <w:t>二氧化硫</w:t>
                  </w:r>
                </w:p>
              </w:tc>
              <w:tc>
                <w:tcPr>
                  <w:tcW w:w="1811" w:type="pct"/>
                  <w:tcBorders>
                    <w:tl2br w:val="nil"/>
                    <w:tr2bl w:val="nil"/>
                  </w:tcBorders>
                  <w:noWrap w:val="0"/>
                  <w:vAlign w:val="center"/>
                </w:tcPr>
                <w:p w14:paraId="24C04433">
                  <w:pPr>
                    <w:jc w:val="center"/>
                    <w:rPr>
                      <w:rFonts w:hAnsi="Times New Roman"/>
                      <w:lang w:val="en-US" w:eastAsia="zh-CN"/>
                    </w:rPr>
                  </w:pPr>
                  <w:r>
                    <w:rPr>
                      <w:rFonts w:hint="eastAsia"/>
                    </w:rPr>
                    <w:t>10</w:t>
                  </w:r>
                  <w:r>
                    <w:rPr>
                      <w:bCs/>
                      <w:color w:val="000000"/>
                      <w:szCs w:val="21"/>
                    </w:rPr>
                    <w:t>mg/m</w:t>
                  </w:r>
                  <w:r>
                    <w:rPr>
                      <w:bCs/>
                      <w:color w:val="000000"/>
                      <w:szCs w:val="21"/>
                      <w:vertAlign w:val="superscript"/>
                    </w:rPr>
                    <w:t>3</w:t>
                  </w:r>
                </w:p>
              </w:tc>
            </w:tr>
            <w:tr w14:paraId="165505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318" w:type="pct"/>
                  <w:vMerge w:val="continue"/>
                  <w:tcBorders>
                    <w:tl2br w:val="nil"/>
                    <w:tr2bl w:val="nil"/>
                  </w:tcBorders>
                  <w:noWrap w:val="0"/>
                  <w:vAlign w:val="center"/>
                </w:tcPr>
                <w:p w14:paraId="72D16CDD">
                  <w:pPr>
                    <w:adjustRightInd w:val="0"/>
                    <w:snapToGrid w:val="0"/>
                    <w:jc w:val="center"/>
                    <w:rPr>
                      <w:rFonts w:hAnsi="Times New Roman"/>
                      <w:lang w:val="en-US" w:eastAsia="zh-CN"/>
                    </w:rPr>
                  </w:pPr>
                </w:p>
              </w:tc>
              <w:tc>
                <w:tcPr>
                  <w:tcW w:w="2213" w:type="pct"/>
                  <w:vMerge w:val="continue"/>
                  <w:tcBorders>
                    <w:tl2br w:val="nil"/>
                    <w:tr2bl w:val="nil"/>
                  </w:tcBorders>
                  <w:noWrap w:val="0"/>
                  <w:vAlign w:val="center"/>
                </w:tcPr>
                <w:p w14:paraId="7F6B1762">
                  <w:pPr>
                    <w:jc w:val="center"/>
                    <w:rPr>
                      <w:szCs w:val="21"/>
                    </w:rPr>
                  </w:pPr>
                </w:p>
              </w:tc>
              <w:tc>
                <w:tcPr>
                  <w:tcW w:w="656" w:type="pct"/>
                  <w:tcBorders>
                    <w:tl2br w:val="nil"/>
                    <w:tr2bl w:val="nil"/>
                  </w:tcBorders>
                  <w:noWrap w:val="0"/>
                  <w:vAlign w:val="center"/>
                </w:tcPr>
                <w:p w14:paraId="305B7F56">
                  <w:pPr>
                    <w:snapToGrid w:val="0"/>
                    <w:jc w:val="center"/>
                    <w:rPr>
                      <w:rFonts w:hAnsi="Times New Roman"/>
                      <w:lang w:val="en-US" w:eastAsia="zh-CN"/>
                    </w:rPr>
                  </w:pPr>
                  <w:r>
                    <w:rPr>
                      <w:spacing w:val="4"/>
                      <w:szCs w:val="21"/>
                    </w:rPr>
                    <w:t>NO</w:t>
                  </w:r>
                  <w:r>
                    <w:rPr>
                      <w:spacing w:val="4"/>
                      <w:szCs w:val="21"/>
                      <w:vertAlign w:val="subscript"/>
                    </w:rPr>
                    <w:t>x</w:t>
                  </w:r>
                </w:p>
              </w:tc>
              <w:tc>
                <w:tcPr>
                  <w:tcW w:w="1811" w:type="pct"/>
                  <w:tcBorders>
                    <w:tl2br w:val="nil"/>
                    <w:tr2bl w:val="nil"/>
                  </w:tcBorders>
                  <w:noWrap w:val="0"/>
                  <w:vAlign w:val="center"/>
                </w:tcPr>
                <w:p w14:paraId="0832F4BE">
                  <w:pPr>
                    <w:snapToGrid w:val="0"/>
                    <w:jc w:val="center"/>
                    <w:rPr>
                      <w:rFonts w:hAnsi="Times New Roman"/>
                      <w:lang w:val="en-US" w:eastAsia="zh-CN"/>
                    </w:rPr>
                  </w:pPr>
                  <w:r>
                    <w:rPr>
                      <w:color w:val="000000"/>
                      <w:szCs w:val="21"/>
                    </w:rPr>
                    <w:t>30</w:t>
                  </w:r>
                  <w:r>
                    <w:rPr>
                      <w:bCs/>
                      <w:color w:val="000000"/>
                      <w:szCs w:val="21"/>
                    </w:rPr>
                    <w:t>mg/m</w:t>
                  </w:r>
                  <w:r>
                    <w:rPr>
                      <w:bCs/>
                      <w:color w:val="000000"/>
                      <w:szCs w:val="21"/>
                      <w:vertAlign w:val="superscript"/>
                    </w:rPr>
                    <w:t>3</w:t>
                  </w:r>
                </w:p>
              </w:tc>
            </w:tr>
            <w:tr w14:paraId="1B1583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318" w:type="pct"/>
                  <w:vMerge w:val="continue"/>
                  <w:tcBorders>
                    <w:tl2br w:val="nil"/>
                    <w:tr2bl w:val="nil"/>
                  </w:tcBorders>
                  <w:noWrap w:val="0"/>
                  <w:vAlign w:val="center"/>
                </w:tcPr>
                <w:p w14:paraId="361C0D52">
                  <w:pPr>
                    <w:adjustRightInd w:val="0"/>
                    <w:snapToGrid w:val="0"/>
                    <w:jc w:val="center"/>
                    <w:rPr>
                      <w:rFonts w:hAnsi="Times New Roman"/>
                      <w:lang w:val="en-US" w:eastAsia="zh-CN"/>
                    </w:rPr>
                  </w:pPr>
                </w:p>
              </w:tc>
              <w:tc>
                <w:tcPr>
                  <w:tcW w:w="2213" w:type="pct"/>
                  <w:vMerge w:val="continue"/>
                  <w:tcBorders>
                    <w:tl2br w:val="nil"/>
                    <w:tr2bl w:val="nil"/>
                  </w:tcBorders>
                  <w:noWrap w:val="0"/>
                  <w:vAlign w:val="center"/>
                </w:tcPr>
                <w:p w14:paraId="2A68185E">
                  <w:pPr>
                    <w:jc w:val="center"/>
                    <w:rPr>
                      <w:szCs w:val="21"/>
                    </w:rPr>
                  </w:pPr>
                </w:p>
              </w:tc>
              <w:tc>
                <w:tcPr>
                  <w:tcW w:w="656" w:type="pct"/>
                  <w:tcBorders>
                    <w:tl2br w:val="nil"/>
                    <w:tr2bl w:val="nil"/>
                  </w:tcBorders>
                  <w:noWrap w:val="0"/>
                  <w:vAlign w:val="center"/>
                </w:tcPr>
                <w:p w14:paraId="1B5F43C2">
                  <w:pPr>
                    <w:jc w:val="center"/>
                    <w:rPr>
                      <w:rFonts w:hAnsi="Times New Roman"/>
                      <w:lang w:val="en-US" w:eastAsia="zh-CN"/>
                    </w:rPr>
                  </w:pPr>
                  <w:r>
                    <w:rPr>
                      <w:rFonts w:hint="eastAsia"/>
                    </w:rPr>
                    <w:t>烟气黑度</w:t>
                  </w:r>
                </w:p>
              </w:tc>
              <w:tc>
                <w:tcPr>
                  <w:tcW w:w="1811" w:type="pct"/>
                  <w:tcBorders>
                    <w:tl2br w:val="nil"/>
                    <w:tr2bl w:val="nil"/>
                  </w:tcBorders>
                  <w:noWrap w:val="0"/>
                  <w:vAlign w:val="center"/>
                </w:tcPr>
                <w:p w14:paraId="047BE7D3">
                  <w:pPr>
                    <w:jc w:val="center"/>
                    <w:rPr>
                      <w:rFonts w:hAnsi="Times New Roman"/>
                      <w:lang w:val="en-US" w:eastAsia="zh-CN"/>
                    </w:rPr>
                  </w:pPr>
                  <w:r>
                    <w:rPr>
                      <w:rFonts w:hint="eastAsia"/>
                    </w:rPr>
                    <w:t>1</w:t>
                  </w:r>
                  <w:r>
                    <w:rPr>
                      <w:rFonts w:hint="eastAsia"/>
                      <w:lang w:eastAsia="zh-CN"/>
                    </w:rPr>
                    <w:t>（</w:t>
                  </w:r>
                  <w:r>
                    <w:rPr>
                      <w:rFonts w:hint="eastAsia"/>
                      <w:lang w:val="en-US" w:eastAsia="zh-CN"/>
                    </w:rPr>
                    <w:t>林格曼黑度，级</w:t>
                  </w:r>
                  <w:r>
                    <w:rPr>
                      <w:rFonts w:hint="eastAsia"/>
                      <w:lang w:eastAsia="zh-CN"/>
                    </w:rPr>
                    <w:t>）</w:t>
                  </w:r>
                </w:p>
              </w:tc>
            </w:tr>
            <w:tr w14:paraId="193D85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318" w:type="pct"/>
                  <w:vMerge w:val="continue"/>
                  <w:tcBorders>
                    <w:tl2br w:val="nil"/>
                    <w:tr2bl w:val="nil"/>
                  </w:tcBorders>
                  <w:noWrap w:val="0"/>
                  <w:vAlign w:val="center"/>
                </w:tcPr>
                <w:p w14:paraId="62729975">
                  <w:pPr>
                    <w:adjustRightInd w:val="0"/>
                    <w:snapToGrid w:val="0"/>
                    <w:jc w:val="center"/>
                    <w:rPr>
                      <w:rFonts w:hAnsi="Times New Roman"/>
                      <w:lang w:val="en-US" w:eastAsia="zh-CN"/>
                    </w:rPr>
                  </w:pPr>
                </w:p>
              </w:tc>
              <w:tc>
                <w:tcPr>
                  <w:tcW w:w="2213" w:type="pct"/>
                  <w:vMerge w:val="restart"/>
                  <w:tcBorders>
                    <w:tl2br w:val="nil"/>
                    <w:tr2bl w:val="nil"/>
                  </w:tcBorders>
                  <w:noWrap w:val="0"/>
                  <w:vAlign w:val="center"/>
                </w:tcPr>
                <w:p w14:paraId="384962F3">
                  <w:pPr>
                    <w:jc w:val="center"/>
                    <w:rPr>
                      <w:szCs w:val="21"/>
                    </w:rPr>
                  </w:pPr>
                  <w:r>
                    <w:rPr>
                      <w:szCs w:val="21"/>
                    </w:rPr>
                    <w:t>《河南省重污染天气</w:t>
                  </w:r>
                  <w:r>
                    <w:rPr>
                      <w:rFonts w:hint="eastAsia"/>
                      <w:szCs w:val="21"/>
                      <w:lang w:val="en-US" w:eastAsia="zh-CN"/>
                    </w:rPr>
                    <w:t>通用</w:t>
                  </w:r>
                  <w:r>
                    <w:rPr>
                      <w:szCs w:val="21"/>
                    </w:rPr>
                    <w:t>行业应急减排措施制定技术指南》（20</w:t>
                  </w:r>
                  <w:r>
                    <w:rPr>
                      <w:rFonts w:hint="eastAsia"/>
                      <w:szCs w:val="21"/>
                      <w:lang w:val="en-US" w:eastAsia="zh-CN"/>
                    </w:rPr>
                    <w:t>24</w:t>
                  </w:r>
                  <w:r>
                    <w:rPr>
                      <w:szCs w:val="21"/>
                    </w:rPr>
                    <w:t>年修订版）中“</w:t>
                  </w:r>
                  <w:r>
                    <w:rPr>
                      <w:rFonts w:hint="eastAsia"/>
                      <w:szCs w:val="21"/>
                      <w:lang w:val="en-US" w:eastAsia="zh-CN"/>
                    </w:rPr>
                    <w:t>涉工业炉窑</w:t>
                  </w:r>
                  <w:r>
                    <w:rPr>
                      <w:szCs w:val="21"/>
                    </w:rPr>
                    <w:t>”</w:t>
                  </w:r>
                </w:p>
              </w:tc>
              <w:tc>
                <w:tcPr>
                  <w:tcW w:w="656" w:type="pct"/>
                  <w:tcBorders>
                    <w:tl2br w:val="nil"/>
                    <w:tr2bl w:val="nil"/>
                  </w:tcBorders>
                  <w:noWrap w:val="0"/>
                  <w:vAlign w:val="center"/>
                </w:tcPr>
                <w:p w14:paraId="614C9EE8">
                  <w:pPr>
                    <w:snapToGrid w:val="0"/>
                    <w:jc w:val="center"/>
                    <w:rPr>
                      <w:rFonts w:hint="eastAsia"/>
                    </w:rPr>
                  </w:pPr>
                  <w:r>
                    <w:rPr>
                      <w:spacing w:val="4"/>
                      <w:szCs w:val="21"/>
                    </w:rPr>
                    <w:t>颗粒物</w:t>
                  </w:r>
                </w:p>
              </w:tc>
              <w:tc>
                <w:tcPr>
                  <w:tcW w:w="1811" w:type="pct"/>
                  <w:tcBorders>
                    <w:tl2br w:val="nil"/>
                    <w:tr2bl w:val="nil"/>
                  </w:tcBorders>
                  <w:noWrap w:val="0"/>
                  <w:vAlign w:val="center"/>
                </w:tcPr>
                <w:p w14:paraId="17ACF93E">
                  <w:pPr>
                    <w:snapToGrid w:val="0"/>
                    <w:jc w:val="center"/>
                    <w:rPr>
                      <w:rFonts w:hint="eastAsia"/>
                    </w:rPr>
                  </w:pPr>
                  <w:r>
                    <w:rPr>
                      <w:rFonts w:hint="eastAsia"/>
                      <w:color w:val="000000"/>
                      <w:szCs w:val="21"/>
                      <w:lang w:val="en-US" w:eastAsia="zh-CN"/>
                    </w:rPr>
                    <w:t>10</w:t>
                  </w:r>
                  <w:r>
                    <w:rPr>
                      <w:bCs/>
                      <w:color w:val="000000"/>
                      <w:szCs w:val="21"/>
                    </w:rPr>
                    <w:t>mg/m</w:t>
                  </w:r>
                  <w:r>
                    <w:rPr>
                      <w:bCs/>
                      <w:color w:val="000000"/>
                      <w:szCs w:val="21"/>
                      <w:vertAlign w:val="superscript"/>
                    </w:rPr>
                    <w:t>3</w:t>
                  </w:r>
                </w:p>
              </w:tc>
            </w:tr>
            <w:tr w14:paraId="62A823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318" w:type="pct"/>
                  <w:vMerge w:val="continue"/>
                  <w:tcBorders>
                    <w:tl2br w:val="nil"/>
                    <w:tr2bl w:val="nil"/>
                  </w:tcBorders>
                  <w:noWrap w:val="0"/>
                  <w:vAlign w:val="center"/>
                </w:tcPr>
                <w:p w14:paraId="0D83CDA8">
                  <w:pPr>
                    <w:adjustRightInd w:val="0"/>
                    <w:snapToGrid w:val="0"/>
                    <w:jc w:val="center"/>
                    <w:rPr>
                      <w:rFonts w:hAnsi="Times New Roman"/>
                      <w:lang w:val="en-US" w:eastAsia="zh-CN"/>
                    </w:rPr>
                  </w:pPr>
                </w:p>
              </w:tc>
              <w:tc>
                <w:tcPr>
                  <w:tcW w:w="2213" w:type="pct"/>
                  <w:vMerge w:val="continue"/>
                  <w:tcBorders>
                    <w:tl2br w:val="nil"/>
                    <w:tr2bl w:val="nil"/>
                  </w:tcBorders>
                  <w:noWrap w:val="0"/>
                  <w:vAlign w:val="center"/>
                </w:tcPr>
                <w:p w14:paraId="642FE9B5">
                  <w:pPr>
                    <w:jc w:val="center"/>
                    <w:rPr>
                      <w:szCs w:val="21"/>
                    </w:rPr>
                  </w:pPr>
                </w:p>
              </w:tc>
              <w:tc>
                <w:tcPr>
                  <w:tcW w:w="656" w:type="pct"/>
                  <w:tcBorders>
                    <w:tl2br w:val="nil"/>
                    <w:tr2bl w:val="nil"/>
                  </w:tcBorders>
                  <w:noWrap w:val="0"/>
                  <w:vAlign w:val="center"/>
                </w:tcPr>
                <w:p w14:paraId="68206AE6">
                  <w:pPr>
                    <w:snapToGrid w:val="0"/>
                    <w:jc w:val="center"/>
                    <w:rPr>
                      <w:rFonts w:hint="eastAsia"/>
                    </w:rPr>
                  </w:pPr>
                  <w:r>
                    <w:rPr>
                      <w:spacing w:val="4"/>
                      <w:szCs w:val="21"/>
                    </w:rPr>
                    <w:t>二氧化硫</w:t>
                  </w:r>
                </w:p>
              </w:tc>
              <w:tc>
                <w:tcPr>
                  <w:tcW w:w="1811" w:type="pct"/>
                  <w:tcBorders>
                    <w:tl2br w:val="nil"/>
                    <w:tr2bl w:val="nil"/>
                  </w:tcBorders>
                  <w:noWrap w:val="0"/>
                  <w:vAlign w:val="center"/>
                </w:tcPr>
                <w:p w14:paraId="376AA0CB">
                  <w:pPr>
                    <w:jc w:val="center"/>
                    <w:rPr>
                      <w:rFonts w:hint="eastAsia"/>
                    </w:rPr>
                  </w:pPr>
                  <w:r>
                    <w:rPr>
                      <w:rFonts w:hint="eastAsia"/>
                      <w:lang w:val="en-US" w:eastAsia="zh-CN"/>
                    </w:rPr>
                    <w:t>35</w:t>
                  </w:r>
                  <w:r>
                    <w:rPr>
                      <w:bCs/>
                      <w:color w:val="000000"/>
                      <w:szCs w:val="21"/>
                    </w:rPr>
                    <w:t>mg/m</w:t>
                  </w:r>
                  <w:r>
                    <w:rPr>
                      <w:bCs/>
                      <w:color w:val="000000"/>
                      <w:szCs w:val="21"/>
                      <w:vertAlign w:val="superscript"/>
                    </w:rPr>
                    <w:t>3</w:t>
                  </w:r>
                </w:p>
              </w:tc>
            </w:tr>
            <w:tr w14:paraId="6C99D0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318" w:type="pct"/>
                  <w:vMerge w:val="continue"/>
                  <w:tcBorders>
                    <w:tl2br w:val="nil"/>
                    <w:tr2bl w:val="nil"/>
                  </w:tcBorders>
                  <w:noWrap w:val="0"/>
                  <w:vAlign w:val="center"/>
                </w:tcPr>
                <w:p w14:paraId="5621980A">
                  <w:pPr>
                    <w:adjustRightInd w:val="0"/>
                    <w:snapToGrid w:val="0"/>
                    <w:jc w:val="center"/>
                    <w:rPr>
                      <w:rFonts w:hAnsi="Times New Roman"/>
                      <w:lang w:val="en-US" w:eastAsia="zh-CN"/>
                    </w:rPr>
                  </w:pPr>
                </w:p>
              </w:tc>
              <w:tc>
                <w:tcPr>
                  <w:tcW w:w="2213" w:type="pct"/>
                  <w:vMerge w:val="continue"/>
                  <w:tcBorders>
                    <w:tl2br w:val="nil"/>
                    <w:tr2bl w:val="nil"/>
                  </w:tcBorders>
                  <w:noWrap w:val="0"/>
                  <w:vAlign w:val="center"/>
                </w:tcPr>
                <w:p w14:paraId="065D974A">
                  <w:pPr>
                    <w:jc w:val="center"/>
                    <w:rPr>
                      <w:szCs w:val="21"/>
                    </w:rPr>
                  </w:pPr>
                </w:p>
              </w:tc>
              <w:tc>
                <w:tcPr>
                  <w:tcW w:w="656" w:type="pct"/>
                  <w:tcBorders>
                    <w:tl2br w:val="nil"/>
                    <w:tr2bl w:val="nil"/>
                  </w:tcBorders>
                  <w:noWrap w:val="0"/>
                  <w:vAlign w:val="center"/>
                </w:tcPr>
                <w:p w14:paraId="1A73D59A">
                  <w:pPr>
                    <w:snapToGrid w:val="0"/>
                    <w:jc w:val="center"/>
                    <w:rPr>
                      <w:rFonts w:hint="eastAsia"/>
                    </w:rPr>
                  </w:pPr>
                  <w:r>
                    <w:rPr>
                      <w:spacing w:val="4"/>
                      <w:szCs w:val="21"/>
                    </w:rPr>
                    <w:t>NO</w:t>
                  </w:r>
                  <w:r>
                    <w:rPr>
                      <w:spacing w:val="4"/>
                      <w:szCs w:val="21"/>
                      <w:vertAlign w:val="subscript"/>
                    </w:rPr>
                    <w:t>x</w:t>
                  </w:r>
                </w:p>
              </w:tc>
              <w:tc>
                <w:tcPr>
                  <w:tcW w:w="1811" w:type="pct"/>
                  <w:tcBorders>
                    <w:tl2br w:val="nil"/>
                    <w:tr2bl w:val="nil"/>
                  </w:tcBorders>
                  <w:noWrap w:val="0"/>
                  <w:vAlign w:val="center"/>
                </w:tcPr>
                <w:p w14:paraId="4A6FED23">
                  <w:pPr>
                    <w:snapToGrid w:val="0"/>
                    <w:jc w:val="center"/>
                    <w:rPr>
                      <w:rFonts w:hint="eastAsia"/>
                    </w:rPr>
                  </w:pPr>
                  <w:r>
                    <w:rPr>
                      <w:rFonts w:hint="eastAsia"/>
                      <w:color w:val="000000"/>
                      <w:szCs w:val="21"/>
                      <w:lang w:val="en-US" w:eastAsia="zh-CN"/>
                    </w:rPr>
                    <w:t>5</w:t>
                  </w:r>
                  <w:r>
                    <w:rPr>
                      <w:color w:val="000000"/>
                      <w:szCs w:val="21"/>
                    </w:rPr>
                    <w:t>0</w:t>
                  </w:r>
                  <w:r>
                    <w:rPr>
                      <w:bCs/>
                      <w:color w:val="000000"/>
                      <w:szCs w:val="21"/>
                    </w:rPr>
                    <w:t>mg/m</w:t>
                  </w:r>
                  <w:r>
                    <w:rPr>
                      <w:bCs/>
                      <w:color w:val="000000"/>
                      <w:szCs w:val="21"/>
                      <w:vertAlign w:val="superscript"/>
                    </w:rPr>
                    <w:t>3</w:t>
                  </w:r>
                </w:p>
              </w:tc>
            </w:tr>
            <w:tr w14:paraId="50E2A0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318" w:type="pct"/>
                  <w:vMerge w:val="continue"/>
                  <w:tcBorders>
                    <w:tl2br w:val="nil"/>
                    <w:tr2bl w:val="nil"/>
                  </w:tcBorders>
                  <w:noWrap w:val="0"/>
                  <w:vAlign w:val="center"/>
                </w:tcPr>
                <w:p w14:paraId="091429CB">
                  <w:pPr>
                    <w:adjustRightInd w:val="0"/>
                    <w:snapToGrid w:val="0"/>
                    <w:jc w:val="center"/>
                    <w:rPr>
                      <w:rFonts w:hAnsi="Times New Roman"/>
                      <w:lang w:val="en-US" w:eastAsia="zh-CN"/>
                    </w:rPr>
                  </w:pPr>
                </w:p>
              </w:tc>
              <w:tc>
                <w:tcPr>
                  <w:tcW w:w="2213" w:type="pct"/>
                  <w:vMerge w:val="restart"/>
                  <w:tcBorders>
                    <w:tl2br w:val="nil"/>
                    <w:tr2bl w:val="nil"/>
                  </w:tcBorders>
                  <w:noWrap w:val="0"/>
                  <w:vAlign w:val="center"/>
                </w:tcPr>
                <w:p w14:paraId="4CF2B70E">
                  <w:pPr>
                    <w:jc w:val="center"/>
                    <w:rPr>
                      <w:szCs w:val="21"/>
                    </w:rPr>
                  </w:pPr>
                  <w:r>
                    <w:rPr>
                      <w:szCs w:val="21"/>
                    </w:rPr>
                    <w:t>《河南省重污染天气</w:t>
                  </w:r>
                  <w:r>
                    <w:rPr>
                      <w:rFonts w:hint="eastAsia"/>
                      <w:szCs w:val="21"/>
                      <w:lang w:val="en-US" w:eastAsia="zh-CN"/>
                    </w:rPr>
                    <w:t>通用</w:t>
                  </w:r>
                  <w:r>
                    <w:rPr>
                      <w:szCs w:val="21"/>
                    </w:rPr>
                    <w:t>行业应急减排措施制定技术指南》（20</w:t>
                  </w:r>
                  <w:r>
                    <w:rPr>
                      <w:rFonts w:hint="eastAsia"/>
                      <w:szCs w:val="21"/>
                      <w:lang w:val="en-US" w:eastAsia="zh-CN"/>
                    </w:rPr>
                    <w:t>24</w:t>
                  </w:r>
                  <w:r>
                    <w:rPr>
                      <w:szCs w:val="21"/>
                    </w:rPr>
                    <w:t>年修订版）中“</w:t>
                  </w:r>
                  <w:r>
                    <w:rPr>
                      <w:rFonts w:hint="eastAsia"/>
                      <w:szCs w:val="21"/>
                      <w:lang w:val="en-US" w:eastAsia="zh-CN"/>
                    </w:rPr>
                    <w:t>涉锅炉</w:t>
                  </w:r>
                  <w:r>
                    <w:rPr>
                      <w:szCs w:val="21"/>
                    </w:rPr>
                    <w:t>”</w:t>
                  </w:r>
                </w:p>
              </w:tc>
              <w:tc>
                <w:tcPr>
                  <w:tcW w:w="656" w:type="pct"/>
                  <w:tcBorders>
                    <w:tl2br w:val="nil"/>
                    <w:tr2bl w:val="nil"/>
                  </w:tcBorders>
                  <w:noWrap w:val="0"/>
                  <w:vAlign w:val="center"/>
                </w:tcPr>
                <w:p w14:paraId="0803B99E">
                  <w:pPr>
                    <w:snapToGrid w:val="0"/>
                    <w:jc w:val="center"/>
                    <w:rPr>
                      <w:spacing w:val="4"/>
                      <w:szCs w:val="21"/>
                    </w:rPr>
                  </w:pPr>
                  <w:r>
                    <w:rPr>
                      <w:spacing w:val="4"/>
                      <w:szCs w:val="21"/>
                    </w:rPr>
                    <w:t>颗粒物</w:t>
                  </w:r>
                </w:p>
              </w:tc>
              <w:tc>
                <w:tcPr>
                  <w:tcW w:w="1811" w:type="pct"/>
                  <w:tcBorders>
                    <w:tl2br w:val="nil"/>
                    <w:tr2bl w:val="nil"/>
                  </w:tcBorders>
                  <w:noWrap w:val="0"/>
                  <w:vAlign w:val="center"/>
                </w:tcPr>
                <w:p w14:paraId="236AC85D">
                  <w:pPr>
                    <w:snapToGrid w:val="0"/>
                    <w:jc w:val="center"/>
                    <w:rPr>
                      <w:rFonts w:hint="eastAsia"/>
                      <w:color w:val="000000"/>
                      <w:szCs w:val="21"/>
                      <w:lang w:val="en-US" w:eastAsia="zh-CN"/>
                    </w:rPr>
                  </w:pPr>
                  <w:r>
                    <w:rPr>
                      <w:rFonts w:hint="eastAsia"/>
                      <w:color w:val="000000"/>
                      <w:szCs w:val="21"/>
                      <w:lang w:val="en-US" w:eastAsia="zh-CN"/>
                    </w:rPr>
                    <w:t>5</w:t>
                  </w:r>
                  <w:r>
                    <w:rPr>
                      <w:bCs/>
                      <w:color w:val="000000"/>
                      <w:szCs w:val="21"/>
                    </w:rPr>
                    <w:t>mg/m</w:t>
                  </w:r>
                  <w:r>
                    <w:rPr>
                      <w:bCs/>
                      <w:color w:val="000000"/>
                      <w:szCs w:val="21"/>
                      <w:vertAlign w:val="superscript"/>
                    </w:rPr>
                    <w:t>3</w:t>
                  </w:r>
                </w:p>
              </w:tc>
            </w:tr>
            <w:tr w14:paraId="7369BA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318" w:type="pct"/>
                  <w:vMerge w:val="continue"/>
                  <w:tcBorders>
                    <w:tl2br w:val="nil"/>
                    <w:tr2bl w:val="nil"/>
                  </w:tcBorders>
                  <w:noWrap w:val="0"/>
                  <w:vAlign w:val="center"/>
                </w:tcPr>
                <w:p w14:paraId="1948C8AE">
                  <w:pPr>
                    <w:adjustRightInd w:val="0"/>
                    <w:snapToGrid w:val="0"/>
                    <w:jc w:val="center"/>
                    <w:rPr>
                      <w:rFonts w:hAnsi="Times New Roman"/>
                      <w:lang w:val="en-US" w:eastAsia="zh-CN"/>
                    </w:rPr>
                  </w:pPr>
                </w:p>
              </w:tc>
              <w:tc>
                <w:tcPr>
                  <w:tcW w:w="2213" w:type="pct"/>
                  <w:vMerge w:val="continue"/>
                  <w:tcBorders>
                    <w:tl2br w:val="nil"/>
                    <w:tr2bl w:val="nil"/>
                  </w:tcBorders>
                  <w:noWrap w:val="0"/>
                  <w:vAlign w:val="center"/>
                </w:tcPr>
                <w:p w14:paraId="3904AECE">
                  <w:pPr>
                    <w:jc w:val="center"/>
                    <w:rPr>
                      <w:szCs w:val="21"/>
                    </w:rPr>
                  </w:pPr>
                </w:p>
              </w:tc>
              <w:tc>
                <w:tcPr>
                  <w:tcW w:w="656" w:type="pct"/>
                  <w:tcBorders>
                    <w:tl2br w:val="nil"/>
                    <w:tr2bl w:val="nil"/>
                  </w:tcBorders>
                  <w:noWrap w:val="0"/>
                  <w:vAlign w:val="center"/>
                </w:tcPr>
                <w:p w14:paraId="01E67CFB">
                  <w:pPr>
                    <w:snapToGrid w:val="0"/>
                    <w:jc w:val="center"/>
                    <w:rPr>
                      <w:spacing w:val="4"/>
                      <w:szCs w:val="21"/>
                    </w:rPr>
                  </w:pPr>
                  <w:r>
                    <w:rPr>
                      <w:spacing w:val="4"/>
                      <w:szCs w:val="21"/>
                    </w:rPr>
                    <w:t>二氧化硫</w:t>
                  </w:r>
                </w:p>
              </w:tc>
              <w:tc>
                <w:tcPr>
                  <w:tcW w:w="1811" w:type="pct"/>
                  <w:tcBorders>
                    <w:tl2br w:val="nil"/>
                    <w:tr2bl w:val="nil"/>
                  </w:tcBorders>
                  <w:noWrap w:val="0"/>
                  <w:vAlign w:val="center"/>
                </w:tcPr>
                <w:p w14:paraId="7A677345">
                  <w:pPr>
                    <w:jc w:val="center"/>
                    <w:rPr>
                      <w:rFonts w:hint="eastAsia"/>
                      <w:color w:val="000000"/>
                      <w:szCs w:val="21"/>
                      <w:lang w:val="en-US" w:eastAsia="zh-CN"/>
                    </w:rPr>
                  </w:pPr>
                  <w:r>
                    <w:rPr>
                      <w:rFonts w:hint="eastAsia"/>
                      <w:lang w:val="en-US" w:eastAsia="zh-CN"/>
                    </w:rPr>
                    <w:t>10</w:t>
                  </w:r>
                  <w:r>
                    <w:rPr>
                      <w:bCs/>
                      <w:color w:val="000000"/>
                      <w:szCs w:val="21"/>
                    </w:rPr>
                    <w:t>mg/m</w:t>
                  </w:r>
                  <w:r>
                    <w:rPr>
                      <w:bCs/>
                      <w:color w:val="000000"/>
                      <w:szCs w:val="21"/>
                      <w:vertAlign w:val="superscript"/>
                    </w:rPr>
                    <w:t>3</w:t>
                  </w:r>
                </w:p>
              </w:tc>
            </w:tr>
            <w:tr w14:paraId="47985B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318" w:type="pct"/>
                  <w:vMerge w:val="continue"/>
                  <w:tcBorders>
                    <w:tl2br w:val="nil"/>
                    <w:tr2bl w:val="nil"/>
                  </w:tcBorders>
                  <w:noWrap w:val="0"/>
                  <w:vAlign w:val="center"/>
                </w:tcPr>
                <w:p w14:paraId="4E98CAE0">
                  <w:pPr>
                    <w:adjustRightInd w:val="0"/>
                    <w:snapToGrid w:val="0"/>
                    <w:jc w:val="center"/>
                    <w:rPr>
                      <w:rFonts w:hAnsi="Times New Roman"/>
                      <w:lang w:val="en-US" w:eastAsia="zh-CN"/>
                    </w:rPr>
                  </w:pPr>
                </w:p>
              </w:tc>
              <w:tc>
                <w:tcPr>
                  <w:tcW w:w="2213" w:type="pct"/>
                  <w:vMerge w:val="continue"/>
                  <w:tcBorders>
                    <w:tl2br w:val="nil"/>
                    <w:tr2bl w:val="nil"/>
                  </w:tcBorders>
                  <w:noWrap w:val="0"/>
                  <w:vAlign w:val="center"/>
                </w:tcPr>
                <w:p w14:paraId="38189227">
                  <w:pPr>
                    <w:jc w:val="center"/>
                    <w:rPr>
                      <w:szCs w:val="21"/>
                    </w:rPr>
                  </w:pPr>
                </w:p>
              </w:tc>
              <w:tc>
                <w:tcPr>
                  <w:tcW w:w="656" w:type="pct"/>
                  <w:tcBorders>
                    <w:tl2br w:val="nil"/>
                    <w:tr2bl w:val="nil"/>
                  </w:tcBorders>
                  <w:noWrap w:val="0"/>
                  <w:vAlign w:val="center"/>
                </w:tcPr>
                <w:p w14:paraId="13DB5E37">
                  <w:pPr>
                    <w:snapToGrid w:val="0"/>
                    <w:jc w:val="center"/>
                    <w:rPr>
                      <w:spacing w:val="4"/>
                      <w:szCs w:val="21"/>
                    </w:rPr>
                  </w:pPr>
                  <w:r>
                    <w:rPr>
                      <w:spacing w:val="4"/>
                      <w:szCs w:val="21"/>
                    </w:rPr>
                    <w:t>NO</w:t>
                  </w:r>
                  <w:r>
                    <w:rPr>
                      <w:spacing w:val="4"/>
                      <w:szCs w:val="21"/>
                      <w:vertAlign w:val="subscript"/>
                    </w:rPr>
                    <w:t>x</w:t>
                  </w:r>
                </w:p>
              </w:tc>
              <w:tc>
                <w:tcPr>
                  <w:tcW w:w="1811" w:type="pct"/>
                  <w:tcBorders>
                    <w:tl2br w:val="nil"/>
                    <w:tr2bl w:val="nil"/>
                  </w:tcBorders>
                  <w:noWrap w:val="0"/>
                  <w:vAlign w:val="center"/>
                </w:tcPr>
                <w:p w14:paraId="0871DADE">
                  <w:pPr>
                    <w:snapToGrid w:val="0"/>
                    <w:jc w:val="center"/>
                    <w:rPr>
                      <w:rFonts w:hint="eastAsia"/>
                      <w:color w:val="000000"/>
                      <w:szCs w:val="21"/>
                      <w:lang w:val="en-US" w:eastAsia="zh-CN"/>
                    </w:rPr>
                  </w:pPr>
                  <w:r>
                    <w:rPr>
                      <w:rFonts w:hint="eastAsia"/>
                      <w:color w:val="000000"/>
                      <w:szCs w:val="21"/>
                      <w:lang w:val="en-US" w:eastAsia="zh-CN"/>
                    </w:rPr>
                    <w:t>3</w:t>
                  </w:r>
                  <w:r>
                    <w:rPr>
                      <w:color w:val="000000"/>
                      <w:szCs w:val="21"/>
                    </w:rPr>
                    <w:t>0</w:t>
                  </w:r>
                  <w:r>
                    <w:rPr>
                      <w:bCs/>
                      <w:color w:val="000000"/>
                      <w:szCs w:val="21"/>
                    </w:rPr>
                    <w:t>mg/m</w:t>
                  </w:r>
                  <w:r>
                    <w:rPr>
                      <w:bCs/>
                      <w:color w:val="000000"/>
                      <w:szCs w:val="21"/>
                      <w:vertAlign w:val="superscript"/>
                    </w:rPr>
                    <w:t>3</w:t>
                  </w:r>
                </w:p>
              </w:tc>
            </w:tr>
            <w:tr w14:paraId="75AECE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318" w:type="pct"/>
                  <w:vMerge w:val="continue"/>
                  <w:tcBorders>
                    <w:tl2br w:val="nil"/>
                    <w:tr2bl w:val="nil"/>
                  </w:tcBorders>
                  <w:noWrap w:val="0"/>
                  <w:vAlign w:val="center"/>
                </w:tcPr>
                <w:p w14:paraId="3E12B67B">
                  <w:pPr>
                    <w:adjustRightInd w:val="0"/>
                    <w:snapToGrid w:val="0"/>
                    <w:jc w:val="center"/>
                    <w:rPr>
                      <w:rFonts w:hAnsi="Times New Roman"/>
                      <w:lang w:val="en-US" w:eastAsia="zh-CN"/>
                    </w:rPr>
                  </w:pPr>
                </w:p>
              </w:tc>
              <w:tc>
                <w:tcPr>
                  <w:tcW w:w="2213" w:type="pct"/>
                  <w:vMerge w:val="restart"/>
                  <w:tcBorders>
                    <w:tl2br w:val="nil"/>
                    <w:tr2bl w:val="nil"/>
                  </w:tcBorders>
                  <w:noWrap w:val="0"/>
                  <w:vAlign w:val="center"/>
                </w:tcPr>
                <w:p w14:paraId="629B0BB1">
                  <w:pPr>
                    <w:jc w:val="center"/>
                    <w:rPr>
                      <w:rFonts w:hint="default"/>
                      <w:szCs w:val="21"/>
                      <w:lang w:val="en-US"/>
                    </w:rPr>
                  </w:pPr>
                  <w:r>
                    <w:rPr>
                      <w:rFonts w:hint="eastAsia"/>
                      <w:szCs w:val="21"/>
                      <w:lang w:val="en-US" w:eastAsia="zh-CN"/>
                    </w:rPr>
                    <w:t>《饮食业油烟排放标准（试行）》（GB18483-2001）小型</w:t>
                  </w:r>
                </w:p>
              </w:tc>
              <w:tc>
                <w:tcPr>
                  <w:tcW w:w="656" w:type="pct"/>
                  <w:tcBorders>
                    <w:tl2br w:val="nil"/>
                    <w:tr2bl w:val="nil"/>
                  </w:tcBorders>
                  <w:noWrap w:val="0"/>
                  <w:vAlign w:val="center"/>
                </w:tcPr>
                <w:p w14:paraId="4A3EC470">
                  <w:pPr>
                    <w:jc w:val="center"/>
                    <w:rPr>
                      <w:rFonts w:hint="eastAsia" w:eastAsia="宋体"/>
                      <w:lang w:val="en-US" w:eastAsia="zh-CN"/>
                    </w:rPr>
                  </w:pPr>
                  <w:r>
                    <w:rPr>
                      <w:rFonts w:hint="eastAsia"/>
                      <w:lang w:val="en-US" w:eastAsia="zh-CN"/>
                    </w:rPr>
                    <w:t>油烟</w:t>
                  </w:r>
                </w:p>
              </w:tc>
              <w:tc>
                <w:tcPr>
                  <w:tcW w:w="1811" w:type="pct"/>
                  <w:tcBorders>
                    <w:tl2br w:val="nil"/>
                    <w:tr2bl w:val="nil"/>
                  </w:tcBorders>
                  <w:noWrap w:val="0"/>
                  <w:vAlign w:val="center"/>
                </w:tcPr>
                <w:p w14:paraId="7E0C7BDE">
                  <w:pPr>
                    <w:jc w:val="center"/>
                    <w:rPr>
                      <w:rFonts w:hint="default" w:eastAsia="宋体"/>
                      <w:lang w:val="en-US" w:eastAsia="zh-CN"/>
                    </w:rPr>
                  </w:pPr>
                  <w:r>
                    <w:rPr>
                      <w:rFonts w:hint="eastAsia"/>
                      <w:lang w:val="en-US" w:eastAsia="zh-CN"/>
                    </w:rPr>
                    <w:t>2.0mg/m</w:t>
                  </w:r>
                  <w:r>
                    <w:rPr>
                      <w:rFonts w:hint="eastAsia"/>
                      <w:vertAlign w:val="superscript"/>
                      <w:lang w:val="en-US" w:eastAsia="zh-CN"/>
                    </w:rPr>
                    <w:t>3</w:t>
                  </w:r>
                </w:p>
              </w:tc>
            </w:tr>
            <w:tr w14:paraId="680C15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318" w:type="pct"/>
                  <w:vMerge w:val="continue"/>
                  <w:tcBorders>
                    <w:tl2br w:val="nil"/>
                    <w:tr2bl w:val="nil"/>
                  </w:tcBorders>
                  <w:noWrap w:val="0"/>
                  <w:vAlign w:val="center"/>
                </w:tcPr>
                <w:p w14:paraId="0C13A7AD">
                  <w:pPr>
                    <w:adjustRightInd w:val="0"/>
                    <w:snapToGrid w:val="0"/>
                    <w:jc w:val="center"/>
                    <w:rPr>
                      <w:rFonts w:hAnsi="Times New Roman"/>
                      <w:lang w:val="en-US" w:eastAsia="zh-CN"/>
                    </w:rPr>
                  </w:pPr>
                </w:p>
              </w:tc>
              <w:tc>
                <w:tcPr>
                  <w:tcW w:w="2213" w:type="pct"/>
                  <w:vMerge w:val="continue"/>
                  <w:tcBorders>
                    <w:tl2br w:val="nil"/>
                    <w:tr2bl w:val="nil"/>
                  </w:tcBorders>
                  <w:noWrap w:val="0"/>
                  <w:vAlign w:val="center"/>
                </w:tcPr>
                <w:p w14:paraId="56345DF0">
                  <w:pPr>
                    <w:jc w:val="center"/>
                    <w:rPr>
                      <w:rFonts w:hint="eastAsia"/>
                      <w:szCs w:val="21"/>
                      <w:lang w:val="en-US" w:eastAsia="zh-CN"/>
                    </w:rPr>
                  </w:pPr>
                </w:p>
              </w:tc>
              <w:tc>
                <w:tcPr>
                  <w:tcW w:w="656" w:type="pct"/>
                  <w:tcBorders>
                    <w:tl2br w:val="nil"/>
                    <w:tr2bl w:val="nil"/>
                  </w:tcBorders>
                  <w:noWrap w:val="0"/>
                  <w:vAlign w:val="center"/>
                </w:tcPr>
                <w:p w14:paraId="157C0EB3">
                  <w:pPr>
                    <w:jc w:val="center"/>
                    <w:rPr>
                      <w:rFonts w:hint="default"/>
                      <w:lang w:val="en-US" w:eastAsia="zh-CN"/>
                    </w:rPr>
                  </w:pPr>
                  <w:r>
                    <w:rPr>
                      <w:rFonts w:hint="eastAsia"/>
                      <w:lang w:val="en-US" w:eastAsia="zh-CN"/>
                    </w:rPr>
                    <w:t>去除率</w:t>
                  </w:r>
                </w:p>
              </w:tc>
              <w:tc>
                <w:tcPr>
                  <w:tcW w:w="1811" w:type="pct"/>
                  <w:tcBorders>
                    <w:tl2br w:val="nil"/>
                    <w:tr2bl w:val="nil"/>
                  </w:tcBorders>
                  <w:noWrap w:val="0"/>
                  <w:vAlign w:val="center"/>
                </w:tcPr>
                <w:p w14:paraId="4F7B2615">
                  <w:pPr>
                    <w:jc w:val="center"/>
                    <w:rPr>
                      <w:rFonts w:hint="default"/>
                      <w:lang w:val="en-US" w:eastAsia="zh-CN"/>
                    </w:rPr>
                  </w:pPr>
                  <w:r>
                    <w:rPr>
                      <w:rFonts w:hint="eastAsia"/>
                      <w:lang w:val="en-US" w:eastAsia="zh-CN"/>
                    </w:rPr>
                    <w:t>≥60%</w:t>
                  </w:r>
                </w:p>
              </w:tc>
            </w:tr>
            <w:tr w14:paraId="612663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8" w:type="pct"/>
                  <w:vMerge w:val="restart"/>
                  <w:tcBorders>
                    <w:tl2br w:val="nil"/>
                    <w:tr2bl w:val="nil"/>
                  </w:tcBorders>
                  <w:noWrap w:val="0"/>
                  <w:vAlign w:val="center"/>
                </w:tcPr>
                <w:p w14:paraId="72C89045">
                  <w:pPr>
                    <w:pStyle w:val="163"/>
                    <w:numPr>
                      <w:ilvl w:val="0"/>
                      <w:numId w:val="0"/>
                    </w:numPr>
                    <w:ind w:leftChars="0"/>
                    <w:jc w:val="center"/>
                    <w:rPr>
                      <w:rFonts w:hint="default"/>
                      <w:color w:val="000000"/>
                      <w:lang w:val="en-US" w:eastAsia="zh-CN"/>
                    </w:rPr>
                  </w:pPr>
                  <w:r>
                    <w:rPr>
                      <w:rFonts w:hint="eastAsia"/>
                      <w:color w:val="000000"/>
                      <w:lang w:val="en-US" w:eastAsia="zh-CN"/>
                    </w:rPr>
                    <w:t>无组织</w:t>
                  </w:r>
                </w:p>
              </w:tc>
              <w:tc>
                <w:tcPr>
                  <w:tcW w:w="2213" w:type="pct"/>
                  <w:vMerge w:val="restart"/>
                  <w:tcBorders>
                    <w:tl2br w:val="nil"/>
                    <w:tr2bl w:val="nil"/>
                  </w:tcBorders>
                  <w:noWrap w:val="0"/>
                  <w:vAlign w:val="center"/>
                </w:tcPr>
                <w:p w14:paraId="690F02CA">
                  <w:pPr>
                    <w:adjustRightInd w:val="0"/>
                    <w:snapToGrid w:val="0"/>
                    <w:jc w:val="center"/>
                    <w:rPr>
                      <w:szCs w:val="21"/>
                    </w:rPr>
                  </w:pPr>
                  <w:r>
                    <w:rPr>
                      <w:rFonts w:hint="eastAsia"/>
                    </w:rPr>
                    <w:t>《恶臭污染物排放标准》（</w:t>
                  </w:r>
                  <w:r>
                    <w:t>GB14554-93</w:t>
                  </w:r>
                  <w:r>
                    <w:rPr>
                      <w:rFonts w:hint="eastAsia"/>
                    </w:rPr>
                    <w:t>）</w:t>
                  </w:r>
                </w:p>
              </w:tc>
              <w:tc>
                <w:tcPr>
                  <w:tcW w:w="656" w:type="pct"/>
                  <w:tcBorders>
                    <w:tl2br w:val="nil"/>
                    <w:tr2bl w:val="nil"/>
                  </w:tcBorders>
                  <w:noWrap w:val="0"/>
                  <w:vAlign w:val="center"/>
                </w:tcPr>
                <w:p w14:paraId="6DAABDEC">
                  <w:pPr>
                    <w:jc w:val="center"/>
                    <w:rPr>
                      <w:bCs/>
                      <w:color w:val="000000"/>
                    </w:rPr>
                  </w:pPr>
                  <w:r>
                    <w:rPr>
                      <w:rFonts w:hint="eastAsia"/>
                      <w:bCs/>
                      <w:color w:val="000000"/>
                      <w:szCs w:val="21"/>
                    </w:rPr>
                    <w:t>臭气浓度</w:t>
                  </w:r>
                </w:p>
              </w:tc>
              <w:tc>
                <w:tcPr>
                  <w:tcW w:w="1811" w:type="pct"/>
                  <w:tcBorders>
                    <w:tl2br w:val="nil"/>
                    <w:tr2bl w:val="nil"/>
                  </w:tcBorders>
                  <w:noWrap w:val="0"/>
                  <w:vAlign w:val="center"/>
                </w:tcPr>
                <w:p w14:paraId="60D5C1A4">
                  <w:pPr>
                    <w:jc w:val="center"/>
                    <w:rPr>
                      <w:rFonts w:hint="eastAsia"/>
                      <w:color w:val="000000"/>
                    </w:rPr>
                  </w:pPr>
                  <w:r>
                    <w:rPr>
                      <w:rFonts w:hint="eastAsia"/>
                      <w:bCs/>
                      <w:color w:val="000000"/>
                      <w:szCs w:val="21"/>
                    </w:rPr>
                    <w:t>20（无量纲）</w:t>
                  </w:r>
                </w:p>
              </w:tc>
            </w:tr>
            <w:tr w14:paraId="0BA5E8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8" w:type="pct"/>
                  <w:vMerge w:val="continue"/>
                  <w:tcBorders>
                    <w:tl2br w:val="nil"/>
                    <w:tr2bl w:val="nil"/>
                  </w:tcBorders>
                  <w:noWrap w:val="0"/>
                  <w:vAlign w:val="center"/>
                </w:tcPr>
                <w:p w14:paraId="0F6F6B9C">
                  <w:pPr>
                    <w:adjustRightInd w:val="0"/>
                    <w:snapToGrid w:val="0"/>
                    <w:jc w:val="center"/>
                    <w:rPr>
                      <w:szCs w:val="21"/>
                    </w:rPr>
                  </w:pPr>
                </w:p>
              </w:tc>
              <w:tc>
                <w:tcPr>
                  <w:tcW w:w="2213" w:type="pct"/>
                  <w:vMerge w:val="continue"/>
                  <w:tcBorders>
                    <w:tl2br w:val="nil"/>
                    <w:tr2bl w:val="nil"/>
                  </w:tcBorders>
                  <w:noWrap w:val="0"/>
                  <w:vAlign w:val="center"/>
                </w:tcPr>
                <w:p w14:paraId="178DDD9A">
                  <w:pPr>
                    <w:adjustRightInd w:val="0"/>
                    <w:snapToGrid w:val="0"/>
                    <w:jc w:val="center"/>
                    <w:rPr>
                      <w:szCs w:val="21"/>
                    </w:rPr>
                  </w:pPr>
                </w:p>
              </w:tc>
              <w:tc>
                <w:tcPr>
                  <w:tcW w:w="656" w:type="pct"/>
                  <w:tcBorders>
                    <w:tl2br w:val="nil"/>
                    <w:tr2bl w:val="nil"/>
                  </w:tcBorders>
                  <w:noWrap w:val="0"/>
                  <w:vAlign w:val="center"/>
                </w:tcPr>
                <w:p w14:paraId="5DAE46F0">
                  <w:pPr>
                    <w:jc w:val="center"/>
                    <w:rPr>
                      <w:bCs/>
                      <w:color w:val="000000"/>
                    </w:rPr>
                  </w:pPr>
                  <w:r>
                    <w:rPr>
                      <w:rFonts w:hint="eastAsia"/>
                      <w:bCs/>
                      <w:color w:val="000000"/>
                      <w:szCs w:val="21"/>
                    </w:rPr>
                    <w:t>氨</w:t>
                  </w:r>
                </w:p>
              </w:tc>
              <w:tc>
                <w:tcPr>
                  <w:tcW w:w="1811" w:type="pct"/>
                  <w:tcBorders>
                    <w:tl2br w:val="nil"/>
                    <w:tr2bl w:val="nil"/>
                  </w:tcBorders>
                  <w:noWrap w:val="0"/>
                  <w:vAlign w:val="center"/>
                </w:tcPr>
                <w:p w14:paraId="247FF392">
                  <w:pPr>
                    <w:jc w:val="center"/>
                    <w:rPr>
                      <w:rFonts w:hint="eastAsia"/>
                      <w:color w:val="000000"/>
                    </w:rPr>
                  </w:pPr>
                  <w:r>
                    <w:rPr>
                      <w:rFonts w:hint="eastAsia"/>
                      <w:bCs/>
                      <w:color w:val="000000"/>
                      <w:szCs w:val="21"/>
                    </w:rPr>
                    <w:t>1.5</w:t>
                  </w:r>
                  <w:r>
                    <w:rPr>
                      <w:bCs/>
                      <w:color w:val="000000"/>
                      <w:szCs w:val="21"/>
                    </w:rPr>
                    <w:t>mg/m</w:t>
                  </w:r>
                  <w:r>
                    <w:rPr>
                      <w:bCs/>
                      <w:color w:val="000000"/>
                      <w:szCs w:val="21"/>
                      <w:vertAlign w:val="superscript"/>
                    </w:rPr>
                    <w:t>3</w:t>
                  </w:r>
                </w:p>
              </w:tc>
            </w:tr>
            <w:tr w14:paraId="3355D7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18" w:type="pct"/>
                  <w:vMerge w:val="continue"/>
                  <w:tcBorders>
                    <w:tl2br w:val="nil"/>
                    <w:tr2bl w:val="nil"/>
                  </w:tcBorders>
                  <w:noWrap w:val="0"/>
                  <w:vAlign w:val="center"/>
                </w:tcPr>
                <w:p w14:paraId="17FE65E0">
                  <w:pPr>
                    <w:adjustRightInd w:val="0"/>
                    <w:snapToGrid w:val="0"/>
                    <w:jc w:val="center"/>
                    <w:rPr>
                      <w:szCs w:val="21"/>
                    </w:rPr>
                  </w:pPr>
                </w:p>
              </w:tc>
              <w:tc>
                <w:tcPr>
                  <w:tcW w:w="2213" w:type="pct"/>
                  <w:vMerge w:val="continue"/>
                  <w:tcBorders>
                    <w:tl2br w:val="nil"/>
                    <w:tr2bl w:val="nil"/>
                  </w:tcBorders>
                  <w:noWrap w:val="0"/>
                  <w:vAlign w:val="center"/>
                </w:tcPr>
                <w:p w14:paraId="36B3714A">
                  <w:pPr>
                    <w:adjustRightInd w:val="0"/>
                    <w:snapToGrid w:val="0"/>
                    <w:jc w:val="center"/>
                    <w:rPr>
                      <w:szCs w:val="21"/>
                    </w:rPr>
                  </w:pPr>
                </w:p>
              </w:tc>
              <w:tc>
                <w:tcPr>
                  <w:tcW w:w="656" w:type="pct"/>
                  <w:tcBorders>
                    <w:tl2br w:val="nil"/>
                    <w:tr2bl w:val="nil"/>
                  </w:tcBorders>
                  <w:noWrap w:val="0"/>
                  <w:vAlign w:val="center"/>
                </w:tcPr>
                <w:p w14:paraId="3C154F34">
                  <w:pPr>
                    <w:jc w:val="center"/>
                    <w:rPr>
                      <w:bCs/>
                      <w:color w:val="000000"/>
                    </w:rPr>
                  </w:pPr>
                  <w:r>
                    <w:rPr>
                      <w:rFonts w:hint="eastAsia"/>
                      <w:bCs/>
                      <w:color w:val="000000"/>
                      <w:szCs w:val="21"/>
                    </w:rPr>
                    <w:t>硫化氢</w:t>
                  </w:r>
                </w:p>
              </w:tc>
              <w:tc>
                <w:tcPr>
                  <w:tcW w:w="1811" w:type="pct"/>
                  <w:tcBorders>
                    <w:tl2br w:val="nil"/>
                    <w:tr2bl w:val="nil"/>
                  </w:tcBorders>
                  <w:noWrap w:val="0"/>
                  <w:vAlign w:val="center"/>
                </w:tcPr>
                <w:p w14:paraId="11DF6329">
                  <w:pPr>
                    <w:jc w:val="center"/>
                    <w:rPr>
                      <w:rFonts w:hint="eastAsia"/>
                      <w:color w:val="000000"/>
                    </w:rPr>
                  </w:pPr>
                  <w:r>
                    <w:rPr>
                      <w:rFonts w:hint="eastAsia"/>
                      <w:bCs/>
                      <w:color w:val="000000"/>
                      <w:szCs w:val="21"/>
                    </w:rPr>
                    <w:t>0.06</w:t>
                  </w:r>
                  <w:r>
                    <w:rPr>
                      <w:bCs/>
                      <w:color w:val="000000"/>
                      <w:szCs w:val="21"/>
                    </w:rPr>
                    <w:t>mg/m</w:t>
                  </w:r>
                  <w:r>
                    <w:rPr>
                      <w:bCs/>
                      <w:color w:val="000000"/>
                      <w:szCs w:val="21"/>
                      <w:vertAlign w:val="superscript"/>
                    </w:rPr>
                    <w:t>3</w:t>
                  </w:r>
                </w:p>
              </w:tc>
            </w:tr>
          </w:tbl>
          <w:p w14:paraId="4DF65B18">
            <w:pPr>
              <w:pStyle w:val="261"/>
              <w:ind w:firstLine="240"/>
            </w:pPr>
            <w:r>
              <w:t>2、废水</w:t>
            </w:r>
          </w:p>
          <w:p w14:paraId="6E58B4E4">
            <w:pPr>
              <w:pStyle w:val="144"/>
            </w:pPr>
            <w:r>
              <w:t>厂区废水排放执行</w:t>
            </w:r>
            <w:r>
              <w:rPr>
                <w:rFonts w:hint="eastAsia"/>
                <w:szCs w:val="28"/>
              </w:rPr>
              <w:t>《</w:t>
            </w:r>
            <w:r>
              <w:rPr>
                <w:rFonts w:hint="eastAsia"/>
                <w:szCs w:val="28"/>
                <w:lang w:val="en-US" w:eastAsia="zh-CN"/>
              </w:rPr>
              <w:t>食品加工制造业水污染物排放标准</w:t>
            </w:r>
            <w:r>
              <w:rPr>
                <w:rFonts w:hint="eastAsia"/>
                <w:szCs w:val="28"/>
              </w:rPr>
              <w:t>》（</w:t>
            </w:r>
            <w:r>
              <w:rPr>
                <w:rFonts w:hint="eastAsia"/>
                <w:szCs w:val="28"/>
                <w:lang w:val="en-US" w:eastAsia="zh-CN"/>
              </w:rPr>
              <w:t>GB 46817-2025</w:t>
            </w:r>
            <w:r>
              <w:rPr>
                <w:rFonts w:hint="eastAsia"/>
                <w:szCs w:val="28"/>
              </w:rPr>
              <w:t>）表</w:t>
            </w:r>
            <w:r>
              <w:rPr>
                <w:rFonts w:hint="eastAsia"/>
                <w:szCs w:val="28"/>
                <w:lang w:val="en-US" w:eastAsia="zh-CN"/>
              </w:rPr>
              <w:t>1间接排放</w:t>
            </w:r>
            <w:r>
              <w:rPr>
                <w:rFonts w:hint="eastAsia"/>
                <w:szCs w:val="28"/>
              </w:rPr>
              <w:t>标准</w:t>
            </w:r>
            <w:r>
              <w:rPr>
                <w:rFonts w:hint="eastAsia"/>
              </w:rPr>
              <w:t>，</w:t>
            </w:r>
            <w:r>
              <w:t>同时满足</w:t>
            </w:r>
            <w:r>
              <w:rPr>
                <w:rFonts w:hint="eastAsia" w:ascii="Times New Roman" w:hAnsi="Times New Roman" w:eastAsia="Times New Roman" w:cs="Times New Roman"/>
                <w:bCs/>
                <w:color w:val="000000" w:themeColor="text1"/>
                <w:kern w:val="0"/>
                <w:sz w:val="24"/>
                <w:highlight w:val="none"/>
                <w:lang w:eastAsia="zh-CN"/>
                <w14:textFill>
                  <w14:solidFill>
                    <w14:schemeClr w14:val="tx1"/>
                  </w14:solidFill>
                </w14:textFill>
              </w:rPr>
              <w:t>汤阴固现污水处理有限公司</w:t>
            </w:r>
            <w:r>
              <w:rPr>
                <w:rFonts w:hint="default" w:ascii="Times New Roman" w:hAnsi="Times New Roman" w:eastAsia="Times New Roman" w:cs="Times New Roman"/>
                <w:color w:val="000000" w:themeColor="text1"/>
                <w:kern w:val="0"/>
                <w:sz w:val="24"/>
                <w:highlight w:val="none"/>
                <w14:textFill>
                  <w14:solidFill>
                    <w14:schemeClr w14:val="tx1"/>
                  </w14:solidFill>
                </w14:textFill>
              </w:rPr>
              <w:t>进水水质要求</w:t>
            </w:r>
            <w:r>
              <w:rPr>
                <w:rFonts w:hint="eastAsia"/>
              </w:rPr>
              <w:t>，</w:t>
            </w:r>
            <w:r>
              <w:t>具体标准值见下表：</w:t>
            </w:r>
          </w:p>
          <w:p w14:paraId="405F2C1E">
            <w:pPr>
              <w:pStyle w:val="56"/>
              <w:numPr>
                <w:ilvl w:val="0"/>
                <w:numId w:val="0"/>
              </w:numPr>
              <w:spacing w:before="120"/>
              <w:ind w:left="3150" w:leftChars="0"/>
              <w:jc w:val="left"/>
            </w:pPr>
            <w:r>
              <w:rPr>
                <w:rFonts w:hint="eastAsia"/>
                <w:lang w:val="en-US" w:eastAsia="zh-CN"/>
              </w:rPr>
              <w:t xml:space="preserve">表21 </w:t>
            </w:r>
            <w:r>
              <w:t>废水执行标准</w:t>
            </w:r>
            <w:r>
              <w:rPr>
                <w:rFonts w:hint="eastAsia"/>
                <w:lang w:val="en-US"/>
              </w:rPr>
              <w:t xml:space="preserve">  单位：</w:t>
            </w:r>
            <w:r>
              <w:rPr>
                <w:bCs/>
                <w:kern w:val="44"/>
              </w:rPr>
              <w:t>mg/L</w:t>
            </w:r>
            <w:r>
              <w:rPr>
                <w:rFonts w:hint="eastAsia"/>
                <w:bCs/>
                <w:kern w:val="44"/>
              </w:rPr>
              <w:t>（</w:t>
            </w:r>
            <w:r>
              <w:rPr>
                <w:rFonts w:hint="eastAsia"/>
                <w:bCs/>
                <w:kern w:val="44"/>
                <w:lang w:val="en-US"/>
              </w:rPr>
              <w:t>pH除外</w:t>
            </w:r>
            <w:r>
              <w:rPr>
                <w:rFonts w:hint="eastAsia"/>
                <w:bCs/>
                <w:kern w:val="44"/>
              </w:rPr>
              <w:t>）</w:t>
            </w:r>
          </w:p>
          <w:tbl>
            <w:tblPr>
              <w:tblStyle w:val="47"/>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6"/>
              <w:gridCol w:w="942"/>
              <w:gridCol w:w="837"/>
              <w:gridCol w:w="837"/>
              <w:gridCol w:w="837"/>
              <w:gridCol w:w="734"/>
              <w:gridCol w:w="819"/>
              <w:gridCol w:w="643"/>
              <w:gridCol w:w="642"/>
            </w:tblGrid>
            <w:tr w14:paraId="7F1C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17" w:type="pct"/>
                  <w:vAlign w:val="center"/>
                </w:tcPr>
                <w:p w14:paraId="7ED6578E">
                  <w:pPr>
                    <w:pStyle w:val="104"/>
                    <w:rPr>
                      <w:rFonts w:hAnsi="Times New Roman"/>
                    </w:rPr>
                  </w:pPr>
                  <w:r>
                    <w:rPr>
                      <w:rFonts w:hAnsi="Times New Roman"/>
                    </w:rPr>
                    <w:t>污染物</w:t>
                  </w:r>
                </w:p>
              </w:tc>
              <w:tc>
                <w:tcPr>
                  <w:tcW w:w="566" w:type="pct"/>
                  <w:vAlign w:val="center"/>
                </w:tcPr>
                <w:p w14:paraId="3B55AF66">
                  <w:pPr>
                    <w:pStyle w:val="104"/>
                    <w:rPr>
                      <w:rFonts w:hAnsi="Times New Roman"/>
                    </w:rPr>
                  </w:pPr>
                  <w:r>
                    <w:rPr>
                      <w:rFonts w:hAnsi="Times New Roman"/>
                    </w:rPr>
                    <w:t>pH</w:t>
                  </w:r>
                </w:p>
              </w:tc>
              <w:tc>
                <w:tcPr>
                  <w:tcW w:w="503" w:type="pct"/>
                  <w:vAlign w:val="center"/>
                </w:tcPr>
                <w:p w14:paraId="17DD39B9">
                  <w:pPr>
                    <w:pStyle w:val="104"/>
                    <w:rPr>
                      <w:rFonts w:hAnsi="Times New Roman"/>
                    </w:rPr>
                  </w:pPr>
                  <w:r>
                    <w:rPr>
                      <w:rFonts w:hAnsi="Times New Roman"/>
                    </w:rPr>
                    <w:t>COD</w:t>
                  </w:r>
                </w:p>
              </w:tc>
              <w:tc>
                <w:tcPr>
                  <w:tcW w:w="503" w:type="pct"/>
                  <w:vAlign w:val="center"/>
                </w:tcPr>
                <w:p w14:paraId="01D686DC">
                  <w:pPr>
                    <w:pStyle w:val="104"/>
                    <w:rPr>
                      <w:rFonts w:hAnsi="Times New Roman"/>
                    </w:rPr>
                  </w:pPr>
                  <w:r>
                    <w:rPr>
                      <w:rFonts w:hAnsi="Times New Roman"/>
                    </w:rPr>
                    <w:t>SS</w:t>
                  </w:r>
                </w:p>
              </w:tc>
              <w:tc>
                <w:tcPr>
                  <w:tcW w:w="503" w:type="pct"/>
                  <w:vAlign w:val="center"/>
                </w:tcPr>
                <w:p w14:paraId="035D8D22">
                  <w:pPr>
                    <w:pStyle w:val="104"/>
                    <w:rPr>
                      <w:rFonts w:hAnsi="Times New Roman"/>
                    </w:rPr>
                  </w:pPr>
                  <w:r>
                    <w:rPr>
                      <w:rFonts w:hAnsi="Times New Roman"/>
                    </w:rPr>
                    <w:t>BOD</w:t>
                  </w:r>
                  <w:r>
                    <w:rPr>
                      <w:rFonts w:hAnsi="Times New Roman"/>
                      <w:vertAlign w:val="subscript"/>
                    </w:rPr>
                    <w:t>5</w:t>
                  </w:r>
                </w:p>
              </w:tc>
              <w:tc>
                <w:tcPr>
                  <w:tcW w:w="441" w:type="pct"/>
                  <w:vAlign w:val="center"/>
                </w:tcPr>
                <w:p w14:paraId="0995D6D5">
                  <w:pPr>
                    <w:pStyle w:val="104"/>
                    <w:rPr>
                      <w:rFonts w:hint="eastAsia" w:hAnsi="Times New Roman" w:eastAsia="宋体"/>
                      <w:lang w:eastAsia="zh-CN"/>
                    </w:rPr>
                  </w:pPr>
                  <w:r>
                    <w:rPr>
                      <w:rFonts w:hint="eastAsia" w:hAnsi="Times New Roman"/>
                      <w:lang w:val="en-US" w:eastAsia="zh-CN"/>
                    </w:rPr>
                    <w:t>氨氮</w:t>
                  </w:r>
                </w:p>
              </w:tc>
              <w:tc>
                <w:tcPr>
                  <w:tcW w:w="492" w:type="pct"/>
                  <w:vAlign w:val="center"/>
                </w:tcPr>
                <w:p w14:paraId="1D36AC0D">
                  <w:pPr>
                    <w:pStyle w:val="104"/>
                    <w:ind w:left="420" w:hanging="420"/>
                    <w:rPr>
                      <w:rFonts w:hAnsi="Times New Roman"/>
                    </w:rPr>
                  </w:pPr>
                  <w:r>
                    <w:rPr>
                      <w:rFonts w:hint="eastAsia" w:hAnsi="Times New Roman"/>
                    </w:rPr>
                    <w:t>TN</w:t>
                  </w:r>
                </w:p>
              </w:tc>
              <w:tc>
                <w:tcPr>
                  <w:tcW w:w="386" w:type="pct"/>
                  <w:vAlign w:val="center"/>
                </w:tcPr>
                <w:p w14:paraId="3E269D41">
                  <w:pPr>
                    <w:pStyle w:val="104"/>
                    <w:rPr>
                      <w:rFonts w:hAnsi="Times New Roman"/>
                    </w:rPr>
                  </w:pPr>
                  <w:r>
                    <w:rPr>
                      <w:rFonts w:hint="eastAsia" w:hAnsi="Times New Roman"/>
                    </w:rPr>
                    <w:t>TP</w:t>
                  </w:r>
                </w:p>
              </w:tc>
              <w:tc>
                <w:tcPr>
                  <w:tcW w:w="385" w:type="pct"/>
                  <w:vAlign w:val="center"/>
                </w:tcPr>
                <w:p w14:paraId="2AFDD4AE">
                  <w:pPr>
                    <w:pStyle w:val="104"/>
                    <w:rPr>
                      <w:rFonts w:hint="eastAsia" w:hAnsi="Times New Roman" w:eastAsia="宋体"/>
                      <w:lang w:val="en-US" w:eastAsia="zh-CN"/>
                    </w:rPr>
                  </w:pPr>
                  <w:r>
                    <w:rPr>
                      <w:rFonts w:hint="eastAsia" w:hAnsi="Times New Roman"/>
                      <w:lang w:val="en-US" w:eastAsia="zh-CN"/>
                    </w:rPr>
                    <w:t>色度</w:t>
                  </w:r>
                </w:p>
              </w:tc>
            </w:tr>
            <w:tr w14:paraId="1430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17" w:type="pct"/>
                  <w:vAlign w:val="center"/>
                </w:tcPr>
                <w:p w14:paraId="49AF77EB">
                  <w:pPr>
                    <w:pStyle w:val="104"/>
                    <w:rPr>
                      <w:rFonts w:hAnsi="Times New Roman"/>
                    </w:rPr>
                  </w:pPr>
                  <w:r>
                    <w:rPr>
                      <w:rFonts w:hint="eastAsia" w:hAnsi="Times New Roman"/>
                    </w:rPr>
                    <w:t>GB</w:t>
                  </w:r>
                  <w:r>
                    <w:rPr>
                      <w:rFonts w:hint="eastAsia" w:hAnsi="Times New Roman"/>
                      <w:lang w:val="en-US" w:eastAsia="zh-CN"/>
                    </w:rPr>
                    <w:t>46817-2025</w:t>
                  </w:r>
                  <w:r>
                    <w:rPr>
                      <w:rFonts w:hint="eastAsia" w:hAnsi="Times New Roman"/>
                    </w:rPr>
                    <w:t>表</w:t>
                  </w:r>
                  <w:r>
                    <w:rPr>
                      <w:rFonts w:hint="eastAsia" w:hAnsi="Times New Roman"/>
                      <w:lang w:val="en-US" w:eastAsia="zh-CN"/>
                    </w:rPr>
                    <w:t>1间接排放</w:t>
                  </w:r>
                  <w:r>
                    <w:rPr>
                      <w:rFonts w:hint="eastAsia" w:hAnsi="Times New Roman"/>
                    </w:rPr>
                    <w:t>标准</w:t>
                  </w:r>
                </w:p>
              </w:tc>
              <w:tc>
                <w:tcPr>
                  <w:tcW w:w="566" w:type="pct"/>
                  <w:vAlign w:val="center"/>
                </w:tcPr>
                <w:p w14:paraId="71F8E831">
                  <w:pPr>
                    <w:pStyle w:val="104"/>
                    <w:rPr>
                      <w:rFonts w:hAnsi="Times New Roman"/>
                    </w:rPr>
                  </w:pPr>
                  <w:r>
                    <w:rPr>
                      <w:rFonts w:hAnsi="Times New Roman"/>
                    </w:rPr>
                    <w:t>6~9</w:t>
                  </w:r>
                </w:p>
              </w:tc>
              <w:tc>
                <w:tcPr>
                  <w:tcW w:w="503" w:type="pct"/>
                  <w:vAlign w:val="center"/>
                </w:tcPr>
                <w:p w14:paraId="1B7605C1">
                  <w:pPr>
                    <w:pStyle w:val="104"/>
                    <w:rPr>
                      <w:rFonts w:hAnsi="Times New Roman"/>
                    </w:rPr>
                  </w:pPr>
                  <w:r>
                    <w:rPr>
                      <w:rFonts w:hAnsi="Times New Roman"/>
                    </w:rPr>
                    <w:t>500</w:t>
                  </w:r>
                </w:p>
              </w:tc>
              <w:tc>
                <w:tcPr>
                  <w:tcW w:w="503" w:type="pct"/>
                  <w:vAlign w:val="center"/>
                </w:tcPr>
                <w:p w14:paraId="00299C67">
                  <w:pPr>
                    <w:pStyle w:val="104"/>
                    <w:rPr>
                      <w:rFonts w:hAnsi="Times New Roman"/>
                    </w:rPr>
                  </w:pPr>
                  <w:r>
                    <w:rPr>
                      <w:rFonts w:hAnsi="Times New Roman"/>
                    </w:rPr>
                    <w:t>400</w:t>
                  </w:r>
                </w:p>
              </w:tc>
              <w:tc>
                <w:tcPr>
                  <w:tcW w:w="503" w:type="pct"/>
                  <w:vAlign w:val="center"/>
                </w:tcPr>
                <w:p w14:paraId="4E3916FB">
                  <w:pPr>
                    <w:pStyle w:val="104"/>
                    <w:rPr>
                      <w:rFonts w:hAnsi="Times New Roman"/>
                    </w:rPr>
                  </w:pPr>
                  <w:r>
                    <w:rPr>
                      <w:rFonts w:hint="eastAsia" w:hAnsi="Times New Roman"/>
                    </w:rPr>
                    <w:t>3</w:t>
                  </w:r>
                  <w:r>
                    <w:rPr>
                      <w:rFonts w:hint="eastAsia" w:hAnsi="Times New Roman"/>
                      <w:lang w:val="en-US" w:eastAsia="zh-CN"/>
                    </w:rPr>
                    <w:t>5</w:t>
                  </w:r>
                  <w:r>
                    <w:rPr>
                      <w:rFonts w:hAnsi="Times New Roman"/>
                    </w:rPr>
                    <w:t>0</w:t>
                  </w:r>
                </w:p>
              </w:tc>
              <w:tc>
                <w:tcPr>
                  <w:tcW w:w="441" w:type="pct"/>
                  <w:vAlign w:val="center"/>
                </w:tcPr>
                <w:p w14:paraId="7E83B628">
                  <w:pPr>
                    <w:pStyle w:val="104"/>
                    <w:rPr>
                      <w:rFonts w:hint="default" w:hAnsi="Times New Roman" w:eastAsia="宋体"/>
                      <w:lang w:val="en-US" w:eastAsia="zh-CN"/>
                    </w:rPr>
                  </w:pPr>
                  <w:r>
                    <w:rPr>
                      <w:rFonts w:hint="eastAsia" w:hAnsi="Times New Roman"/>
                      <w:lang w:val="en-US" w:eastAsia="zh-CN"/>
                    </w:rPr>
                    <w:t>45</w:t>
                  </w:r>
                </w:p>
              </w:tc>
              <w:tc>
                <w:tcPr>
                  <w:tcW w:w="492" w:type="pct"/>
                  <w:vAlign w:val="center"/>
                </w:tcPr>
                <w:p w14:paraId="5B19706F">
                  <w:pPr>
                    <w:pStyle w:val="104"/>
                    <w:rPr>
                      <w:rFonts w:hint="default" w:hAnsi="Times New Roman" w:eastAsia="宋体"/>
                      <w:lang w:val="en-US" w:eastAsia="zh-CN"/>
                    </w:rPr>
                  </w:pPr>
                  <w:r>
                    <w:rPr>
                      <w:rFonts w:hint="eastAsia" w:hAnsi="Times New Roman"/>
                      <w:lang w:val="en-US" w:eastAsia="zh-CN"/>
                    </w:rPr>
                    <w:t>70</w:t>
                  </w:r>
                </w:p>
              </w:tc>
              <w:tc>
                <w:tcPr>
                  <w:tcW w:w="386" w:type="pct"/>
                  <w:vAlign w:val="center"/>
                </w:tcPr>
                <w:p w14:paraId="21F7CF9C">
                  <w:pPr>
                    <w:pStyle w:val="104"/>
                    <w:rPr>
                      <w:rFonts w:hint="default" w:hAnsi="Times New Roman" w:eastAsia="宋体"/>
                      <w:lang w:val="en-US" w:eastAsia="zh-CN"/>
                    </w:rPr>
                  </w:pPr>
                  <w:r>
                    <w:rPr>
                      <w:rFonts w:hint="eastAsia" w:hAnsi="Times New Roman"/>
                      <w:lang w:val="en-US" w:eastAsia="zh-CN"/>
                    </w:rPr>
                    <w:t>8.0</w:t>
                  </w:r>
                </w:p>
              </w:tc>
              <w:tc>
                <w:tcPr>
                  <w:tcW w:w="385" w:type="pct"/>
                  <w:vAlign w:val="center"/>
                </w:tcPr>
                <w:p w14:paraId="3443A8D6">
                  <w:pPr>
                    <w:pStyle w:val="104"/>
                    <w:rPr>
                      <w:rFonts w:hint="default" w:hAnsi="Times New Roman"/>
                      <w:lang w:val="en-US" w:eastAsia="zh-CN"/>
                    </w:rPr>
                  </w:pPr>
                  <w:r>
                    <w:rPr>
                      <w:rFonts w:hint="eastAsia" w:hAnsi="Times New Roman"/>
                      <w:lang w:val="en-US" w:eastAsia="zh-CN"/>
                    </w:rPr>
                    <w:t>100</w:t>
                  </w:r>
                </w:p>
              </w:tc>
            </w:tr>
            <w:tr w14:paraId="02CE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17" w:type="pct"/>
                  <w:vAlign w:val="center"/>
                </w:tcPr>
                <w:p w14:paraId="05711292">
                  <w:pPr>
                    <w:pStyle w:val="104"/>
                    <w:rPr>
                      <w:rFonts w:hAnsi="Times New Roman"/>
                    </w:rPr>
                  </w:pPr>
                  <w:r>
                    <w:rPr>
                      <w:rFonts w:hint="eastAsia" w:hAnsi="Times New Roman"/>
                      <w:lang w:eastAsia="zh-CN"/>
                    </w:rPr>
                    <w:t>汤阴固现污水处理有限公司</w:t>
                  </w:r>
                </w:p>
              </w:tc>
              <w:tc>
                <w:tcPr>
                  <w:tcW w:w="566" w:type="pct"/>
                  <w:vAlign w:val="center"/>
                </w:tcPr>
                <w:p w14:paraId="160A9D3F">
                  <w:pPr>
                    <w:pStyle w:val="104"/>
                    <w:rPr>
                      <w:rFonts w:hAnsi="Times New Roman"/>
                    </w:rPr>
                  </w:pPr>
                  <w:r>
                    <w:rPr>
                      <w:rFonts w:hAnsi="Times New Roman"/>
                    </w:rPr>
                    <w:t>6~9</w:t>
                  </w:r>
                </w:p>
              </w:tc>
              <w:tc>
                <w:tcPr>
                  <w:tcW w:w="503" w:type="pct"/>
                  <w:vAlign w:val="center"/>
                </w:tcPr>
                <w:p w14:paraId="33A09BF5">
                  <w:pPr>
                    <w:pStyle w:val="104"/>
                    <w:rPr>
                      <w:rFonts w:hint="default" w:hAnsi="Times New Roman" w:eastAsia="宋体"/>
                      <w:lang w:val="en-US" w:eastAsia="zh-CN"/>
                    </w:rPr>
                  </w:pPr>
                  <w:r>
                    <w:rPr>
                      <w:rFonts w:hint="eastAsia" w:hAnsi="Times New Roman"/>
                      <w:lang w:val="en-US" w:eastAsia="zh-CN"/>
                    </w:rPr>
                    <w:t>390</w:t>
                  </w:r>
                </w:p>
              </w:tc>
              <w:tc>
                <w:tcPr>
                  <w:tcW w:w="503" w:type="pct"/>
                  <w:vAlign w:val="center"/>
                </w:tcPr>
                <w:p w14:paraId="4276A53D">
                  <w:pPr>
                    <w:pStyle w:val="104"/>
                    <w:rPr>
                      <w:rFonts w:hint="default" w:hAnsi="Times New Roman" w:eastAsia="宋体"/>
                      <w:lang w:val="en-US" w:eastAsia="zh-CN"/>
                    </w:rPr>
                  </w:pPr>
                  <w:r>
                    <w:rPr>
                      <w:rFonts w:hint="eastAsia" w:hAnsi="Times New Roman"/>
                      <w:lang w:val="en-US" w:eastAsia="zh-CN"/>
                    </w:rPr>
                    <w:t>210</w:t>
                  </w:r>
                </w:p>
              </w:tc>
              <w:tc>
                <w:tcPr>
                  <w:tcW w:w="503" w:type="pct"/>
                  <w:vAlign w:val="center"/>
                </w:tcPr>
                <w:p w14:paraId="4F90A2C4">
                  <w:pPr>
                    <w:pStyle w:val="104"/>
                    <w:rPr>
                      <w:rFonts w:hint="default" w:hAnsi="Times New Roman" w:eastAsia="宋体"/>
                      <w:lang w:val="en-US" w:eastAsia="zh-CN"/>
                    </w:rPr>
                  </w:pPr>
                  <w:r>
                    <w:rPr>
                      <w:rFonts w:hint="eastAsia" w:hAnsi="Times New Roman"/>
                      <w:lang w:val="en-US" w:eastAsia="zh-CN"/>
                    </w:rPr>
                    <w:t>190</w:t>
                  </w:r>
                </w:p>
              </w:tc>
              <w:tc>
                <w:tcPr>
                  <w:tcW w:w="441" w:type="pct"/>
                  <w:vAlign w:val="center"/>
                </w:tcPr>
                <w:p w14:paraId="32CBDD07">
                  <w:pPr>
                    <w:pStyle w:val="104"/>
                    <w:rPr>
                      <w:rFonts w:hAnsi="Times New Roman"/>
                    </w:rPr>
                  </w:pPr>
                  <w:r>
                    <w:rPr>
                      <w:rFonts w:hint="eastAsia" w:hAnsi="Times New Roman"/>
                      <w:lang w:val="en-US" w:eastAsia="zh-CN"/>
                    </w:rPr>
                    <w:t>3</w:t>
                  </w:r>
                  <w:r>
                    <w:rPr>
                      <w:rFonts w:hAnsi="Times New Roman"/>
                    </w:rPr>
                    <w:t>5</w:t>
                  </w:r>
                </w:p>
              </w:tc>
              <w:tc>
                <w:tcPr>
                  <w:tcW w:w="492" w:type="pct"/>
                  <w:vAlign w:val="center"/>
                </w:tcPr>
                <w:p w14:paraId="15780581">
                  <w:pPr>
                    <w:pStyle w:val="104"/>
                    <w:rPr>
                      <w:rFonts w:hint="eastAsia" w:hAnsi="Times New Roman" w:eastAsia="宋体"/>
                      <w:lang w:eastAsia="zh-CN"/>
                    </w:rPr>
                  </w:pPr>
                  <w:r>
                    <w:rPr>
                      <w:rFonts w:hint="eastAsia" w:hAnsi="Times New Roman"/>
                      <w:lang w:val="en-US" w:eastAsia="zh-CN"/>
                    </w:rPr>
                    <w:t>/</w:t>
                  </w:r>
                </w:p>
              </w:tc>
              <w:tc>
                <w:tcPr>
                  <w:tcW w:w="386" w:type="pct"/>
                  <w:vAlign w:val="center"/>
                </w:tcPr>
                <w:p w14:paraId="51070EF5">
                  <w:pPr>
                    <w:pStyle w:val="104"/>
                    <w:rPr>
                      <w:rFonts w:hAnsi="Times New Roman"/>
                    </w:rPr>
                  </w:pPr>
                  <w:r>
                    <w:rPr>
                      <w:rFonts w:hAnsi="Times New Roman"/>
                    </w:rPr>
                    <w:t>5</w:t>
                  </w:r>
                </w:p>
              </w:tc>
              <w:tc>
                <w:tcPr>
                  <w:tcW w:w="385" w:type="pct"/>
                  <w:vAlign w:val="center"/>
                </w:tcPr>
                <w:p w14:paraId="7F0D2352">
                  <w:pPr>
                    <w:pStyle w:val="104"/>
                    <w:rPr>
                      <w:rFonts w:hint="eastAsia" w:hAnsi="Times New Roman" w:eastAsia="宋体"/>
                      <w:lang w:val="en-US" w:eastAsia="zh-CN"/>
                    </w:rPr>
                  </w:pPr>
                  <w:r>
                    <w:rPr>
                      <w:rFonts w:hint="eastAsia" w:hAnsi="Times New Roman"/>
                      <w:lang w:val="en-US" w:eastAsia="zh-CN"/>
                    </w:rPr>
                    <w:t>/</w:t>
                  </w:r>
                </w:p>
              </w:tc>
            </w:tr>
          </w:tbl>
          <w:p w14:paraId="1AB48251">
            <w:pPr>
              <w:pStyle w:val="261"/>
              <w:ind w:firstLine="240"/>
            </w:pPr>
            <w:r>
              <w:t>3、噪声</w:t>
            </w:r>
          </w:p>
          <w:p w14:paraId="5D959D6B">
            <w:pPr>
              <w:pStyle w:val="144"/>
            </w:pPr>
            <w:r>
              <w:t>运营期厂界噪声执行</w:t>
            </w:r>
            <w:r>
              <w:rPr>
                <w:rFonts w:hint="eastAsia"/>
              </w:rPr>
              <w:t>《</w:t>
            </w:r>
            <w:r>
              <w:t>工业企业厂界环境噪声排放标准</w:t>
            </w:r>
            <w:r>
              <w:rPr>
                <w:rFonts w:hint="eastAsia"/>
              </w:rPr>
              <w:t>》</w:t>
            </w:r>
            <w:r>
              <w:t>（GB12348-2008）3类排放标准</w:t>
            </w:r>
            <w:r>
              <w:rPr>
                <w:rFonts w:hint="eastAsia"/>
              </w:rPr>
              <w:t>，</w:t>
            </w:r>
            <w:r>
              <w:t>具体排放限值见下表。</w:t>
            </w:r>
          </w:p>
          <w:p w14:paraId="67211C67">
            <w:pPr>
              <w:pStyle w:val="56"/>
              <w:keepNext w:val="0"/>
              <w:keepLines w:val="0"/>
              <w:pageBreakBefore w:val="0"/>
              <w:widowControl w:val="0"/>
              <w:numPr>
                <w:ilvl w:val="0"/>
                <w:numId w:val="0"/>
              </w:numPr>
              <w:kinsoku/>
              <w:wordWrap/>
              <w:overflowPunct/>
              <w:topLinePunct w:val="0"/>
              <w:autoSpaceDE w:val="0"/>
              <w:autoSpaceDN w:val="0"/>
              <w:bidi w:val="0"/>
              <w:adjustRightInd w:val="0"/>
              <w:snapToGrid w:val="0"/>
              <w:spacing w:before="0"/>
              <w:ind w:left="210" w:leftChars="0"/>
              <w:jc w:val="both"/>
              <w:textAlignment w:val="auto"/>
            </w:pPr>
            <w:r>
              <w:rPr>
                <w:rFonts w:hint="eastAsia"/>
                <w:lang w:val="en-US" w:eastAsia="zh-CN"/>
              </w:rPr>
              <w:t xml:space="preserve">表22   </w:t>
            </w:r>
            <w:r>
              <w:rPr>
                <w:rFonts w:hint="eastAsia"/>
              </w:rPr>
              <w:t>《</w:t>
            </w:r>
            <w:r>
              <w:t>工业企业厂界环境噪声排放标准</w:t>
            </w:r>
            <w:r>
              <w:rPr>
                <w:rFonts w:hint="eastAsia"/>
              </w:rPr>
              <w:t>》</w:t>
            </w:r>
            <w:r>
              <w:t>（GB12348-2008）</w:t>
            </w:r>
            <w:r>
              <w:rPr>
                <w:rFonts w:hint="eastAsia"/>
                <w:lang w:val="en-US"/>
              </w:rPr>
              <w:t xml:space="preserve">  单位：dB（A）</w:t>
            </w:r>
          </w:p>
          <w:tbl>
            <w:tblPr>
              <w:tblStyle w:val="4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1"/>
              <w:gridCol w:w="2792"/>
              <w:gridCol w:w="2794"/>
            </w:tblGrid>
            <w:tr w14:paraId="3494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666" w:type="pct"/>
                  <w:vAlign w:val="center"/>
                </w:tcPr>
                <w:p w14:paraId="21696481">
                  <w:pPr>
                    <w:pStyle w:val="104"/>
                    <w:rPr>
                      <w:rFonts w:hAnsi="Times New Roman"/>
                    </w:rPr>
                  </w:pPr>
                  <w:r>
                    <w:rPr>
                      <w:rFonts w:hAnsi="Times New Roman"/>
                    </w:rPr>
                    <w:t>区域类别</w:t>
                  </w:r>
                </w:p>
              </w:tc>
              <w:tc>
                <w:tcPr>
                  <w:tcW w:w="1666" w:type="pct"/>
                  <w:vAlign w:val="center"/>
                </w:tcPr>
                <w:p w14:paraId="146AEA9D">
                  <w:pPr>
                    <w:pStyle w:val="104"/>
                    <w:rPr>
                      <w:rFonts w:hAnsi="Times New Roman"/>
                    </w:rPr>
                  </w:pPr>
                  <w:r>
                    <w:rPr>
                      <w:rFonts w:hAnsi="Times New Roman"/>
                    </w:rPr>
                    <w:t>昼间</w:t>
                  </w:r>
                </w:p>
              </w:tc>
              <w:tc>
                <w:tcPr>
                  <w:tcW w:w="1667" w:type="pct"/>
                  <w:vAlign w:val="center"/>
                </w:tcPr>
                <w:p w14:paraId="313D694B">
                  <w:pPr>
                    <w:pStyle w:val="104"/>
                    <w:rPr>
                      <w:rFonts w:hAnsi="Times New Roman"/>
                    </w:rPr>
                  </w:pPr>
                  <w:r>
                    <w:rPr>
                      <w:rFonts w:hAnsi="Times New Roman"/>
                    </w:rPr>
                    <w:t>夜间</w:t>
                  </w:r>
                </w:p>
              </w:tc>
            </w:tr>
            <w:tr w14:paraId="12E0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666" w:type="pct"/>
                  <w:vAlign w:val="center"/>
                </w:tcPr>
                <w:p w14:paraId="044591F4">
                  <w:pPr>
                    <w:pStyle w:val="104"/>
                    <w:rPr>
                      <w:rFonts w:hAnsi="Times New Roman"/>
                    </w:rPr>
                  </w:pPr>
                  <w:r>
                    <w:rPr>
                      <w:rFonts w:hAnsi="Times New Roman"/>
                    </w:rPr>
                    <w:t>3类</w:t>
                  </w:r>
                </w:p>
              </w:tc>
              <w:tc>
                <w:tcPr>
                  <w:tcW w:w="1666" w:type="pct"/>
                  <w:vAlign w:val="center"/>
                </w:tcPr>
                <w:p w14:paraId="401B854C">
                  <w:pPr>
                    <w:pStyle w:val="104"/>
                    <w:rPr>
                      <w:rFonts w:hAnsi="Times New Roman"/>
                    </w:rPr>
                  </w:pPr>
                  <w:r>
                    <w:rPr>
                      <w:rFonts w:hAnsi="Times New Roman"/>
                    </w:rPr>
                    <w:t>65</w:t>
                  </w:r>
                </w:p>
              </w:tc>
              <w:tc>
                <w:tcPr>
                  <w:tcW w:w="1667" w:type="pct"/>
                  <w:vAlign w:val="center"/>
                </w:tcPr>
                <w:p w14:paraId="2B149134">
                  <w:pPr>
                    <w:pStyle w:val="104"/>
                    <w:rPr>
                      <w:rFonts w:hAnsi="Times New Roman"/>
                    </w:rPr>
                  </w:pPr>
                  <w:r>
                    <w:rPr>
                      <w:rFonts w:hAnsi="Times New Roman"/>
                    </w:rPr>
                    <w:t>55</w:t>
                  </w:r>
                </w:p>
              </w:tc>
            </w:tr>
          </w:tbl>
          <w:p w14:paraId="31A42684">
            <w:pPr>
              <w:pStyle w:val="261"/>
              <w:ind w:firstLine="240"/>
            </w:pPr>
            <w:r>
              <w:t>4、固废</w:t>
            </w:r>
          </w:p>
          <w:p w14:paraId="31766E84">
            <w:pPr>
              <w:pStyle w:val="144"/>
            </w:pPr>
            <w:r>
              <w:t>一般固体废物排放执行</w:t>
            </w:r>
            <w:r>
              <w:rPr>
                <w:rFonts w:hint="eastAsia"/>
              </w:rPr>
              <w:t>《</w:t>
            </w:r>
            <w:r>
              <w:t>中华人民共和国固体废物污染环境防治法</w:t>
            </w:r>
            <w:r>
              <w:rPr>
                <w:rFonts w:hint="eastAsia"/>
              </w:rPr>
              <w:t>》</w:t>
            </w:r>
            <w:r>
              <w:t>和</w:t>
            </w:r>
            <w:r>
              <w:rPr>
                <w:rFonts w:hint="eastAsia"/>
              </w:rPr>
              <w:t>《</w:t>
            </w:r>
            <w:r>
              <w:t>一般工业固体废物贮存和填埋污染控制标准</w:t>
            </w:r>
            <w:r>
              <w:rPr>
                <w:rFonts w:hint="eastAsia"/>
              </w:rPr>
              <w:t>》</w:t>
            </w:r>
            <w:r>
              <w:t>（GB18599-2020）中的有关规定。</w:t>
            </w:r>
          </w:p>
          <w:p w14:paraId="1C808F19">
            <w:pPr>
              <w:pStyle w:val="144"/>
              <w:rPr>
                <w:szCs w:val="21"/>
              </w:rPr>
            </w:pPr>
          </w:p>
        </w:tc>
      </w:tr>
      <w:tr w14:paraId="200BED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499" w:type="dxa"/>
            <w:vAlign w:val="center"/>
          </w:tcPr>
          <w:p w14:paraId="6F6A2F3A">
            <w:pPr>
              <w:adjustRightInd w:val="0"/>
              <w:snapToGrid w:val="0"/>
              <w:jc w:val="center"/>
              <w:rPr>
                <w:kern w:val="0"/>
                <w:szCs w:val="21"/>
              </w:rPr>
            </w:pPr>
            <w:r>
              <w:rPr>
                <w:kern w:val="0"/>
                <w:szCs w:val="21"/>
              </w:rPr>
              <w:t>总量</w:t>
            </w:r>
          </w:p>
          <w:p w14:paraId="6457F478">
            <w:pPr>
              <w:adjustRightInd w:val="0"/>
              <w:snapToGrid w:val="0"/>
              <w:jc w:val="center"/>
              <w:rPr>
                <w:kern w:val="0"/>
                <w:szCs w:val="21"/>
              </w:rPr>
            </w:pPr>
            <w:r>
              <w:rPr>
                <w:kern w:val="0"/>
                <w:szCs w:val="21"/>
              </w:rPr>
              <w:t>控制</w:t>
            </w:r>
          </w:p>
          <w:p w14:paraId="260992C3">
            <w:pPr>
              <w:adjustRightInd w:val="0"/>
              <w:snapToGrid w:val="0"/>
              <w:jc w:val="center"/>
              <w:rPr>
                <w:kern w:val="0"/>
                <w:szCs w:val="21"/>
              </w:rPr>
            </w:pPr>
            <w:r>
              <w:rPr>
                <w:kern w:val="0"/>
                <w:szCs w:val="21"/>
              </w:rPr>
              <w:t>指标</w:t>
            </w:r>
          </w:p>
        </w:tc>
        <w:tc>
          <w:tcPr>
            <w:tcW w:w="8491" w:type="dxa"/>
            <w:vAlign w:val="center"/>
          </w:tcPr>
          <w:p w14:paraId="2EF3731C">
            <w:pPr>
              <w:pStyle w:val="100"/>
              <w:rPr>
                <w:rFonts w:ascii="Times New Roman" w:hAnsi="Times New Roman" w:eastAsia="宋体" w:cs="Times New Roman"/>
                <w:b w:val="0"/>
                <w:bCs w:val="0"/>
                <w:u w:val="none"/>
              </w:rPr>
            </w:pPr>
            <w:r>
              <w:rPr>
                <w:rFonts w:hint="eastAsia" w:ascii="Times New Roman" w:hAnsi="Times New Roman" w:eastAsia="宋体" w:cs="Times New Roman"/>
                <w:b w:val="0"/>
                <w:bCs w:val="0"/>
                <w:u w:val="none"/>
              </w:rPr>
              <w:t>根据《“十五五”污染减排工作方案编制技术指南》(环办综合函(2025) 184号)、《河南省生态环境厅关于加强建设项目主要污染物排放总量指标管理工作的通知》等要求，“十五五”建设项目总量控制因子六项：COD、总磷、氮氧化物、挥发性有机物、二氧化硫、颗粒物。</w:t>
            </w:r>
          </w:p>
          <w:p w14:paraId="1F228CC5">
            <w:pPr>
              <w:pStyle w:val="100"/>
              <w:rPr>
                <w:rFonts w:hint="default" w:ascii="Times New Roman" w:hAnsi="Times New Roman" w:eastAsia="宋体" w:cs="Times New Roman"/>
                <w:b w:val="0"/>
                <w:bCs w:val="0"/>
                <w:u w:val="none"/>
                <w:lang w:val="en-US" w:eastAsia="zh-CN"/>
              </w:rPr>
            </w:pPr>
            <w:r>
              <w:rPr>
                <w:rFonts w:ascii="Times New Roman" w:hAnsi="Times New Roman" w:eastAsia="宋体" w:cs="Times New Roman"/>
                <w:b w:val="0"/>
                <w:bCs w:val="0"/>
                <w:u w:val="none"/>
              </w:rPr>
              <w:t>本项目</w:t>
            </w:r>
            <w:r>
              <w:rPr>
                <w:rFonts w:hint="eastAsia" w:ascii="Times New Roman" w:hAnsi="Times New Roman" w:eastAsia="宋体" w:cs="Times New Roman"/>
                <w:b w:val="0"/>
                <w:bCs w:val="0"/>
                <w:u w:val="none"/>
              </w:rPr>
              <w:t>新增废水污染物出厂区排放量：COD：</w:t>
            </w:r>
            <w:r>
              <w:rPr>
                <w:rFonts w:hint="eastAsia" w:ascii="Times New Roman" w:hAnsi="Times New Roman" w:eastAsia="宋体" w:cs="Times New Roman"/>
                <w:b w:val="0"/>
                <w:bCs w:val="0"/>
                <w:u w:val="none"/>
                <w:lang w:val="en-US" w:eastAsia="zh-CN"/>
              </w:rPr>
              <w:t>0.</w:t>
            </w:r>
            <w:r>
              <w:rPr>
                <w:rFonts w:hint="eastAsia" w:cs="Times New Roman"/>
                <w:b w:val="0"/>
                <w:bCs w:val="0"/>
                <w:u w:val="none"/>
                <w:lang w:val="en-US" w:eastAsia="zh-CN"/>
              </w:rPr>
              <w:t>6318</w:t>
            </w:r>
            <w:r>
              <w:rPr>
                <w:rFonts w:hint="eastAsia" w:ascii="Times New Roman" w:hAnsi="Times New Roman" w:eastAsia="宋体" w:cs="Times New Roman"/>
                <w:b w:val="0"/>
                <w:bCs w:val="0"/>
                <w:u w:val="none"/>
              </w:rPr>
              <w:t>t/a、</w:t>
            </w:r>
            <w:r>
              <w:rPr>
                <w:rFonts w:hint="eastAsia" w:cs="Times New Roman"/>
                <w:b w:val="0"/>
                <w:bCs w:val="0"/>
                <w:u w:val="none"/>
                <w:lang w:val="en-US" w:eastAsia="zh-CN"/>
              </w:rPr>
              <w:t>总磷</w:t>
            </w:r>
            <w:r>
              <w:rPr>
                <w:rFonts w:hint="eastAsia" w:ascii="Times New Roman" w:hAnsi="Times New Roman" w:eastAsia="宋体" w:cs="Times New Roman"/>
                <w:b w:val="0"/>
                <w:bCs w:val="0"/>
                <w:u w:val="none"/>
              </w:rPr>
              <w:t>:</w:t>
            </w:r>
            <w:r>
              <w:rPr>
                <w:rFonts w:hint="eastAsia" w:ascii="Times New Roman" w:hAnsi="Times New Roman" w:eastAsia="宋体" w:cs="Times New Roman"/>
                <w:b w:val="0"/>
                <w:bCs w:val="0"/>
                <w:u w:val="none"/>
                <w:lang w:val="en-US" w:eastAsia="zh-CN"/>
              </w:rPr>
              <w:t>0.0</w:t>
            </w:r>
            <w:r>
              <w:rPr>
                <w:rFonts w:hint="eastAsia" w:cs="Times New Roman"/>
                <w:b w:val="0"/>
                <w:bCs w:val="0"/>
                <w:u w:val="none"/>
                <w:lang w:val="en-US" w:eastAsia="zh-CN"/>
              </w:rPr>
              <w:t>104</w:t>
            </w:r>
            <w:r>
              <w:rPr>
                <w:rFonts w:hint="eastAsia" w:ascii="Times New Roman" w:hAnsi="Times New Roman" w:eastAsia="宋体" w:cs="Times New Roman"/>
                <w:b w:val="0"/>
                <w:bCs w:val="0"/>
                <w:u w:val="none"/>
              </w:rPr>
              <w:t>t/a</w:t>
            </w:r>
            <w:r>
              <w:rPr>
                <w:rFonts w:hint="eastAsia" w:ascii="Times New Roman" w:hAnsi="Times New Roman" w:eastAsia="宋体" w:cs="Times New Roman"/>
                <w:b w:val="0"/>
                <w:bCs w:val="0"/>
                <w:u w:val="none"/>
                <w:lang w:eastAsia="zh-CN"/>
              </w:rPr>
              <w:t>，</w:t>
            </w:r>
            <w:r>
              <w:rPr>
                <w:rFonts w:hint="eastAsia" w:ascii="Times New Roman" w:hAnsi="Times New Roman" w:eastAsia="宋体" w:cs="Times New Roman"/>
                <w:b w:val="0"/>
                <w:bCs w:val="0"/>
                <w:u w:val="none"/>
              </w:rPr>
              <w:t>出污水处理厂排放量：COD：</w:t>
            </w:r>
            <w:r>
              <w:rPr>
                <w:rFonts w:hint="eastAsia" w:ascii="Times New Roman" w:hAnsi="Times New Roman" w:eastAsia="宋体" w:cs="Times New Roman"/>
                <w:b w:val="0"/>
                <w:bCs w:val="0"/>
                <w:u w:val="none"/>
                <w:lang w:val="en-US" w:eastAsia="zh-CN"/>
              </w:rPr>
              <w:t>0.</w:t>
            </w:r>
            <w:r>
              <w:rPr>
                <w:rFonts w:hint="eastAsia" w:cs="Times New Roman"/>
                <w:b w:val="0"/>
                <w:bCs w:val="0"/>
                <w:u w:val="none"/>
                <w:lang w:val="en-US" w:eastAsia="zh-CN"/>
              </w:rPr>
              <w:t>106</w:t>
            </w:r>
            <w:r>
              <w:rPr>
                <w:rFonts w:hint="eastAsia" w:ascii="Times New Roman" w:hAnsi="Times New Roman" w:eastAsia="宋体" w:cs="Times New Roman"/>
                <w:b w:val="0"/>
                <w:bCs w:val="0"/>
                <w:u w:val="none"/>
              </w:rPr>
              <w:t>t/a、</w:t>
            </w:r>
            <w:r>
              <w:rPr>
                <w:rFonts w:hint="eastAsia" w:cs="Times New Roman"/>
                <w:b w:val="0"/>
                <w:bCs w:val="0"/>
                <w:u w:val="none"/>
                <w:lang w:val="en-US" w:eastAsia="zh-CN"/>
              </w:rPr>
              <w:t>总磷</w:t>
            </w:r>
            <w:r>
              <w:rPr>
                <w:rFonts w:hint="eastAsia" w:ascii="Times New Roman" w:hAnsi="Times New Roman" w:eastAsia="宋体" w:cs="Times New Roman"/>
                <w:b w:val="0"/>
                <w:bCs w:val="0"/>
                <w:u w:val="none"/>
              </w:rPr>
              <w:t>：0.</w:t>
            </w:r>
            <w:r>
              <w:rPr>
                <w:rFonts w:hint="eastAsia" w:ascii="Times New Roman" w:hAnsi="Times New Roman" w:eastAsia="宋体" w:cs="Times New Roman"/>
                <w:b w:val="0"/>
                <w:bCs w:val="0"/>
                <w:u w:val="none"/>
                <w:lang w:val="en-US" w:eastAsia="zh-CN"/>
              </w:rPr>
              <w:t>001</w:t>
            </w:r>
            <w:r>
              <w:rPr>
                <w:rFonts w:hint="eastAsia" w:ascii="Times New Roman" w:hAnsi="Times New Roman" w:eastAsia="宋体" w:cs="Times New Roman"/>
                <w:b w:val="0"/>
                <w:bCs w:val="0"/>
                <w:u w:val="none"/>
              </w:rPr>
              <w:t>t/a；新增废气颗粒物</w:t>
            </w:r>
            <w:r>
              <w:rPr>
                <w:rFonts w:hint="eastAsia" w:cs="Times New Roman"/>
                <w:b w:val="0"/>
                <w:bCs w:val="0"/>
                <w:u w:val="none"/>
                <w:lang w:val="en-US" w:eastAsia="zh-CN"/>
              </w:rPr>
              <w:t>排放量</w:t>
            </w:r>
            <w:r>
              <w:rPr>
                <w:rFonts w:hint="eastAsia" w:ascii="Times New Roman" w:hAnsi="Times New Roman" w:eastAsia="宋体" w:cs="Times New Roman"/>
                <w:b w:val="0"/>
                <w:bCs w:val="0"/>
                <w:u w:val="none"/>
                <w:lang w:val="en-US" w:eastAsia="zh-CN"/>
              </w:rPr>
              <w:t>0.01</w:t>
            </w:r>
            <w:r>
              <w:rPr>
                <w:rFonts w:hint="eastAsia" w:cs="Times New Roman"/>
                <w:b w:val="0"/>
                <w:bCs w:val="0"/>
                <w:u w:val="none"/>
                <w:lang w:val="en-US" w:eastAsia="zh-CN"/>
              </w:rPr>
              <w:t>3</w:t>
            </w:r>
            <w:r>
              <w:rPr>
                <w:rFonts w:hint="eastAsia" w:ascii="Times New Roman" w:hAnsi="Times New Roman" w:eastAsia="宋体" w:cs="Times New Roman"/>
                <w:b w:val="0"/>
                <w:bCs w:val="0"/>
                <w:u w:val="none"/>
              </w:rPr>
              <w:t>t/a</w:t>
            </w:r>
            <w:r>
              <w:rPr>
                <w:rFonts w:hint="eastAsia" w:cs="Times New Roman"/>
                <w:b w:val="0"/>
                <w:bCs w:val="0"/>
                <w:u w:val="none"/>
                <w:lang w:eastAsia="zh-CN"/>
              </w:rPr>
              <w:t>、</w:t>
            </w:r>
            <w:r>
              <w:rPr>
                <w:rFonts w:hint="eastAsia" w:cs="Times New Roman"/>
                <w:b w:val="0"/>
                <w:bCs w:val="0"/>
                <w:u w:val="none"/>
                <w:lang w:val="en-US" w:eastAsia="zh-CN"/>
              </w:rPr>
              <w:t>二氧化硫排放量0.021t/a、氮氧化物排放量0.125t/a。</w:t>
            </w:r>
          </w:p>
          <w:p w14:paraId="204D44AC">
            <w:pPr>
              <w:pStyle w:val="100"/>
              <w:rPr>
                <w:rFonts w:hint="eastAsia" w:cs="Times New Roman"/>
                <w:b w:val="0"/>
                <w:bCs w:val="0"/>
                <w:u w:val="none"/>
                <w:lang w:val="en-US" w:eastAsia="zh-CN"/>
              </w:rPr>
            </w:pPr>
            <w:r>
              <w:rPr>
                <w:b w:val="0"/>
                <w:bCs w:val="0"/>
                <w:u w:val="none"/>
              </w:rPr>
              <w:t>根据《建设项目主要污染物排放总量指标审核及管理暂行办法》（环发〔2014〕197号）要求，</w:t>
            </w:r>
            <w:r>
              <w:rPr>
                <w:rFonts w:hint="eastAsia"/>
                <w:b w:val="0"/>
                <w:bCs w:val="0"/>
                <w:u w:val="none"/>
              </w:rPr>
              <w:t>区域</w:t>
            </w:r>
            <w:r>
              <w:rPr>
                <w:b w:val="0"/>
                <w:bCs w:val="0"/>
                <w:u w:val="none"/>
              </w:rPr>
              <w:t>大气环境为不达标区，新增大气主要污染物需进行倍量替代</w:t>
            </w:r>
            <w:r>
              <w:rPr>
                <w:rFonts w:hint="eastAsia"/>
                <w:b w:val="0"/>
                <w:bCs w:val="0"/>
                <w:u w:val="none"/>
                <w:lang w:eastAsia="zh-CN"/>
              </w:rPr>
              <w:t>，</w:t>
            </w:r>
            <w:r>
              <w:rPr>
                <w:rFonts w:hint="eastAsia"/>
                <w:b w:val="0"/>
                <w:bCs w:val="0"/>
                <w:u w:val="none"/>
                <w:lang w:val="en-US" w:eastAsia="zh-CN"/>
              </w:rPr>
              <w:t>故本项目</w:t>
            </w:r>
            <w:r>
              <w:rPr>
                <w:b w:val="0"/>
                <w:bCs w:val="0"/>
                <w:spacing w:val="8"/>
                <w:u w:val="none"/>
              </w:rPr>
              <w:t>颗粒物</w:t>
            </w:r>
            <w:r>
              <w:rPr>
                <w:rFonts w:hint="eastAsia"/>
                <w:b w:val="0"/>
                <w:bCs w:val="0"/>
                <w:kern w:val="0"/>
                <w:u w:val="none"/>
                <w:lang w:val="en-US" w:eastAsia="zh-CN"/>
              </w:rPr>
              <w:t>排放</w:t>
            </w:r>
            <w:r>
              <w:rPr>
                <w:b w:val="0"/>
                <w:bCs w:val="0"/>
                <w:kern w:val="0"/>
                <w:u w:val="none"/>
              </w:rPr>
              <w:t>量为</w:t>
            </w:r>
            <w:r>
              <w:rPr>
                <w:rFonts w:hint="eastAsia"/>
                <w:b w:val="0"/>
                <w:bCs w:val="0"/>
                <w:kern w:val="0"/>
                <w:u w:val="none"/>
              </w:rPr>
              <w:t>0.</w:t>
            </w:r>
            <w:r>
              <w:rPr>
                <w:rFonts w:hint="eastAsia"/>
                <w:b w:val="0"/>
                <w:bCs w:val="0"/>
                <w:kern w:val="0"/>
                <w:u w:val="none"/>
                <w:lang w:val="en-US" w:eastAsia="zh-CN"/>
              </w:rPr>
              <w:t>026</w:t>
            </w:r>
            <w:r>
              <w:rPr>
                <w:b w:val="0"/>
                <w:bCs w:val="0"/>
                <w:kern w:val="0"/>
                <w:u w:val="none"/>
              </w:rPr>
              <w:t>t/a</w:t>
            </w:r>
            <w:r>
              <w:rPr>
                <w:rFonts w:hint="eastAsia"/>
                <w:b w:val="0"/>
                <w:bCs w:val="0"/>
                <w:kern w:val="0"/>
                <w:u w:val="none"/>
                <w:lang w:eastAsia="zh-CN"/>
              </w:rPr>
              <w:t>、</w:t>
            </w:r>
            <w:r>
              <w:rPr>
                <w:rFonts w:hint="eastAsia" w:cs="Times New Roman"/>
                <w:b w:val="0"/>
                <w:bCs w:val="0"/>
                <w:u w:val="none"/>
                <w:lang w:val="en-US" w:eastAsia="zh-CN"/>
              </w:rPr>
              <w:t>二氧化硫排放量0.042t/a、氮氧化物排放量0.25t/a。</w:t>
            </w:r>
          </w:p>
          <w:p w14:paraId="77746AE9">
            <w:pPr>
              <w:keepNext w:val="0"/>
              <w:keepLines w:val="0"/>
              <w:pageBreakBefore w:val="0"/>
              <w:widowControl w:val="0"/>
              <w:kinsoku/>
              <w:wordWrap/>
              <w:overflowPunct/>
              <w:topLinePunct w:val="0"/>
              <w:autoSpaceDE/>
              <w:autoSpaceDN/>
              <w:bidi w:val="0"/>
              <w:adjustRightInd w:val="0"/>
              <w:snapToGrid w:val="0"/>
              <w:spacing w:line="360" w:lineRule="auto"/>
              <w:ind w:firstLineChars="200"/>
              <w:jc w:val="left"/>
              <w:textAlignment w:val="auto"/>
              <w:rPr>
                <w:kern w:val="0"/>
              </w:rPr>
            </w:pPr>
            <w:r>
              <w:rPr>
                <w:rFonts w:hint="eastAsia" w:cs="Times New Roman"/>
                <w:sz w:val="24"/>
                <w:lang w:val="en-US" w:eastAsia="zh-CN"/>
              </w:rPr>
              <w:t>根据《</w:t>
            </w:r>
            <w:r>
              <w:rPr>
                <w:rFonts w:hint="eastAsia" w:ascii="Times New Roman" w:hAnsi="Times New Roman" w:cs="Times New Roman"/>
                <w:sz w:val="24"/>
              </w:rPr>
              <w:t>安阳市岳家酱食品有限公司豆制品深加工项目</w:t>
            </w:r>
            <w:r>
              <w:rPr>
                <w:rFonts w:hint="eastAsia"/>
                <w:sz w:val="24"/>
              </w:rPr>
              <w:t>主要污染物总量指标调配的意见</w:t>
            </w:r>
            <w:r>
              <w:rPr>
                <w:rFonts w:hint="eastAsia" w:cs="Times New Roman"/>
                <w:sz w:val="24"/>
                <w:lang w:val="en-US" w:eastAsia="zh-CN"/>
              </w:rPr>
              <w:t>》，该项目</w:t>
            </w:r>
            <w:r>
              <w:rPr>
                <w:rFonts w:hint="eastAsia" w:ascii="Times New Roman" w:hAnsi="Times New Roman" w:cs="Times New Roman"/>
                <w:sz w:val="24"/>
              </w:rPr>
              <w:t>颗粒物、SO</w:t>
            </w:r>
            <w:r>
              <w:rPr>
                <w:rFonts w:hint="eastAsia" w:ascii="Times New Roman" w:hAnsi="Times New Roman" w:cs="Times New Roman"/>
                <w:sz w:val="24"/>
                <w:vertAlign w:val="subscript"/>
              </w:rPr>
              <w:t>2</w:t>
            </w:r>
            <w:r>
              <w:rPr>
                <w:rFonts w:hint="eastAsia" w:ascii="Times New Roman" w:hAnsi="Times New Roman" w:cs="Times New Roman"/>
                <w:sz w:val="24"/>
              </w:rPr>
              <w:t>、NO</w:t>
            </w:r>
            <w:r>
              <w:rPr>
                <w:rFonts w:hint="eastAsia" w:ascii="Times New Roman" w:hAnsi="Times New Roman" w:cs="Times New Roman"/>
                <w:sz w:val="24"/>
                <w:vertAlign w:val="subscript"/>
              </w:rPr>
              <w:t>x</w:t>
            </w:r>
            <w:r>
              <w:rPr>
                <w:rFonts w:hint="eastAsia" w:ascii="Times New Roman" w:hAnsi="Times New Roman" w:cs="Times New Roman"/>
                <w:sz w:val="24"/>
              </w:rPr>
              <w:t>使用安阳正诚建材有限责任公司颗粒物、SO</w:t>
            </w:r>
            <w:r>
              <w:rPr>
                <w:rFonts w:hint="eastAsia" w:ascii="Times New Roman" w:hAnsi="Times New Roman" w:cs="Times New Roman"/>
                <w:sz w:val="24"/>
                <w:vertAlign w:val="subscript"/>
              </w:rPr>
              <w:t>2</w:t>
            </w:r>
            <w:r>
              <w:rPr>
                <w:rFonts w:hint="eastAsia" w:ascii="Times New Roman" w:hAnsi="Times New Roman" w:cs="Times New Roman"/>
                <w:sz w:val="24"/>
              </w:rPr>
              <w:t>、NO</w:t>
            </w:r>
            <w:r>
              <w:rPr>
                <w:rFonts w:hint="eastAsia" w:ascii="Times New Roman" w:hAnsi="Times New Roman" w:cs="Times New Roman"/>
                <w:sz w:val="24"/>
                <w:vertAlign w:val="subscript"/>
              </w:rPr>
              <w:t>x</w:t>
            </w:r>
            <w:r>
              <w:rPr>
                <w:rFonts w:hint="eastAsia" w:ascii="Times New Roman" w:hAnsi="Times New Roman" w:cs="Times New Roman"/>
                <w:sz w:val="24"/>
              </w:rPr>
              <w:t>减排削减量，COD、总磷</w:t>
            </w:r>
            <w:r>
              <w:rPr>
                <w:rFonts w:hint="eastAsia" w:ascii="Times New Roman" w:hAnsi="Times New Roman" w:cs="Times New Roman"/>
                <w:sz w:val="24"/>
                <w:lang w:val="en-US" w:eastAsia="zh-CN"/>
              </w:rPr>
              <w:t>使用</w:t>
            </w:r>
            <w:r>
              <w:rPr>
                <w:rFonts w:hint="eastAsia" w:ascii="Times New Roman" w:hAnsi="Times New Roman" w:cs="Times New Roman"/>
                <w:sz w:val="24"/>
              </w:rPr>
              <w:t>安阳市华洋针织有限责任公司年加工25000吨针织染整项目COD、总磷减排削减量。</w:t>
            </w:r>
          </w:p>
        </w:tc>
      </w:tr>
    </w:tbl>
    <w:p w14:paraId="30777D10">
      <w:pPr>
        <w:pStyle w:val="263"/>
        <w:spacing w:before="120" w:after="120"/>
        <w:rPr>
          <w:snapToGrid w:val="0"/>
        </w:rPr>
      </w:pPr>
      <w:r>
        <w:rPr>
          <w:snapToGrid w:val="0"/>
          <w:sz w:val="36"/>
          <w:szCs w:val="36"/>
        </w:rPr>
        <w:br w:type="page"/>
      </w:r>
      <w:bookmarkStart w:id="36" w:name="_Toc197848438"/>
      <w:r>
        <w:rPr>
          <w:snapToGrid w:val="0"/>
        </w:rPr>
        <w:t>四、主要环境影响和保护措施</w:t>
      </w:r>
      <w:bookmarkEnd w:id="36"/>
    </w:p>
    <w:tbl>
      <w:tblPr>
        <w:tblStyle w:val="4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52"/>
        <w:gridCol w:w="8628"/>
      </w:tblGrid>
      <w:tr w14:paraId="06EBF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6" w:type="pct"/>
            <w:tcMar>
              <w:left w:w="28" w:type="dxa"/>
              <w:right w:w="28" w:type="dxa"/>
            </w:tcMar>
            <w:vAlign w:val="center"/>
          </w:tcPr>
          <w:p w14:paraId="1AC8CA3A">
            <w:pPr>
              <w:pStyle w:val="42"/>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施工</w:t>
            </w:r>
          </w:p>
          <w:p w14:paraId="59B5CD28">
            <w:pPr>
              <w:pStyle w:val="42"/>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期环</w:t>
            </w:r>
          </w:p>
          <w:p w14:paraId="2CA9CE1D">
            <w:pPr>
              <w:pStyle w:val="42"/>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境保</w:t>
            </w:r>
          </w:p>
          <w:p w14:paraId="09CD9313">
            <w:pPr>
              <w:pStyle w:val="42"/>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护措</w:t>
            </w:r>
          </w:p>
          <w:p w14:paraId="3E51B5C8">
            <w:pPr>
              <w:pStyle w:val="42"/>
              <w:adjustRightInd w:val="0"/>
              <w:snapToGrid w:val="0"/>
              <w:spacing w:before="0" w:beforeAutospacing="0" w:after="0" w:afterAutospacing="0"/>
              <w:jc w:val="center"/>
              <w:rPr>
                <w:rFonts w:ascii="Times New Roman" w:hAnsi="Times New Roman"/>
                <w:bCs/>
                <w:kern w:val="2"/>
                <w:sz w:val="21"/>
                <w:szCs w:val="21"/>
              </w:rPr>
            </w:pPr>
            <w:r>
              <w:rPr>
                <w:rFonts w:ascii="Times New Roman" w:hAnsi="Times New Roman"/>
                <w:kern w:val="2"/>
                <w:sz w:val="21"/>
                <w:szCs w:val="21"/>
              </w:rPr>
              <w:t>施</w:t>
            </w:r>
          </w:p>
        </w:tc>
        <w:tc>
          <w:tcPr>
            <w:tcW w:w="4804" w:type="pct"/>
          </w:tcPr>
          <w:p w14:paraId="3D0D0B81">
            <w:pPr>
              <w:pStyle w:val="100"/>
            </w:pPr>
          </w:p>
          <w:p w14:paraId="167125E0">
            <w:pPr>
              <w:pStyle w:val="100"/>
            </w:pPr>
          </w:p>
          <w:p w14:paraId="29F4B66C">
            <w:pPr>
              <w:pStyle w:val="100"/>
            </w:pPr>
            <w:r>
              <w:rPr>
                <w:rFonts w:hint="eastAsia"/>
              </w:rPr>
              <w:t>本项目</w:t>
            </w:r>
            <w:r>
              <w:t>租赁</w:t>
            </w:r>
            <w:r>
              <w:rPr>
                <w:rFonts w:hint="eastAsia"/>
              </w:rPr>
              <w:t>现有厂房</w:t>
            </w:r>
            <w:r>
              <w:t>，</w:t>
            </w:r>
            <w:r>
              <w:rPr>
                <w:rFonts w:hint="eastAsia"/>
              </w:rPr>
              <w:t>施工期仅为设备</w:t>
            </w:r>
            <w:r>
              <w:t>的</w:t>
            </w:r>
            <w:r>
              <w:rPr>
                <w:rFonts w:hint="eastAsia"/>
                <w:lang w:val="en-US" w:eastAsia="zh-CN"/>
              </w:rPr>
              <w:t>安装和</w:t>
            </w:r>
            <w:r>
              <w:t>调试，</w:t>
            </w:r>
            <w:r>
              <w:rPr>
                <w:rFonts w:hint="eastAsia"/>
              </w:rPr>
              <w:t>因此，本次环评对施工期环境影响不作详细分析。</w:t>
            </w:r>
          </w:p>
          <w:p w14:paraId="32859FFC">
            <w:pPr>
              <w:pStyle w:val="100"/>
            </w:pPr>
          </w:p>
          <w:p w14:paraId="3EC88F8F">
            <w:pPr>
              <w:pStyle w:val="100"/>
            </w:pPr>
          </w:p>
        </w:tc>
      </w:tr>
      <w:tr w14:paraId="0B5985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6" w:type="pct"/>
            <w:tcMar>
              <w:left w:w="28" w:type="dxa"/>
              <w:right w:w="28" w:type="dxa"/>
            </w:tcMar>
            <w:vAlign w:val="center"/>
          </w:tcPr>
          <w:p w14:paraId="0E24AC2D">
            <w:pPr>
              <w:adjustRightInd w:val="0"/>
              <w:snapToGrid w:val="0"/>
              <w:jc w:val="center"/>
              <w:rPr>
                <w:bCs/>
                <w:szCs w:val="21"/>
              </w:rPr>
            </w:pPr>
            <w:r>
              <w:rPr>
                <w:bCs/>
                <w:szCs w:val="21"/>
              </w:rPr>
              <w:t>运营</w:t>
            </w:r>
          </w:p>
          <w:p w14:paraId="084354EE">
            <w:pPr>
              <w:adjustRightInd w:val="0"/>
              <w:snapToGrid w:val="0"/>
              <w:jc w:val="center"/>
              <w:rPr>
                <w:bCs/>
                <w:szCs w:val="21"/>
              </w:rPr>
            </w:pPr>
            <w:r>
              <w:rPr>
                <w:bCs/>
                <w:szCs w:val="21"/>
              </w:rPr>
              <w:t>期环</w:t>
            </w:r>
          </w:p>
          <w:p w14:paraId="12C18388">
            <w:pPr>
              <w:adjustRightInd w:val="0"/>
              <w:snapToGrid w:val="0"/>
              <w:jc w:val="center"/>
              <w:rPr>
                <w:bCs/>
                <w:szCs w:val="21"/>
              </w:rPr>
            </w:pPr>
            <w:r>
              <w:rPr>
                <w:bCs/>
                <w:szCs w:val="21"/>
              </w:rPr>
              <w:t>境影</w:t>
            </w:r>
          </w:p>
          <w:p w14:paraId="0C408CB4">
            <w:pPr>
              <w:adjustRightInd w:val="0"/>
              <w:snapToGrid w:val="0"/>
              <w:jc w:val="center"/>
              <w:rPr>
                <w:bCs/>
                <w:szCs w:val="21"/>
              </w:rPr>
            </w:pPr>
            <w:r>
              <w:rPr>
                <w:bCs/>
                <w:szCs w:val="21"/>
              </w:rPr>
              <w:t>响和</w:t>
            </w:r>
          </w:p>
          <w:p w14:paraId="7F25E949">
            <w:pPr>
              <w:adjustRightInd w:val="0"/>
              <w:snapToGrid w:val="0"/>
              <w:jc w:val="center"/>
              <w:rPr>
                <w:bCs/>
                <w:szCs w:val="21"/>
              </w:rPr>
            </w:pPr>
            <w:r>
              <w:rPr>
                <w:bCs/>
                <w:szCs w:val="21"/>
              </w:rPr>
              <w:t>保护</w:t>
            </w:r>
          </w:p>
          <w:p w14:paraId="2AD22D78">
            <w:pPr>
              <w:adjustRightInd w:val="0"/>
              <w:snapToGrid w:val="0"/>
              <w:jc w:val="center"/>
              <w:rPr>
                <w:bCs/>
                <w:szCs w:val="21"/>
              </w:rPr>
            </w:pPr>
            <w:r>
              <w:rPr>
                <w:bCs/>
                <w:szCs w:val="21"/>
              </w:rPr>
              <w:t>措施</w:t>
            </w:r>
          </w:p>
        </w:tc>
        <w:tc>
          <w:tcPr>
            <w:tcW w:w="4804" w:type="pct"/>
          </w:tcPr>
          <w:p w14:paraId="336B1920">
            <w:pPr>
              <w:pStyle w:val="259"/>
              <w:spacing w:before="120" w:after="120"/>
            </w:pPr>
            <w:bookmarkStart w:id="37" w:name="_Toc197848439"/>
            <w:r>
              <w:t>1、废气</w:t>
            </w:r>
            <w:bookmarkEnd w:id="37"/>
          </w:p>
          <w:p w14:paraId="338EF2E1">
            <w:pPr>
              <w:pStyle w:val="261"/>
              <w:ind w:firstLine="240"/>
            </w:pPr>
            <w:r>
              <w:rPr>
                <w:rFonts w:hint="eastAsia"/>
              </w:rPr>
              <w:t>1.1</w:t>
            </w:r>
            <w:r>
              <w:t>废气排放基本情况</w:t>
            </w:r>
          </w:p>
          <w:p w14:paraId="67FEBC97">
            <w:pPr>
              <w:pStyle w:val="100"/>
              <w:rPr>
                <w:color w:val="000000"/>
              </w:rPr>
            </w:pPr>
            <w:r>
              <w:rPr>
                <w:rFonts w:hint="eastAsia"/>
                <w:color w:val="000000"/>
              </w:rPr>
              <w:t>根据</w:t>
            </w:r>
            <w:r>
              <w:rPr>
                <w:color w:val="000000"/>
              </w:rPr>
              <w:t>工艺流程分析，结合</w:t>
            </w:r>
            <w:r>
              <w:rPr>
                <w:rFonts w:hint="eastAsia"/>
                <w:color w:val="000000"/>
                <w:lang w:eastAsia="zh-CN"/>
              </w:rPr>
              <w:t>《</w:t>
            </w:r>
            <w:r>
              <w:rPr>
                <w:rFonts w:hint="eastAsia"/>
                <w:color w:val="000000"/>
              </w:rPr>
              <w:t>排污许可证申请与核发技术规范食品制造工业—调味品、发酵制品制造工业</w:t>
            </w:r>
            <w:r>
              <w:rPr>
                <w:rFonts w:hint="eastAsia"/>
                <w:color w:val="000000"/>
                <w:lang w:eastAsia="zh-CN"/>
              </w:rPr>
              <w:t>》（HJ 1030.2—2019）、</w:t>
            </w:r>
            <w:r>
              <w:rPr>
                <w:color w:val="000000"/>
              </w:rPr>
              <w:t>《</w:t>
            </w:r>
            <w:r>
              <w:rPr>
                <w:rFonts w:hint="eastAsia"/>
                <w:color w:val="000000"/>
              </w:rPr>
              <w:t>排污许可证申请与核发技术规范</w:t>
            </w:r>
            <w:r>
              <w:rPr>
                <w:rFonts w:hint="eastAsia"/>
                <w:color w:val="000000"/>
                <w:lang w:val="en-US" w:eastAsia="zh-CN"/>
              </w:rPr>
              <w:t>-工业炉窑</w:t>
            </w:r>
            <w:r>
              <w:rPr>
                <w:rFonts w:hint="eastAsia"/>
                <w:color w:val="000000"/>
              </w:rPr>
              <w:t xml:space="preserve"> </w:t>
            </w:r>
            <w:r>
              <w:rPr>
                <w:color w:val="000000"/>
              </w:rPr>
              <w:t xml:space="preserve">》（HJ </w:t>
            </w:r>
            <w:r>
              <w:rPr>
                <w:rFonts w:hint="eastAsia"/>
                <w:color w:val="000000"/>
                <w:lang w:val="en-US" w:eastAsia="zh-CN"/>
              </w:rPr>
              <w:t>1121</w:t>
            </w:r>
            <w:r>
              <w:rPr>
                <w:color w:val="000000"/>
              </w:rPr>
              <w:t>—20</w:t>
            </w:r>
            <w:r>
              <w:rPr>
                <w:rFonts w:hint="eastAsia"/>
                <w:color w:val="000000"/>
                <w:lang w:val="en-US" w:eastAsia="zh-CN"/>
              </w:rPr>
              <w:t>20</w:t>
            </w:r>
            <w:r>
              <w:rPr>
                <w:color w:val="000000"/>
              </w:rPr>
              <w:t>）</w:t>
            </w:r>
            <w:r>
              <w:rPr>
                <w:rFonts w:hint="eastAsia"/>
                <w:color w:val="000000"/>
                <w:lang w:val="en-US" w:eastAsia="zh-CN"/>
              </w:rPr>
              <w:t>及</w:t>
            </w:r>
            <w:r>
              <w:rPr>
                <w:color w:val="000000"/>
              </w:rPr>
              <w:t>《</w:t>
            </w:r>
            <w:r>
              <w:rPr>
                <w:rFonts w:hint="eastAsia"/>
                <w:color w:val="000000"/>
              </w:rPr>
              <w:t>排污许可证申请与核发技术规范</w:t>
            </w:r>
            <w:r>
              <w:rPr>
                <w:rFonts w:hint="eastAsia"/>
                <w:color w:val="000000"/>
                <w:lang w:val="en-US" w:eastAsia="zh-CN"/>
              </w:rPr>
              <w:t>-锅炉</w:t>
            </w:r>
            <w:r>
              <w:rPr>
                <w:rFonts w:hint="eastAsia"/>
                <w:color w:val="000000"/>
              </w:rPr>
              <w:t xml:space="preserve"> </w:t>
            </w:r>
            <w:r>
              <w:rPr>
                <w:color w:val="000000"/>
              </w:rPr>
              <w:t xml:space="preserve">》（HJ </w:t>
            </w:r>
            <w:r>
              <w:rPr>
                <w:rFonts w:hint="eastAsia"/>
                <w:color w:val="000000"/>
                <w:lang w:val="en-US" w:eastAsia="zh-CN"/>
              </w:rPr>
              <w:t>953</w:t>
            </w:r>
            <w:r>
              <w:rPr>
                <w:color w:val="000000"/>
              </w:rPr>
              <w:t>—20</w:t>
            </w:r>
            <w:r>
              <w:rPr>
                <w:rFonts w:hint="eastAsia"/>
                <w:color w:val="000000"/>
                <w:lang w:val="en-US" w:eastAsia="zh-CN"/>
              </w:rPr>
              <w:t>18</w:t>
            </w:r>
            <w:r>
              <w:rPr>
                <w:color w:val="000000"/>
              </w:rPr>
              <w:t>）</w:t>
            </w:r>
            <w:r>
              <w:rPr>
                <w:rFonts w:hint="eastAsia"/>
                <w:color w:val="000000"/>
              </w:rPr>
              <w:t>，本项目</w:t>
            </w:r>
            <w:r>
              <w:rPr>
                <w:color w:val="000000"/>
              </w:rPr>
              <w:t>废气排放情况一览表</w:t>
            </w:r>
            <w:r>
              <w:rPr>
                <w:rFonts w:hint="eastAsia"/>
                <w:color w:val="000000"/>
              </w:rPr>
              <w:t>如下</w:t>
            </w:r>
            <w:r>
              <w:rPr>
                <w:color w:val="000000"/>
              </w:rPr>
              <w:t>：</w:t>
            </w:r>
          </w:p>
          <w:p w14:paraId="3F40441A">
            <w:pPr>
              <w:pStyle w:val="56"/>
              <w:keepNext w:val="0"/>
              <w:keepLines w:val="0"/>
              <w:pageBreakBefore w:val="0"/>
              <w:widowControl w:val="0"/>
              <w:numPr>
                <w:ilvl w:val="0"/>
                <w:numId w:val="0"/>
              </w:numPr>
              <w:kinsoku/>
              <w:wordWrap/>
              <w:overflowPunct/>
              <w:topLinePunct w:val="0"/>
              <w:autoSpaceDE w:val="0"/>
              <w:autoSpaceDN w:val="0"/>
              <w:bidi w:val="0"/>
              <w:adjustRightInd w:val="0"/>
              <w:snapToGrid/>
              <w:spacing w:before="120"/>
              <w:ind w:left="0" w:leftChars="0"/>
              <w:jc w:val="center"/>
              <w:textAlignment w:val="auto"/>
            </w:pPr>
            <w:r>
              <w:rPr>
                <w:rFonts w:hint="eastAsia"/>
                <w:lang w:val="en-US" w:eastAsia="zh-CN"/>
              </w:rPr>
              <w:t>表23</w:t>
            </w:r>
            <w:r>
              <w:t xml:space="preserve"> </w:t>
            </w:r>
            <w:r>
              <w:rPr>
                <w:rFonts w:hint="eastAsia"/>
              </w:rPr>
              <w:t>废气产排污节点、污染物及污染治理设施信息表</w:t>
            </w:r>
          </w:p>
          <w:tbl>
            <w:tblPr>
              <w:tblStyle w:val="47"/>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03"/>
              <w:gridCol w:w="1412"/>
              <w:gridCol w:w="1270"/>
              <w:gridCol w:w="891"/>
              <w:gridCol w:w="642"/>
              <w:gridCol w:w="1092"/>
              <w:gridCol w:w="630"/>
              <w:gridCol w:w="783"/>
              <w:gridCol w:w="780"/>
            </w:tblGrid>
            <w:tr w14:paraId="330B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3" w:hRule="atLeast"/>
                <w:jc w:val="center"/>
              </w:trPr>
              <w:tc>
                <w:tcPr>
                  <w:tcW w:w="803" w:type="dxa"/>
                  <w:vMerge w:val="restart"/>
                  <w:tcMar>
                    <w:left w:w="57" w:type="dxa"/>
                    <w:right w:w="57" w:type="dxa"/>
                  </w:tcMar>
                  <w:vAlign w:val="center"/>
                </w:tcPr>
                <w:p w14:paraId="66820DF7">
                  <w:pPr>
                    <w:pStyle w:val="257"/>
                    <w:rPr>
                      <w:b w:val="0"/>
                      <w:bCs w:val="0"/>
                      <w:u w:val="none"/>
                    </w:rPr>
                  </w:pPr>
                  <w:r>
                    <w:rPr>
                      <w:b w:val="0"/>
                      <w:bCs w:val="0"/>
                      <w:u w:val="none"/>
                    </w:rPr>
                    <w:t>产排污环节</w:t>
                  </w:r>
                </w:p>
              </w:tc>
              <w:tc>
                <w:tcPr>
                  <w:tcW w:w="1412" w:type="dxa"/>
                  <w:vMerge w:val="restart"/>
                  <w:tcMar>
                    <w:left w:w="57" w:type="dxa"/>
                    <w:right w:w="57" w:type="dxa"/>
                  </w:tcMar>
                  <w:vAlign w:val="center"/>
                </w:tcPr>
                <w:p w14:paraId="7BE68A0E">
                  <w:pPr>
                    <w:pStyle w:val="257"/>
                    <w:rPr>
                      <w:b w:val="0"/>
                      <w:bCs w:val="0"/>
                      <w:u w:val="none"/>
                    </w:rPr>
                  </w:pPr>
                  <w:r>
                    <w:rPr>
                      <w:b w:val="0"/>
                      <w:bCs w:val="0"/>
                      <w:u w:val="none"/>
                    </w:rPr>
                    <w:t>污染物种类</w:t>
                  </w:r>
                </w:p>
              </w:tc>
              <w:tc>
                <w:tcPr>
                  <w:tcW w:w="1270" w:type="dxa"/>
                  <w:vMerge w:val="restart"/>
                  <w:tcMar>
                    <w:left w:w="57" w:type="dxa"/>
                    <w:right w:w="57" w:type="dxa"/>
                  </w:tcMar>
                  <w:vAlign w:val="center"/>
                </w:tcPr>
                <w:p w14:paraId="4B907AED">
                  <w:pPr>
                    <w:pStyle w:val="257"/>
                    <w:rPr>
                      <w:b w:val="0"/>
                      <w:bCs w:val="0"/>
                      <w:u w:val="none"/>
                    </w:rPr>
                  </w:pPr>
                  <w:r>
                    <w:rPr>
                      <w:b w:val="0"/>
                      <w:bCs w:val="0"/>
                      <w:u w:val="none"/>
                    </w:rPr>
                    <w:t>推荐可行技术</w:t>
                  </w:r>
                </w:p>
              </w:tc>
              <w:tc>
                <w:tcPr>
                  <w:tcW w:w="4038" w:type="dxa"/>
                  <w:gridSpan w:val="5"/>
                  <w:tcMar>
                    <w:left w:w="57" w:type="dxa"/>
                    <w:right w:w="57" w:type="dxa"/>
                  </w:tcMar>
                  <w:vAlign w:val="center"/>
                </w:tcPr>
                <w:p w14:paraId="7B124CE8">
                  <w:pPr>
                    <w:pStyle w:val="257"/>
                    <w:rPr>
                      <w:b w:val="0"/>
                      <w:bCs w:val="0"/>
                      <w:u w:val="none"/>
                    </w:rPr>
                  </w:pPr>
                  <w:r>
                    <w:rPr>
                      <w:b w:val="0"/>
                      <w:bCs w:val="0"/>
                      <w:u w:val="none"/>
                    </w:rPr>
                    <w:t>治理设施</w:t>
                  </w:r>
                </w:p>
              </w:tc>
              <w:tc>
                <w:tcPr>
                  <w:tcW w:w="780" w:type="dxa"/>
                  <w:vMerge w:val="restart"/>
                  <w:tcMar>
                    <w:left w:w="57" w:type="dxa"/>
                    <w:right w:w="57" w:type="dxa"/>
                  </w:tcMar>
                  <w:vAlign w:val="center"/>
                </w:tcPr>
                <w:p w14:paraId="4B4E22F6">
                  <w:pPr>
                    <w:pStyle w:val="257"/>
                    <w:rPr>
                      <w:b w:val="0"/>
                      <w:bCs w:val="0"/>
                      <w:u w:val="none"/>
                    </w:rPr>
                  </w:pPr>
                  <w:r>
                    <w:rPr>
                      <w:b w:val="0"/>
                      <w:bCs w:val="0"/>
                      <w:u w:val="none"/>
                    </w:rPr>
                    <w:t>排放口编号</w:t>
                  </w:r>
                </w:p>
              </w:tc>
            </w:tr>
            <w:tr w14:paraId="36B6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3" w:hRule="atLeast"/>
                <w:jc w:val="center"/>
              </w:trPr>
              <w:tc>
                <w:tcPr>
                  <w:tcW w:w="803" w:type="dxa"/>
                  <w:vMerge w:val="continue"/>
                  <w:tcMar>
                    <w:left w:w="57" w:type="dxa"/>
                    <w:right w:w="57" w:type="dxa"/>
                  </w:tcMar>
                  <w:vAlign w:val="center"/>
                </w:tcPr>
                <w:p w14:paraId="7C99EF7C">
                  <w:pPr>
                    <w:pStyle w:val="257"/>
                    <w:rPr>
                      <w:b w:val="0"/>
                      <w:bCs w:val="0"/>
                      <w:u w:val="none"/>
                    </w:rPr>
                  </w:pPr>
                </w:p>
              </w:tc>
              <w:tc>
                <w:tcPr>
                  <w:tcW w:w="1412" w:type="dxa"/>
                  <w:vMerge w:val="continue"/>
                  <w:tcMar>
                    <w:left w:w="57" w:type="dxa"/>
                    <w:right w:w="57" w:type="dxa"/>
                  </w:tcMar>
                  <w:vAlign w:val="center"/>
                </w:tcPr>
                <w:p w14:paraId="74F0E9BF">
                  <w:pPr>
                    <w:pStyle w:val="257"/>
                    <w:rPr>
                      <w:b w:val="0"/>
                      <w:bCs w:val="0"/>
                      <w:u w:val="none"/>
                    </w:rPr>
                  </w:pPr>
                </w:p>
              </w:tc>
              <w:tc>
                <w:tcPr>
                  <w:tcW w:w="1270" w:type="dxa"/>
                  <w:vMerge w:val="continue"/>
                  <w:tcMar>
                    <w:left w:w="57" w:type="dxa"/>
                    <w:right w:w="57" w:type="dxa"/>
                  </w:tcMar>
                  <w:vAlign w:val="center"/>
                </w:tcPr>
                <w:p w14:paraId="32C57FB6">
                  <w:pPr>
                    <w:pStyle w:val="257"/>
                    <w:rPr>
                      <w:b w:val="0"/>
                      <w:bCs w:val="0"/>
                      <w:u w:val="none"/>
                    </w:rPr>
                  </w:pPr>
                </w:p>
              </w:tc>
              <w:tc>
                <w:tcPr>
                  <w:tcW w:w="891" w:type="dxa"/>
                  <w:tcMar>
                    <w:left w:w="57" w:type="dxa"/>
                    <w:right w:w="57" w:type="dxa"/>
                  </w:tcMar>
                  <w:vAlign w:val="center"/>
                </w:tcPr>
                <w:p w14:paraId="28EF2359">
                  <w:pPr>
                    <w:pStyle w:val="257"/>
                    <w:rPr>
                      <w:b w:val="0"/>
                      <w:bCs w:val="0"/>
                      <w:u w:val="none"/>
                    </w:rPr>
                  </w:pPr>
                  <w:r>
                    <w:rPr>
                      <w:b w:val="0"/>
                      <w:bCs w:val="0"/>
                      <w:u w:val="none"/>
                    </w:rPr>
                    <w:t>处理能力</w:t>
                  </w:r>
                </w:p>
              </w:tc>
              <w:tc>
                <w:tcPr>
                  <w:tcW w:w="642" w:type="dxa"/>
                  <w:tcMar>
                    <w:left w:w="57" w:type="dxa"/>
                    <w:right w:w="57" w:type="dxa"/>
                  </w:tcMar>
                  <w:vAlign w:val="center"/>
                </w:tcPr>
                <w:p w14:paraId="4FCAB735">
                  <w:pPr>
                    <w:pStyle w:val="257"/>
                    <w:rPr>
                      <w:b w:val="0"/>
                      <w:bCs w:val="0"/>
                      <w:u w:val="none"/>
                    </w:rPr>
                  </w:pPr>
                  <w:r>
                    <w:rPr>
                      <w:b w:val="0"/>
                      <w:bCs w:val="0"/>
                      <w:u w:val="none"/>
                    </w:rPr>
                    <w:t>收集效率</w:t>
                  </w:r>
                </w:p>
              </w:tc>
              <w:tc>
                <w:tcPr>
                  <w:tcW w:w="1092" w:type="dxa"/>
                  <w:tcMar>
                    <w:left w:w="57" w:type="dxa"/>
                    <w:right w:w="57" w:type="dxa"/>
                  </w:tcMar>
                  <w:vAlign w:val="center"/>
                </w:tcPr>
                <w:p w14:paraId="7BD46062">
                  <w:pPr>
                    <w:pStyle w:val="257"/>
                    <w:rPr>
                      <w:b w:val="0"/>
                      <w:bCs w:val="0"/>
                      <w:u w:val="none"/>
                    </w:rPr>
                  </w:pPr>
                  <w:r>
                    <w:rPr>
                      <w:b w:val="0"/>
                      <w:bCs w:val="0"/>
                      <w:u w:val="none"/>
                    </w:rPr>
                    <w:t>治理工艺</w:t>
                  </w:r>
                </w:p>
              </w:tc>
              <w:tc>
                <w:tcPr>
                  <w:tcW w:w="630" w:type="dxa"/>
                  <w:tcMar>
                    <w:left w:w="57" w:type="dxa"/>
                    <w:right w:w="57" w:type="dxa"/>
                  </w:tcMar>
                  <w:vAlign w:val="center"/>
                </w:tcPr>
                <w:p w14:paraId="2C517D94">
                  <w:pPr>
                    <w:pStyle w:val="257"/>
                    <w:rPr>
                      <w:b w:val="0"/>
                      <w:bCs w:val="0"/>
                      <w:u w:val="none"/>
                    </w:rPr>
                  </w:pPr>
                  <w:r>
                    <w:rPr>
                      <w:b w:val="0"/>
                      <w:bCs w:val="0"/>
                      <w:u w:val="none"/>
                    </w:rPr>
                    <w:t>去除效率</w:t>
                  </w:r>
                </w:p>
              </w:tc>
              <w:tc>
                <w:tcPr>
                  <w:tcW w:w="783" w:type="dxa"/>
                  <w:tcMar>
                    <w:left w:w="57" w:type="dxa"/>
                    <w:right w:w="57" w:type="dxa"/>
                  </w:tcMar>
                  <w:vAlign w:val="center"/>
                </w:tcPr>
                <w:p w14:paraId="7B44DEDA">
                  <w:pPr>
                    <w:pStyle w:val="257"/>
                    <w:rPr>
                      <w:b w:val="0"/>
                      <w:bCs w:val="0"/>
                      <w:u w:val="none"/>
                    </w:rPr>
                  </w:pPr>
                  <w:r>
                    <w:rPr>
                      <w:b w:val="0"/>
                      <w:bCs w:val="0"/>
                      <w:u w:val="none"/>
                    </w:rPr>
                    <w:t>是否为可行技术</w:t>
                  </w:r>
                </w:p>
              </w:tc>
              <w:tc>
                <w:tcPr>
                  <w:tcW w:w="780" w:type="dxa"/>
                  <w:vMerge w:val="continue"/>
                  <w:tcMar>
                    <w:left w:w="57" w:type="dxa"/>
                    <w:right w:w="57" w:type="dxa"/>
                  </w:tcMar>
                  <w:vAlign w:val="center"/>
                </w:tcPr>
                <w:p w14:paraId="62AEC7CD">
                  <w:pPr>
                    <w:pStyle w:val="257"/>
                    <w:rPr>
                      <w:b w:val="0"/>
                      <w:bCs w:val="0"/>
                      <w:u w:val="none"/>
                    </w:rPr>
                  </w:pPr>
                </w:p>
              </w:tc>
            </w:tr>
            <w:tr w14:paraId="4C82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3" w:hRule="atLeast"/>
                <w:jc w:val="center"/>
              </w:trPr>
              <w:tc>
                <w:tcPr>
                  <w:tcW w:w="803" w:type="dxa"/>
                  <w:tcMar>
                    <w:left w:w="57" w:type="dxa"/>
                    <w:right w:w="57" w:type="dxa"/>
                  </w:tcMar>
                  <w:vAlign w:val="center"/>
                </w:tcPr>
                <w:p w14:paraId="64E56680">
                  <w:pPr>
                    <w:pStyle w:val="257"/>
                    <w:rPr>
                      <w:b w:val="0"/>
                      <w:bCs w:val="0"/>
                      <w:u w:val="none"/>
                    </w:rPr>
                  </w:pPr>
                  <w:r>
                    <w:rPr>
                      <w:rFonts w:hint="eastAsia"/>
                      <w:b w:val="0"/>
                      <w:bCs w:val="0"/>
                      <w:u w:val="none"/>
                      <w:lang w:val="en-US" w:eastAsia="zh-CN"/>
                    </w:rPr>
                    <w:t>熬制废气</w:t>
                  </w:r>
                </w:p>
              </w:tc>
              <w:tc>
                <w:tcPr>
                  <w:tcW w:w="1412" w:type="dxa"/>
                  <w:tcMar>
                    <w:left w:w="57" w:type="dxa"/>
                    <w:right w:w="57" w:type="dxa"/>
                  </w:tcMar>
                  <w:vAlign w:val="center"/>
                </w:tcPr>
                <w:p w14:paraId="487D2760">
                  <w:pPr>
                    <w:pStyle w:val="257"/>
                    <w:rPr>
                      <w:b w:val="0"/>
                      <w:bCs w:val="0"/>
                      <w:u w:val="none"/>
                    </w:rPr>
                  </w:pPr>
                  <w:r>
                    <w:rPr>
                      <w:rFonts w:hint="eastAsia"/>
                      <w:b w:val="0"/>
                      <w:bCs w:val="0"/>
                      <w:u w:val="none"/>
                      <w:lang w:val="en-US" w:eastAsia="zh-CN"/>
                    </w:rPr>
                    <w:t>油烟</w:t>
                  </w:r>
                </w:p>
              </w:tc>
              <w:tc>
                <w:tcPr>
                  <w:tcW w:w="1270" w:type="dxa"/>
                  <w:tcMar>
                    <w:left w:w="57" w:type="dxa"/>
                    <w:right w:w="57" w:type="dxa"/>
                  </w:tcMar>
                  <w:vAlign w:val="center"/>
                </w:tcPr>
                <w:p w14:paraId="0A572CA1">
                  <w:pPr>
                    <w:pStyle w:val="257"/>
                    <w:rPr>
                      <w:b w:val="0"/>
                      <w:bCs w:val="0"/>
                      <w:u w:val="none"/>
                    </w:rPr>
                  </w:pPr>
                  <w:r>
                    <w:rPr>
                      <w:rFonts w:hint="eastAsia"/>
                      <w:b w:val="0"/>
                      <w:bCs w:val="0"/>
                      <w:u w:val="none"/>
                      <w:lang w:val="en-US" w:eastAsia="zh-CN"/>
                    </w:rPr>
                    <w:t>油烟净化器</w:t>
                  </w:r>
                </w:p>
              </w:tc>
              <w:tc>
                <w:tcPr>
                  <w:tcW w:w="891" w:type="dxa"/>
                  <w:tcMar>
                    <w:left w:w="57" w:type="dxa"/>
                    <w:right w:w="57" w:type="dxa"/>
                  </w:tcMar>
                  <w:vAlign w:val="center"/>
                </w:tcPr>
                <w:p w14:paraId="00545486">
                  <w:pPr>
                    <w:pStyle w:val="257"/>
                    <w:rPr>
                      <w:b w:val="0"/>
                      <w:bCs w:val="0"/>
                      <w:u w:val="none"/>
                    </w:rPr>
                  </w:pPr>
                  <w:r>
                    <w:rPr>
                      <w:rFonts w:hint="eastAsia"/>
                      <w:b w:val="0"/>
                      <w:bCs w:val="0"/>
                      <w:u w:val="none"/>
                      <w:lang w:val="en-US" w:eastAsia="zh-CN"/>
                    </w:rPr>
                    <w:t>8000m</w:t>
                  </w:r>
                  <w:r>
                    <w:rPr>
                      <w:rFonts w:hint="eastAsia"/>
                      <w:b w:val="0"/>
                      <w:bCs w:val="0"/>
                      <w:u w:val="none"/>
                      <w:vertAlign w:val="superscript"/>
                      <w:lang w:val="en-US" w:eastAsia="zh-CN"/>
                    </w:rPr>
                    <w:t>3</w:t>
                  </w:r>
                  <w:r>
                    <w:rPr>
                      <w:rFonts w:hint="eastAsia"/>
                      <w:b w:val="0"/>
                      <w:bCs w:val="0"/>
                      <w:u w:val="none"/>
                      <w:lang w:val="en-US" w:eastAsia="zh-CN"/>
                    </w:rPr>
                    <w:t>/h</w:t>
                  </w:r>
                </w:p>
              </w:tc>
              <w:tc>
                <w:tcPr>
                  <w:tcW w:w="642" w:type="dxa"/>
                  <w:tcMar>
                    <w:left w:w="57" w:type="dxa"/>
                    <w:right w:w="57" w:type="dxa"/>
                  </w:tcMar>
                  <w:vAlign w:val="center"/>
                </w:tcPr>
                <w:p w14:paraId="54F6DC00">
                  <w:pPr>
                    <w:pStyle w:val="257"/>
                    <w:rPr>
                      <w:b w:val="0"/>
                      <w:bCs w:val="0"/>
                      <w:u w:val="none"/>
                    </w:rPr>
                  </w:pPr>
                  <w:r>
                    <w:rPr>
                      <w:rFonts w:hint="eastAsia"/>
                      <w:b w:val="0"/>
                      <w:bCs w:val="0"/>
                      <w:u w:val="none"/>
                      <w:lang w:val="en-US" w:eastAsia="zh-CN"/>
                    </w:rPr>
                    <w:t>95%</w:t>
                  </w:r>
                </w:p>
              </w:tc>
              <w:tc>
                <w:tcPr>
                  <w:tcW w:w="1092" w:type="dxa"/>
                  <w:tcMar>
                    <w:left w:w="57" w:type="dxa"/>
                    <w:right w:w="57" w:type="dxa"/>
                  </w:tcMar>
                  <w:vAlign w:val="center"/>
                </w:tcPr>
                <w:p w14:paraId="28BF87F7">
                  <w:pPr>
                    <w:pStyle w:val="257"/>
                    <w:rPr>
                      <w:rFonts w:hint="default"/>
                      <w:b w:val="0"/>
                      <w:bCs w:val="0"/>
                      <w:u w:val="none"/>
                      <w:lang w:val="en-US"/>
                    </w:rPr>
                  </w:pPr>
                  <w:r>
                    <w:rPr>
                      <w:rFonts w:hint="eastAsia"/>
                      <w:b w:val="0"/>
                      <w:bCs w:val="0"/>
                      <w:u w:val="none"/>
                      <w:lang w:val="en-US" w:eastAsia="zh-CN"/>
                    </w:rPr>
                    <w:t>集气罩+油烟净化器+活性炭吸附+15m排气筒</w:t>
                  </w:r>
                </w:p>
              </w:tc>
              <w:tc>
                <w:tcPr>
                  <w:tcW w:w="630" w:type="dxa"/>
                  <w:tcMar>
                    <w:left w:w="57" w:type="dxa"/>
                    <w:right w:w="57" w:type="dxa"/>
                  </w:tcMar>
                  <w:vAlign w:val="center"/>
                </w:tcPr>
                <w:p w14:paraId="60BF6987">
                  <w:pPr>
                    <w:pStyle w:val="257"/>
                    <w:rPr>
                      <w:b w:val="0"/>
                      <w:bCs w:val="0"/>
                      <w:u w:val="none"/>
                    </w:rPr>
                  </w:pPr>
                  <w:r>
                    <w:rPr>
                      <w:rFonts w:hint="eastAsia"/>
                      <w:b w:val="0"/>
                      <w:bCs w:val="0"/>
                      <w:u w:val="none"/>
                      <w:lang w:val="en-US" w:eastAsia="zh-CN"/>
                    </w:rPr>
                    <w:t>99</w:t>
                  </w:r>
                </w:p>
              </w:tc>
              <w:tc>
                <w:tcPr>
                  <w:tcW w:w="783" w:type="dxa"/>
                  <w:tcMar>
                    <w:left w:w="57" w:type="dxa"/>
                    <w:right w:w="57" w:type="dxa"/>
                  </w:tcMar>
                  <w:vAlign w:val="center"/>
                </w:tcPr>
                <w:p w14:paraId="07CCAB1E">
                  <w:pPr>
                    <w:pStyle w:val="257"/>
                    <w:rPr>
                      <w:b w:val="0"/>
                      <w:bCs w:val="0"/>
                      <w:u w:val="none"/>
                    </w:rPr>
                  </w:pPr>
                  <w:r>
                    <w:rPr>
                      <w:rFonts w:hint="eastAsia"/>
                      <w:b w:val="0"/>
                      <w:bCs w:val="0"/>
                      <w:u w:val="none"/>
                      <w:lang w:eastAsia="zh-CN"/>
                    </w:rPr>
                    <w:t>是</w:t>
                  </w:r>
                </w:p>
              </w:tc>
              <w:tc>
                <w:tcPr>
                  <w:tcW w:w="780" w:type="dxa"/>
                  <w:tcMar>
                    <w:left w:w="57" w:type="dxa"/>
                    <w:right w:w="57" w:type="dxa"/>
                  </w:tcMar>
                  <w:vAlign w:val="center"/>
                </w:tcPr>
                <w:p w14:paraId="6319B2B2">
                  <w:pPr>
                    <w:pStyle w:val="257"/>
                    <w:rPr>
                      <w:b w:val="0"/>
                      <w:bCs w:val="0"/>
                      <w:u w:val="none"/>
                    </w:rPr>
                  </w:pPr>
                  <w:r>
                    <w:rPr>
                      <w:rFonts w:hint="eastAsia"/>
                      <w:b w:val="0"/>
                      <w:bCs w:val="0"/>
                      <w:u w:val="none"/>
                      <w:lang w:val="en-US" w:eastAsia="zh-CN"/>
                    </w:rPr>
                    <w:t>DA001</w:t>
                  </w:r>
                </w:p>
              </w:tc>
            </w:tr>
            <w:tr w14:paraId="693E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6" w:hRule="atLeast"/>
                <w:jc w:val="center"/>
              </w:trPr>
              <w:tc>
                <w:tcPr>
                  <w:tcW w:w="803" w:type="dxa"/>
                  <w:tcMar>
                    <w:left w:w="57" w:type="dxa"/>
                    <w:right w:w="57" w:type="dxa"/>
                  </w:tcMar>
                  <w:vAlign w:val="center"/>
                </w:tcPr>
                <w:p w14:paraId="7B943C98">
                  <w:pPr>
                    <w:pStyle w:val="257"/>
                    <w:rPr>
                      <w:rFonts w:hint="default" w:eastAsia="宋体"/>
                      <w:b w:val="0"/>
                      <w:bCs w:val="0"/>
                      <w:u w:val="none"/>
                      <w:lang w:val="en-US" w:eastAsia="zh-CN"/>
                    </w:rPr>
                  </w:pPr>
                  <w:r>
                    <w:rPr>
                      <w:rFonts w:hint="eastAsia"/>
                      <w:b w:val="0"/>
                      <w:bCs w:val="0"/>
                      <w:u w:val="none"/>
                      <w:lang w:val="en-US" w:eastAsia="zh-CN"/>
                    </w:rPr>
                    <w:t>天然气燃烧废气</w:t>
                  </w:r>
                </w:p>
              </w:tc>
              <w:tc>
                <w:tcPr>
                  <w:tcW w:w="1412" w:type="dxa"/>
                  <w:tcMar>
                    <w:left w:w="57" w:type="dxa"/>
                    <w:right w:w="57" w:type="dxa"/>
                  </w:tcMar>
                  <w:vAlign w:val="center"/>
                </w:tcPr>
                <w:p w14:paraId="678C2496">
                  <w:pPr>
                    <w:pStyle w:val="257"/>
                    <w:rPr>
                      <w:rFonts w:hint="default" w:eastAsia="宋体"/>
                      <w:b w:val="0"/>
                      <w:bCs w:val="0"/>
                      <w:u w:val="none"/>
                      <w:lang w:val="en-US" w:eastAsia="zh-CN"/>
                    </w:rPr>
                  </w:pPr>
                  <w:r>
                    <w:rPr>
                      <w:b w:val="0"/>
                      <w:bCs w:val="0"/>
                      <w:u w:val="none"/>
                    </w:rPr>
                    <w:t>颗粒物</w:t>
                  </w:r>
                  <w:r>
                    <w:rPr>
                      <w:rFonts w:hint="eastAsia"/>
                      <w:b w:val="0"/>
                      <w:bCs w:val="0"/>
                      <w:u w:val="none"/>
                      <w:lang w:eastAsia="zh-CN"/>
                    </w:rPr>
                    <w:t>、</w:t>
                  </w:r>
                  <w:r>
                    <w:rPr>
                      <w:rFonts w:hint="eastAsia"/>
                      <w:b w:val="0"/>
                      <w:bCs w:val="0"/>
                      <w:u w:val="none"/>
                      <w:lang w:val="en-US" w:eastAsia="zh-CN"/>
                    </w:rPr>
                    <w:t>二氧化硫、氮氧化物、烟气黑度</w:t>
                  </w:r>
                </w:p>
              </w:tc>
              <w:tc>
                <w:tcPr>
                  <w:tcW w:w="1270" w:type="dxa"/>
                  <w:tcMar>
                    <w:left w:w="57" w:type="dxa"/>
                    <w:right w:w="57" w:type="dxa"/>
                  </w:tcMar>
                  <w:vAlign w:val="center"/>
                </w:tcPr>
                <w:p w14:paraId="36E3CE8D">
                  <w:pPr>
                    <w:pStyle w:val="257"/>
                    <w:rPr>
                      <w:rFonts w:hint="eastAsia" w:eastAsia="宋体"/>
                      <w:b w:val="0"/>
                      <w:bCs w:val="0"/>
                      <w:u w:val="none"/>
                      <w:lang w:val="en-US" w:eastAsia="zh-CN"/>
                    </w:rPr>
                  </w:pPr>
                  <w:r>
                    <w:rPr>
                      <w:rFonts w:hint="eastAsia"/>
                      <w:b w:val="0"/>
                      <w:bCs w:val="0"/>
                      <w:u w:val="none"/>
                      <w:lang w:val="en-US" w:eastAsia="zh-CN"/>
                    </w:rPr>
                    <w:t>/</w:t>
                  </w:r>
                </w:p>
              </w:tc>
              <w:tc>
                <w:tcPr>
                  <w:tcW w:w="891" w:type="dxa"/>
                  <w:tcMar>
                    <w:left w:w="57" w:type="dxa"/>
                    <w:right w:w="57" w:type="dxa"/>
                  </w:tcMar>
                  <w:vAlign w:val="center"/>
                </w:tcPr>
                <w:p w14:paraId="04720BEA">
                  <w:pPr>
                    <w:pStyle w:val="257"/>
                    <w:rPr>
                      <w:b w:val="0"/>
                      <w:bCs w:val="0"/>
                      <w:u w:val="none"/>
                    </w:rPr>
                  </w:pPr>
                  <w:r>
                    <w:rPr>
                      <w:rFonts w:hint="eastAsia"/>
                      <w:b w:val="0"/>
                      <w:bCs w:val="0"/>
                      <w:u w:val="none"/>
                      <w:lang w:val="en-US" w:eastAsia="zh-CN"/>
                    </w:rPr>
                    <w:t>9000m</w:t>
                  </w:r>
                  <w:r>
                    <w:rPr>
                      <w:rFonts w:hint="eastAsia"/>
                      <w:b w:val="0"/>
                      <w:bCs w:val="0"/>
                      <w:u w:val="none"/>
                      <w:vertAlign w:val="superscript"/>
                      <w:lang w:val="en-US" w:eastAsia="zh-CN"/>
                    </w:rPr>
                    <w:t>3</w:t>
                  </w:r>
                  <w:r>
                    <w:rPr>
                      <w:rFonts w:hint="eastAsia"/>
                      <w:b w:val="0"/>
                      <w:bCs w:val="0"/>
                      <w:u w:val="none"/>
                      <w:lang w:val="en-US" w:eastAsia="zh-CN"/>
                    </w:rPr>
                    <w:t>/h</w:t>
                  </w:r>
                </w:p>
              </w:tc>
              <w:tc>
                <w:tcPr>
                  <w:tcW w:w="642" w:type="dxa"/>
                  <w:tcMar>
                    <w:left w:w="57" w:type="dxa"/>
                    <w:right w:w="57" w:type="dxa"/>
                  </w:tcMar>
                  <w:vAlign w:val="center"/>
                </w:tcPr>
                <w:p w14:paraId="70EE87BB">
                  <w:pPr>
                    <w:pStyle w:val="257"/>
                    <w:rPr>
                      <w:b w:val="0"/>
                      <w:bCs w:val="0"/>
                      <w:u w:val="none"/>
                    </w:rPr>
                  </w:pPr>
                  <w:r>
                    <w:rPr>
                      <w:rFonts w:hint="eastAsia"/>
                      <w:b w:val="0"/>
                      <w:bCs w:val="0"/>
                      <w:u w:val="none"/>
                      <w:lang w:val="en-US" w:eastAsia="zh-CN"/>
                    </w:rPr>
                    <w:t>95</w:t>
                  </w:r>
                  <w:r>
                    <w:rPr>
                      <w:b w:val="0"/>
                      <w:bCs w:val="0"/>
                      <w:u w:val="none"/>
                    </w:rPr>
                    <w:t>%</w:t>
                  </w:r>
                </w:p>
              </w:tc>
              <w:tc>
                <w:tcPr>
                  <w:tcW w:w="1092" w:type="dxa"/>
                  <w:tcMar>
                    <w:left w:w="57" w:type="dxa"/>
                    <w:right w:w="57" w:type="dxa"/>
                  </w:tcMar>
                  <w:vAlign w:val="center"/>
                </w:tcPr>
                <w:p w14:paraId="42B12A06">
                  <w:pPr>
                    <w:pStyle w:val="257"/>
                    <w:rPr>
                      <w:rFonts w:hint="default"/>
                      <w:b w:val="0"/>
                      <w:bCs w:val="0"/>
                      <w:u w:val="none"/>
                      <w:lang w:val="en-US"/>
                    </w:rPr>
                  </w:pPr>
                  <w:r>
                    <w:rPr>
                      <w:rFonts w:hint="eastAsia"/>
                      <w:b w:val="0"/>
                      <w:bCs w:val="0"/>
                      <w:u w:val="none"/>
                      <w:lang w:val="en-US" w:eastAsia="zh-CN"/>
                    </w:rPr>
                    <w:t>集气罩+15m排气筒</w:t>
                  </w:r>
                </w:p>
              </w:tc>
              <w:tc>
                <w:tcPr>
                  <w:tcW w:w="630" w:type="dxa"/>
                  <w:tcMar>
                    <w:left w:w="57" w:type="dxa"/>
                    <w:right w:w="57" w:type="dxa"/>
                  </w:tcMar>
                  <w:vAlign w:val="center"/>
                </w:tcPr>
                <w:p w14:paraId="0ECC3DE6">
                  <w:pPr>
                    <w:pStyle w:val="257"/>
                    <w:rPr>
                      <w:rFonts w:hint="eastAsia" w:eastAsia="宋体"/>
                      <w:b w:val="0"/>
                      <w:bCs w:val="0"/>
                      <w:u w:val="none"/>
                      <w:lang w:eastAsia="zh-CN"/>
                    </w:rPr>
                  </w:pPr>
                  <w:r>
                    <w:rPr>
                      <w:rFonts w:hint="eastAsia"/>
                      <w:b w:val="0"/>
                      <w:bCs w:val="0"/>
                      <w:u w:val="none"/>
                      <w:lang w:val="en-US" w:eastAsia="zh-CN"/>
                    </w:rPr>
                    <w:t>/</w:t>
                  </w:r>
                </w:p>
              </w:tc>
              <w:tc>
                <w:tcPr>
                  <w:tcW w:w="783" w:type="dxa"/>
                  <w:tcMar>
                    <w:left w:w="57" w:type="dxa"/>
                    <w:right w:w="57" w:type="dxa"/>
                  </w:tcMar>
                  <w:vAlign w:val="center"/>
                </w:tcPr>
                <w:p w14:paraId="25E7B288">
                  <w:pPr>
                    <w:pStyle w:val="257"/>
                    <w:rPr>
                      <w:rFonts w:hint="eastAsia" w:eastAsia="宋体"/>
                      <w:b w:val="0"/>
                      <w:bCs w:val="0"/>
                      <w:u w:val="none"/>
                      <w:lang w:eastAsia="zh-CN"/>
                    </w:rPr>
                  </w:pPr>
                  <w:r>
                    <w:rPr>
                      <w:rFonts w:hint="eastAsia"/>
                      <w:b w:val="0"/>
                      <w:bCs w:val="0"/>
                      <w:u w:val="none"/>
                      <w:lang w:val="en-US" w:eastAsia="zh-CN"/>
                    </w:rPr>
                    <w:t>/</w:t>
                  </w:r>
                </w:p>
              </w:tc>
              <w:tc>
                <w:tcPr>
                  <w:tcW w:w="780" w:type="dxa"/>
                  <w:tcMar>
                    <w:left w:w="57" w:type="dxa"/>
                    <w:right w:w="57" w:type="dxa"/>
                  </w:tcMar>
                  <w:vAlign w:val="center"/>
                </w:tcPr>
                <w:p w14:paraId="61DB7871">
                  <w:pPr>
                    <w:pStyle w:val="257"/>
                    <w:rPr>
                      <w:b w:val="0"/>
                      <w:bCs w:val="0"/>
                      <w:u w:val="none"/>
                    </w:rPr>
                  </w:pPr>
                  <w:r>
                    <w:rPr>
                      <w:b w:val="0"/>
                      <w:bCs w:val="0"/>
                      <w:u w:val="none"/>
                    </w:rPr>
                    <w:t>DA0</w:t>
                  </w:r>
                  <w:r>
                    <w:rPr>
                      <w:rFonts w:hint="eastAsia"/>
                      <w:b w:val="0"/>
                      <w:bCs w:val="0"/>
                      <w:u w:val="none"/>
                      <w:lang w:val="en-US" w:eastAsia="zh-CN"/>
                    </w:rPr>
                    <w:t>01</w:t>
                  </w:r>
                </w:p>
              </w:tc>
            </w:tr>
            <w:tr w14:paraId="5B84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6" w:hRule="atLeast"/>
                <w:jc w:val="center"/>
              </w:trPr>
              <w:tc>
                <w:tcPr>
                  <w:tcW w:w="803" w:type="dxa"/>
                  <w:tcMar>
                    <w:left w:w="57" w:type="dxa"/>
                    <w:right w:w="57" w:type="dxa"/>
                  </w:tcMar>
                  <w:vAlign w:val="center"/>
                </w:tcPr>
                <w:p w14:paraId="2183E88C">
                  <w:pPr>
                    <w:pStyle w:val="257"/>
                    <w:rPr>
                      <w:rFonts w:hint="default"/>
                      <w:b w:val="0"/>
                      <w:bCs w:val="0"/>
                      <w:u w:val="none"/>
                      <w:lang w:val="en-US" w:eastAsia="zh-CN"/>
                    </w:rPr>
                  </w:pPr>
                  <w:r>
                    <w:rPr>
                      <w:rFonts w:hint="eastAsia"/>
                      <w:b w:val="0"/>
                      <w:bCs w:val="0"/>
                      <w:u w:val="none"/>
                      <w:lang w:val="en-US" w:eastAsia="zh-CN"/>
                    </w:rPr>
                    <w:t>蒸汽发生炉废气</w:t>
                  </w:r>
                </w:p>
              </w:tc>
              <w:tc>
                <w:tcPr>
                  <w:tcW w:w="1412" w:type="dxa"/>
                  <w:tcMar>
                    <w:left w:w="57" w:type="dxa"/>
                    <w:right w:w="57" w:type="dxa"/>
                  </w:tcMar>
                  <w:vAlign w:val="center"/>
                </w:tcPr>
                <w:p w14:paraId="660A19CB">
                  <w:pPr>
                    <w:pStyle w:val="257"/>
                    <w:rPr>
                      <w:rFonts w:hint="default"/>
                      <w:b w:val="0"/>
                      <w:bCs w:val="0"/>
                      <w:u w:val="none"/>
                      <w:lang w:val="en-US"/>
                    </w:rPr>
                  </w:pPr>
                  <w:r>
                    <w:rPr>
                      <w:b w:val="0"/>
                      <w:bCs w:val="0"/>
                      <w:u w:val="none"/>
                    </w:rPr>
                    <w:t>颗粒物</w:t>
                  </w:r>
                  <w:r>
                    <w:rPr>
                      <w:rFonts w:hint="eastAsia"/>
                      <w:b w:val="0"/>
                      <w:bCs w:val="0"/>
                      <w:u w:val="none"/>
                      <w:lang w:eastAsia="zh-CN"/>
                    </w:rPr>
                    <w:t>、</w:t>
                  </w:r>
                  <w:r>
                    <w:rPr>
                      <w:rFonts w:hint="eastAsia"/>
                      <w:b w:val="0"/>
                      <w:bCs w:val="0"/>
                      <w:u w:val="none"/>
                      <w:lang w:val="en-US" w:eastAsia="zh-CN"/>
                    </w:rPr>
                    <w:t>二氧化硫、氮氧化物、烟气黑度</w:t>
                  </w:r>
                </w:p>
              </w:tc>
              <w:tc>
                <w:tcPr>
                  <w:tcW w:w="1270" w:type="dxa"/>
                  <w:tcMar>
                    <w:left w:w="57" w:type="dxa"/>
                    <w:right w:w="57" w:type="dxa"/>
                  </w:tcMar>
                  <w:vAlign w:val="center"/>
                </w:tcPr>
                <w:p w14:paraId="2F3E784C">
                  <w:pPr>
                    <w:pStyle w:val="257"/>
                    <w:rPr>
                      <w:rFonts w:hint="default" w:eastAsia="宋体"/>
                      <w:b w:val="0"/>
                      <w:bCs w:val="0"/>
                      <w:u w:val="none"/>
                      <w:lang w:val="en-US" w:eastAsia="zh-CN"/>
                    </w:rPr>
                  </w:pPr>
                  <w:r>
                    <w:rPr>
                      <w:rFonts w:hint="eastAsia"/>
                      <w:b w:val="0"/>
                      <w:bCs w:val="0"/>
                      <w:u w:val="none"/>
                      <w:lang w:val="en-US" w:eastAsia="zh-CN"/>
                    </w:rPr>
                    <w:t>低氮燃烧</w:t>
                  </w:r>
                </w:p>
              </w:tc>
              <w:tc>
                <w:tcPr>
                  <w:tcW w:w="891" w:type="dxa"/>
                  <w:tcMar>
                    <w:left w:w="57" w:type="dxa"/>
                    <w:right w:w="57" w:type="dxa"/>
                  </w:tcMar>
                  <w:vAlign w:val="center"/>
                </w:tcPr>
                <w:p w14:paraId="7AF5F004">
                  <w:pPr>
                    <w:pStyle w:val="257"/>
                    <w:rPr>
                      <w:rFonts w:hint="default" w:eastAsia="宋体"/>
                      <w:b w:val="0"/>
                      <w:bCs w:val="0"/>
                      <w:u w:val="none"/>
                      <w:lang w:val="en-US" w:eastAsia="zh-CN"/>
                    </w:rPr>
                  </w:pPr>
                  <w:r>
                    <w:rPr>
                      <w:rFonts w:hint="eastAsia"/>
                      <w:b w:val="0"/>
                      <w:bCs w:val="0"/>
                      <w:u w:val="none"/>
                      <w:lang w:val="en-US" w:eastAsia="zh-CN"/>
                    </w:rPr>
                    <w:t>/</w:t>
                  </w:r>
                </w:p>
              </w:tc>
              <w:tc>
                <w:tcPr>
                  <w:tcW w:w="642" w:type="dxa"/>
                  <w:tcMar>
                    <w:left w:w="57" w:type="dxa"/>
                    <w:right w:w="57" w:type="dxa"/>
                  </w:tcMar>
                  <w:vAlign w:val="center"/>
                </w:tcPr>
                <w:p w14:paraId="6758611E">
                  <w:pPr>
                    <w:pStyle w:val="257"/>
                    <w:rPr>
                      <w:rFonts w:hint="default"/>
                      <w:b w:val="0"/>
                      <w:bCs w:val="0"/>
                      <w:u w:val="none"/>
                      <w:lang w:val="en-US" w:eastAsia="zh-CN"/>
                    </w:rPr>
                  </w:pPr>
                  <w:r>
                    <w:rPr>
                      <w:rFonts w:hint="eastAsia"/>
                      <w:b w:val="0"/>
                      <w:bCs w:val="0"/>
                      <w:u w:val="none"/>
                      <w:lang w:val="en-US" w:eastAsia="zh-CN"/>
                    </w:rPr>
                    <w:t>100%</w:t>
                  </w:r>
                </w:p>
              </w:tc>
              <w:tc>
                <w:tcPr>
                  <w:tcW w:w="1092" w:type="dxa"/>
                  <w:tcMar>
                    <w:left w:w="57" w:type="dxa"/>
                    <w:right w:w="57" w:type="dxa"/>
                  </w:tcMar>
                  <w:vAlign w:val="center"/>
                </w:tcPr>
                <w:p w14:paraId="1ECB1E22">
                  <w:pPr>
                    <w:pStyle w:val="257"/>
                    <w:rPr>
                      <w:rFonts w:hint="default"/>
                      <w:b w:val="0"/>
                      <w:bCs w:val="0"/>
                      <w:u w:val="none"/>
                      <w:lang w:val="en-US" w:eastAsia="zh-CN"/>
                    </w:rPr>
                  </w:pPr>
                  <w:r>
                    <w:rPr>
                      <w:rFonts w:hint="eastAsia"/>
                      <w:b w:val="0"/>
                      <w:bCs w:val="0"/>
                      <w:u w:val="none"/>
                      <w:lang w:val="en-US" w:eastAsia="zh-CN"/>
                    </w:rPr>
                    <w:t>低氮燃烧+8m排气筒</w:t>
                  </w:r>
                </w:p>
              </w:tc>
              <w:tc>
                <w:tcPr>
                  <w:tcW w:w="630" w:type="dxa"/>
                  <w:tcMar>
                    <w:left w:w="57" w:type="dxa"/>
                    <w:right w:w="57" w:type="dxa"/>
                  </w:tcMar>
                  <w:vAlign w:val="center"/>
                </w:tcPr>
                <w:p w14:paraId="70CDC490">
                  <w:pPr>
                    <w:pStyle w:val="257"/>
                    <w:rPr>
                      <w:rFonts w:hint="eastAsia" w:eastAsia="宋体"/>
                      <w:b w:val="0"/>
                      <w:bCs w:val="0"/>
                      <w:u w:val="none"/>
                      <w:lang w:val="en-US" w:eastAsia="zh-CN"/>
                    </w:rPr>
                  </w:pPr>
                  <w:r>
                    <w:rPr>
                      <w:rFonts w:hint="eastAsia"/>
                      <w:b w:val="0"/>
                      <w:bCs w:val="0"/>
                      <w:u w:val="none"/>
                      <w:lang w:val="en-US" w:eastAsia="zh-CN"/>
                    </w:rPr>
                    <w:t>/</w:t>
                  </w:r>
                </w:p>
              </w:tc>
              <w:tc>
                <w:tcPr>
                  <w:tcW w:w="783" w:type="dxa"/>
                  <w:tcMar>
                    <w:left w:w="57" w:type="dxa"/>
                    <w:right w:w="57" w:type="dxa"/>
                  </w:tcMar>
                  <w:vAlign w:val="center"/>
                </w:tcPr>
                <w:p w14:paraId="5ECCF5E9">
                  <w:pPr>
                    <w:pStyle w:val="257"/>
                    <w:rPr>
                      <w:rFonts w:hint="eastAsia" w:eastAsia="宋体"/>
                      <w:b w:val="0"/>
                      <w:bCs w:val="0"/>
                      <w:u w:val="none"/>
                      <w:lang w:eastAsia="zh-CN"/>
                    </w:rPr>
                  </w:pPr>
                  <w:r>
                    <w:rPr>
                      <w:rFonts w:hint="eastAsia"/>
                      <w:b w:val="0"/>
                      <w:bCs w:val="0"/>
                      <w:u w:val="none"/>
                      <w:lang w:eastAsia="zh-CN"/>
                    </w:rPr>
                    <w:t>是</w:t>
                  </w:r>
                </w:p>
              </w:tc>
              <w:tc>
                <w:tcPr>
                  <w:tcW w:w="780" w:type="dxa"/>
                  <w:tcMar>
                    <w:left w:w="57" w:type="dxa"/>
                    <w:right w:w="57" w:type="dxa"/>
                  </w:tcMar>
                  <w:vAlign w:val="center"/>
                </w:tcPr>
                <w:p w14:paraId="01F1690F">
                  <w:pPr>
                    <w:pStyle w:val="257"/>
                    <w:rPr>
                      <w:rFonts w:hint="default" w:eastAsia="宋体"/>
                      <w:b w:val="0"/>
                      <w:bCs w:val="0"/>
                      <w:u w:val="none"/>
                      <w:lang w:val="en-US" w:eastAsia="zh-CN"/>
                    </w:rPr>
                  </w:pPr>
                  <w:r>
                    <w:rPr>
                      <w:rFonts w:hint="eastAsia"/>
                      <w:b w:val="0"/>
                      <w:bCs w:val="0"/>
                      <w:u w:val="none"/>
                      <w:lang w:val="en-US" w:eastAsia="zh-CN"/>
                    </w:rPr>
                    <w:t>DA002</w:t>
                  </w:r>
                </w:p>
              </w:tc>
            </w:tr>
            <w:tr w14:paraId="13C1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06" w:hRule="atLeast"/>
                <w:jc w:val="center"/>
              </w:trPr>
              <w:tc>
                <w:tcPr>
                  <w:tcW w:w="803" w:type="dxa"/>
                  <w:tcMar>
                    <w:left w:w="57" w:type="dxa"/>
                    <w:right w:w="57" w:type="dxa"/>
                  </w:tcMar>
                  <w:vAlign w:val="center"/>
                </w:tcPr>
                <w:p w14:paraId="451B4F34">
                  <w:pPr>
                    <w:pStyle w:val="257"/>
                    <w:rPr>
                      <w:rFonts w:hint="default"/>
                      <w:b w:val="0"/>
                      <w:bCs w:val="0"/>
                      <w:u w:val="none"/>
                      <w:lang w:val="en-US" w:eastAsia="zh-CN"/>
                    </w:rPr>
                  </w:pPr>
                  <w:r>
                    <w:rPr>
                      <w:rFonts w:hint="eastAsia"/>
                      <w:b w:val="0"/>
                      <w:bCs w:val="0"/>
                      <w:u w:val="none"/>
                      <w:lang w:val="en-US" w:eastAsia="zh-CN"/>
                    </w:rPr>
                    <w:t>污水处理站</w:t>
                  </w:r>
                </w:p>
              </w:tc>
              <w:tc>
                <w:tcPr>
                  <w:tcW w:w="1412" w:type="dxa"/>
                  <w:tcMar>
                    <w:left w:w="57" w:type="dxa"/>
                    <w:right w:w="57" w:type="dxa"/>
                  </w:tcMar>
                  <w:vAlign w:val="center"/>
                </w:tcPr>
                <w:p w14:paraId="5DE55ADA">
                  <w:pPr>
                    <w:pStyle w:val="257"/>
                    <w:rPr>
                      <w:b w:val="0"/>
                      <w:bCs w:val="0"/>
                      <w:u w:val="none"/>
                    </w:rPr>
                  </w:pPr>
                  <w:r>
                    <w:rPr>
                      <w:rFonts w:hint="eastAsia"/>
                      <w:b w:val="0"/>
                      <w:bCs w:val="0"/>
                      <w:u w:val="none"/>
                      <w:lang w:val="en-US" w:eastAsia="zh-CN"/>
                    </w:rPr>
                    <w:t>氨、硫化氢、臭气浓度</w:t>
                  </w:r>
                </w:p>
              </w:tc>
              <w:tc>
                <w:tcPr>
                  <w:tcW w:w="1270" w:type="dxa"/>
                  <w:tcMar>
                    <w:left w:w="57" w:type="dxa"/>
                    <w:right w:w="57" w:type="dxa"/>
                  </w:tcMar>
                  <w:vAlign w:val="center"/>
                </w:tcPr>
                <w:p w14:paraId="74A427BB">
                  <w:pPr>
                    <w:pStyle w:val="257"/>
                    <w:rPr>
                      <w:rFonts w:hint="eastAsia" w:eastAsia="宋体"/>
                      <w:b w:val="0"/>
                      <w:bCs w:val="0"/>
                      <w:u w:val="none"/>
                      <w:lang w:val="en-US" w:eastAsia="zh-CN"/>
                    </w:rPr>
                  </w:pPr>
                  <w:r>
                    <w:rPr>
                      <w:rFonts w:hint="eastAsia"/>
                      <w:b w:val="0"/>
                      <w:bCs w:val="0"/>
                      <w:u w:val="none"/>
                    </w:rPr>
                    <w:t>产生恶臭区域加罩或加盖</w:t>
                  </w:r>
                  <w:r>
                    <w:rPr>
                      <w:rFonts w:hint="eastAsia"/>
                      <w:b w:val="0"/>
                      <w:bCs w:val="0"/>
                      <w:u w:val="none"/>
                      <w:lang w:eastAsia="zh-CN"/>
                    </w:rPr>
                    <w:t>；</w:t>
                  </w:r>
                  <w:r>
                    <w:rPr>
                      <w:rFonts w:hint="eastAsia"/>
                      <w:b w:val="0"/>
                      <w:bCs w:val="0"/>
                      <w:u w:val="none"/>
                    </w:rPr>
                    <w:t>投放除臭剂</w:t>
                  </w:r>
                  <w:r>
                    <w:rPr>
                      <w:rFonts w:hint="eastAsia"/>
                      <w:b w:val="0"/>
                      <w:bCs w:val="0"/>
                      <w:u w:val="none"/>
                      <w:lang w:val="en-US" w:eastAsia="zh-CN"/>
                    </w:rPr>
                    <w:t>等</w:t>
                  </w:r>
                </w:p>
              </w:tc>
              <w:tc>
                <w:tcPr>
                  <w:tcW w:w="891" w:type="dxa"/>
                  <w:tcMar>
                    <w:left w:w="57" w:type="dxa"/>
                    <w:right w:w="57" w:type="dxa"/>
                  </w:tcMar>
                  <w:vAlign w:val="center"/>
                </w:tcPr>
                <w:p w14:paraId="2B41E14A">
                  <w:pPr>
                    <w:pStyle w:val="257"/>
                    <w:rPr>
                      <w:rFonts w:hint="eastAsia" w:eastAsia="宋体"/>
                      <w:b w:val="0"/>
                      <w:bCs w:val="0"/>
                      <w:u w:val="none"/>
                      <w:lang w:val="en-US" w:eastAsia="zh-CN"/>
                    </w:rPr>
                  </w:pPr>
                  <w:r>
                    <w:rPr>
                      <w:rFonts w:hint="eastAsia"/>
                      <w:b w:val="0"/>
                      <w:bCs w:val="0"/>
                      <w:u w:val="none"/>
                      <w:lang w:val="en-US" w:eastAsia="zh-CN"/>
                    </w:rPr>
                    <w:t>/</w:t>
                  </w:r>
                </w:p>
              </w:tc>
              <w:tc>
                <w:tcPr>
                  <w:tcW w:w="642" w:type="dxa"/>
                  <w:tcMar>
                    <w:left w:w="57" w:type="dxa"/>
                    <w:right w:w="57" w:type="dxa"/>
                  </w:tcMar>
                  <w:vAlign w:val="center"/>
                </w:tcPr>
                <w:p w14:paraId="360C41A6">
                  <w:pPr>
                    <w:pStyle w:val="257"/>
                    <w:rPr>
                      <w:rFonts w:hint="default"/>
                      <w:b w:val="0"/>
                      <w:bCs w:val="0"/>
                      <w:u w:val="none"/>
                      <w:lang w:val="en-US" w:eastAsia="zh-CN"/>
                    </w:rPr>
                  </w:pPr>
                  <w:r>
                    <w:rPr>
                      <w:rFonts w:hint="eastAsia"/>
                      <w:b w:val="0"/>
                      <w:bCs w:val="0"/>
                      <w:u w:val="none"/>
                      <w:lang w:val="en-US" w:eastAsia="zh-CN"/>
                    </w:rPr>
                    <w:t>/</w:t>
                  </w:r>
                </w:p>
              </w:tc>
              <w:tc>
                <w:tcPr>
                  <w:tcW w:w="1092" w:type="dxa"/>
                  <w:tcMar>
                    <w:left w:w="57" w:type="dxa"/>
                    <w:right w:w="57" w:type="dxa"/>
                  </w:tcMar>
                  <w:vAlign w:val="center"/>
                </w:tcPr>
                <w:p w14:paraId="788CC626">
                  <w:pPr>
                    <w:keepNext w:val="0"/>
                    <w:keepLines w:val="0"/>
                    <w:pageBreakBefore w:val="0"/>
                    <w:kinsoku/>
                    <w:wordWrap/>
                    <w:overflowPunct/>
                    <w:topLinePunct w:val="0"/>
                    <w:autoSpaceDE/>
                    <w:autoSpaceDN/>
                    <w:bidi w:val="0"/>
                    <w:adjustRightInd/>
                    <w:snapToGrid w:val="0"/>
                    <w:spacing w:line="240" w:lineRule="auto"/>
                    <w:ind w:right="0"/>
                    <w:jc w:val="center"/>
                    <w:textAlignment w:val="auto"/>
                    <w:rPr>
                      <w:rFonts w:hint="eastAsia"/>
                      <w:b w:val="0"/>
                      <w:bCs w:val="0"/>
                      <w:u w:val="none"/>
                      <w:lang w:val="en-US" w:eastAsia="zh-CN"/>
                    </w:rPr>
                  </w:pPr>
                  <w:r>
                    <w:rPr>
                      <w:rFonts w:hint="eastAsia"/>
                      <w:b w:val="0"/>
                      <w:bCs w:val="0"/>
                      <w:u w:val="none"/>
                      <w:lang w:val="en-US" w:eastAsia="zh-CN"/>
                    </w:rPr>
                    <w:t>产臭区域密闭</w:t>
                  </w:r>
                </w:p>
                <w:p w14:paraId="0567D1E5">
                  <w:pPr>
                    <w:pStyle w:val="257"/>
                    <w:rPr>
                      <w:rFonts w:hint="eastAsia"/>
                      <w:b w:val="0"/>
                      <w:bCs w:val="0"/>
                      <w:u w:val="none"/>
                      <w:lang w:val="en-US" w:eastAsia="zh-CN"/>
                    </w:rPr>
                  </w:pPr>
                  <w:r>
                    <w:rPr>
                      <w:rFonts w:hint="eastAsia"/>
                      <w:b w:val="0"/>
                      <w:bCs w:val="0"/>
                      <w:sz w:val="21"/>
                      <w:szCs w:val="21"/>
                      <w:u w:val="none"/>
                      <w:lang w:val="en-US" w:eastAsia="zh-CN"/>
                    </w:rPr>
                    <w:t>+喷洒除臭剂</w:t>
                  </w:r>
                </w:p>
              </w:tc>
              <w:tc>
                <w:tcPr>
                  <w:tcW w:w="630" w:type="dxa"/>
                  <w:tcMar>
                    <w:left w:w="57" w:type="dxa"/>
                    <w:right w:w="57" w:type="dxa"/>
                  </w:tcMar>
                  <w:vAlign w:val="center"/>
                </w:tcPr>
                <w:p w14:paraId="4FB5494A">
                  <w:pPr>
                    <w:pStyle w:val="257"/>
                    <w:rPr>
                      <w:rFonts w:hint="default" w:eastAsia="宋体"/>
                      <w:b w:val="0"/>
                      <w:bCs w:val="0"/>
                      <w:u w:val="none"/>
                      <w:lang w:val="en-US" w:eastAsia="zh-CN"/>
                    </w:rPr>
                  </w:pPr>
                  <w:r>
                    <w:rPr>
                      <w:rFonts w:hint="eastAsia"/>
                      <w:b w:val="0"/>
                      <w:bCs w:val="0"/>
                      <w:u w:val="none"/>
                      <w:lang w:val="en-US" w:eastAsia="zh-CN"/>
                    </w:rPr>
                    <w:t>50%</w:t>
                  </w:r>
                </w:p>
              </w:tc>
              <w:tc>
                <w:tcPr>
                  <w:tcW w:w="783" w:type="dxa"/>
                  <w:tcMar>
                    <w:left w:w="57" w:type="dxa"/>
                    <w:right w:w="57" w:type="dxa"/>
                  </w:tcMar>
                  <w:vAlign w:val="center"/>
                </w:tcPr>
                <w:p w14:paraId="0042D9FC">
                  <w:pPr>
                    <w:pStyle w:val="257"/>
                    <w:rPr>
                      <w:rFonts w:hint="eastAsia" w:eastAsia="宋体"/>
                      <w:b w:val="0"/>
                      <w:bCs w:val="0"/>
                      <w:u w:val="none"/>
                      <w:lang w:eastAsia="zh-CN"/>
                    </w:rPr>
                  </w:pPr>
                  <w:r>
                    <w:rPr>
                      <w:rFonts w:hint="eastAsia"/>
                      <w:b w:val="0"/>
                      <w:bCs w:val="0"/>
                      <w:u w:val="none"/>
                      <w:lang w:eastAsia="zh-CN"/>
                    </w:rPr>
                    <w:t>是</w:t>
                  </w:r>
                </w:p>
              </w:tc>
              <w:tc>
                <w:tcPr>
                  <w:tcW w:w="780" w:type="dxa"/>
                  <w:tcMar>
                    <w:left w:w="57" w:type="dxa"/>
                    <w:right w:w="57" w:type="dxa"/>
                  </w:tcMar>
                  <w:vAlign w:val="center"/>
                </w:tcPr>
                <w:p w14:paraId="18E212DF">
                  <w:pPr>
                    <w:pStyle w:val="257"/>
                    <w:rPr>
                      <w:rFonts w:hint="eastAsia" w:eastAsia="宋体"/>
                      <w:b w:val="0"/>
                      <w:bCs w:val="0"/>
                      <w:u w:val="none"/>
                      <w:lang w:val="en-US" w:eastAsia="zh-CN"/>
                    </w:rPr>
                  </w:pPr>
                  <w:r>
                    <w:rPr>
                      <w:rFonts w:hint="eastAsia"/>
                      <w:b w:val="0"/>
                      <w:bCs w:val="0"/>
                      <w:u w:val="none"/>
                      <w:lang w:val="en-US" w:eastAsia="zh-CN"/>
                    </w:rPr>
                    <w:t>/</w:t>
                  </w:r>
                </w:p>
              </w:tc>
            </w:tr>
          </w:tbl>
          <w:p w14:paraId="3138F435">
            <w:pPr>
              <w:pStyle w:val="102"/>
              <w:spacing w:before="120" w:after="120"/>
              <w:ind w:firstLine="240"/>
              <w:rPr>
                <w:color w:val="000000"/>
              </w:rPr>
            </w:pPr>
            <w:r>
              <w:rPr>
                <w:color w:val="000000"/>
              </w:rPr>
              <w:t>1.2源强核算</w:t>
            </w:r>
          </w:p>
          <w:p w14:paraId="32B740C2">
            <w:pPr>
              <w:numPr>
                <w:ilvl w:val="0"/>
                <w:numId w:val="0"/>
              </w:numPr>
              <w:adjustRightInd w:val="0"/>
              <w:snapToGrid w:val="0"/>
              <w:spacing w:line="360" w:lineRule="auto"/>
              <w:ind w:firstLine="480" w:firstLineChars="200"/>
              <w:jc w:val="left"/>
              <w:rPr>
                <w:rFonts w:hint="default"/>
                <w:sz w:val="24"/>
                <w:lang w:val="en-US" w:eastAsia="zh-CN"/>
              </w:rPr>
            </w:pPr>
            <w:r>
              <w:rPr>
                <w:rFonts w:hint="eastAsia"/>
                <w:sz w:val="24"/>
                <w:lang w:val="en-US" w:eastAsia="zh-CN"/>
              </w:rPr>
              <w:t>1.2.1天然气燃烧废气</w:t>
            </w:r>
          </w:p>
          <w:p w14:paraId="75754ED9">
            <w:pPr>
              <w:numPr>
                <w:ilvl w:val="0"/>
                <w:numId w:val="0"/>
              </w:numPr>
              <w:adjustRightInd w:val="0"/>
              <w:snapToGrid w:val="0"/>
              <w:spacing w:line="360" w:lineRule="auto"/>
              <w:ind w:firstLine="480"/>
              <w:jc w:val="left"/>
              <w:rPr>
                <w:rFonts w:hint="eastAsia" w:cs="Times New Roman"/>
                <w:b w:val="0"/>
                <w:bCs w:val="0"/>
                <w:color w:val="auto"/>
                <w:sz w:val="24"/>
                <w:szCs w:val="24"/>
                <w:highlight w:val="none"/>
                <w:u w:val="none" w:color="auto"/>
                <w:lang w:val="en-US" w:eastAsia="zh-CN"/>
              </w:rPr>
            </w:pPr>
            <w:r>
              <w:rPr>
                <w:rFonts w:hint="eastAsia" w:cs="Times New Roman"/>
                <w:b w:val="0"/>
                <w:bCs w:val="0"/>
                <w:color w:val="auto"/>
                <w:sz w:val="24"/>
                <w:szCs w:val="24"/>
                <w:highlight w:val="none"/>
                <w:u w:val="none" w:color="auto"/>
                <w:lang w:val="en-US" w:eastAsia="zh-CN"/>
              </w:rPr>
              <w:t>黄豆酱在制作过程中需煮豆和熬制，豆腐需卤制，上述工序均使用天然气，年工作时间2400h。根据企业提供的资料，该工序天然气使用量为5万m</w:t>
            </w:r>
            <w:r>
              <w:rPr>
                <w:rFonts w:hint="eastAsia" w:cs="Times New Roman"/>
                <w:b w:val="0"/>
                <w:bCs w:val="0"/>
                <w:color w:val="auto"/>
                <w:sz w:val="24"/>
                <w:szCs w:val="24"/>
                <w:highlight w:val="none"/>
                <w:u w:val="none" w:color="auto"/>
                <w:vertAlign w:val="superscript"/>
                <w:lang w:val="en-US" w:eastAsia="zh-CN"/>
              </w:rPr>
              <w:t>3</w:t>
            </w:r>
            <w:r>
              <w:rPr>
                <w:rFonts w:hint="eastAsia" w:cs="Times New Roman"/>
                <w:b w:val="0"/>
                <w:bCs w:val="0"/>
                <w:color w:val="auto"/>
                <w:sz w:val="24"/>
                <w:szCs w:val="24"/>
                <w:highlight w:val="none"/>
                <w:u w:val="none" w:color="auto"/>
                <w:lang w:val="en-US" w:eastAsia="zh-CN"/>
              </w:rPr>
              <w:t>，根据《环境影响评价工程师职业资格登记培训教材 社会区域类》（中国环境科学出版社）中所提供的数据：每燃烧1万立方米天然气，NOx的产生量为17.6kg；烟尘的产生量为1.4kg；SO</w:t>
            </w:r>
            <w:r>
              <w:rPr>
                <w:rFonts w:hint="eastAsia" w:cs="Times New Roman"/>
                <w:b w:val="0"/>
                <w:bCs w:val="0"/>
                <w:color w:val="auto"/>
                <w:sz w:val="24"/>
                <w:szCs w:val="24"/>
                <w:highlight w:val="none"/>
                <w:u w:val="none" w:color="auto"/>
                <w:vertAlign w:val="subscript"/>
                <w:lang w:val="en-US" w:eastAsia="zh-CN"/>
              </w:rPr>
              <w:t>2</w:t>
            </w:r>
            <w:r>
              <w:rPr>
                <w:rFonts w:hint="eastAsia" w:cs="Times New Roman"/>
                <w:b w:val="0"/>
                <w:bCs w:val="0"/>
                <w:color w:val="auto"/>
                <w:sz w:val="24"/>
                <w:szCs w:val="24"/>
                <w:highlight w:val="none"/>
                <w:u w:val="none" w:color="auto"/>
                <w:lang w:val="en-US" w:eastAsia="zh-CN"/>
              </w:rPr>
              <w:t>的产生量为1.8kg。由此可计算得，废气污染物的产生量为：NOx：0.088t/a，颗粒物：0.007t/a，SO</w:t>
            </w:r>
            <w:r>
              <w:rPr>
                <w:rFonts w:hint="eastAsia" w:cs="Times New Roman"/>
                <w:b w:val="0"/>
                <w:bCs w:val="0"/>
                <w:color w:val="auto"/>
                <w:sz w:val="24"/>
                <w:szCs w:val="24"/>
                <w:highlight w:val="none"/>
                <w:u w:val="none" w:color="auto"/>
                <w:vertAlign w:val="subscript"/>
                <w:lang w:val="en-US" w:eastAsia="zh-CN"/>
              </w:rPr>
              <w:t>2</w:t>
            </w:r>
            <w:r>
              <w:rPr>
                <w:rFonts w:hint="eastAsia" w:cs="Times New Roman"/>
                <w:b w:val="0"/>
                <w:bCs w:val="0"/>
                <w:color w:val="auto"/>
                <w:sz w:val="24"/>
                <w:szCs w:val="24"/>
                <w:highlight w:val="none"/>
                <w:u w:val="none" w:color="auto"/>
                <w:lang w:val="en-US" w:eastAsia="zh-CN"/>
              </w:rPr>
              <w:t>：0.009t/a；产生速率为：NOx：0.037kg/h，颗粒物：0.003kg/h，SO</w:t>
            </w:r>
            <w:r>
              <w:rPr>
                <w:rFonts w:hint="eastAsia" w:cs="Times New Roman"/>
                <w:b w:val="0"/>
                <w:bCs w:val="0"/>
                <w:color w:val="auto"/>
                <w:sz w:val="24"/>
                <w:szCs w:val="24"/>
                <w:highlight w:val="none"/>
                <w:u w:val="none" w:color="auto"/>
                <w:vertAlign w:val="subscript"/>
                <w:lang w:val="en-US" w:eastAsia="zh-CN"/>
              </w:rPr>
              <w:t>2</w:t>
            </w:r>
            <w:r>
              <w:rPr>
                <w:rFonts w:hint="eastAsia" w:cs="Times New Roman"/>
                <w:b w:val="0"/>
                <w:bCs w:val="0"/>
                <w:color w:val="auto"/>
                <w:sz w:val="24"/>
                <w:szCs w:val="24"/>
                <w:highlight w:val="none"/>
                <w:u w:val="none" w:color="auto"/>
                <w:lang w:val="en-US" w:eastAsia="zh-CN"/>
              </w:rPr>
              <w:t>：0.004kg/h。</w:t>
            </w:r>
          </w:p>
          <w:p w14:paraId="533261F7">
            <w:pPr>
              <w:numPr>
                <w:ilvl w:val="0"/>
                <w:numId w:val="0"/>
              </w:numPr>
              <w:adjustRightInd w:val="0"/>
              <w:snapToGrid w:val="0"/>
              <w:spacing w:line="360" w:lineRule="auto"/>
              <w:ind w:firstLine="480"/>
              <w:jc w:val="left"/>
              <w:rPr>
                <w:rFonts w:hint="default" w:eastAsia="宋体" w:cs="Times New Roman"/>
                <w:b w:val="0"/>
                <w:bCs w:val="0"/>
                <w:color w:val="auto"/>
                <w:sz w:val="24"/>
                <w:szCs w:val="24"/>
                <w:highlight w:val="none"/>
                <w:u w:val="none" w:color="auto"/>
                <w:lang w:val="en-US" w:eastAsia="zh-CN"/>
              </w:rPr>
            </w:pPr>
            <w:r>
              <w:rPr>
                <w:rFonts w:hint="eastAsia" w:cs="Times New Roman"/>
                <w:b w:val="0"/>
                <w:bCs w:val="0"/>
                <w:color w:val="auto"/>
                <w:sz w:val="24"/>
                <w:szCs w:val="24"/>
                <w:highlight w:val="none"/>
                <w:u w:val="none" w:color="auto"/>
                <w:lang w:val="en-US" w:eastAsia="zh-CN"/>
              </w:rPr>
              <w:t>天燃气燃烧废气经煮锅和炒锅上方集气罩收集后合并排放，风机风量为9000m</w:t>
            </w:r>
            <w:r>
              <w:rPr>
                <w:rFonts w:hint="eastAsia" w:cs="Times New Roman"/>
                <w:b w:val="0"/>
                <w:bCs w:val="0"/>
                <w:color w:val="auto"/>
                <w:sz w:val="24"/>
                <w:szCs w:val="24"/>
                <w:highlight w:val="none"/>
                <w:u w:val="none" w:color="auto"/>
                <w:vertAlign w:val="superscript"/>
                <w:lang w:val="en-US" w:eastAsia="zh-CN"/>
              </w:rPr>
              <w:t>3</w:t>
            </w:r>
            <w:r>
              <w:rPr>
                <w:rFonts w:hint="eastAsia" w:cs="Times New Roman"/>
                <w:b w:val="0"/>
                <w:bCs w:val="0"/>
                <w:color w:val="auto"/>
                <w:sz w:val="24"/>
                <w:szCs w:val="24"/>
                <w:highlight w:val="none"/>
                <w:u w:val="none" w:color="auto"/>
                <w:lang w:val="en-US" w:eastAsia="zh-CN"/>
              </w:rPr>
              <w:t>/h（其中煮锅上方集气罩风量为1000m</w:t>
            </w:r>
            <w:r>
              <w:rPr>
                <w:rFonts w:hint="eastAsia" w:cs="Times New Roman"/>
                <w:b w:val="0"/>
                <w:bCs w:val="0"/>
                <w:color w:val="auto"/>
                <w:sz w:val="24"/>
                <w:szCs w:val="24"/>
                <w:highlight w:val="none"/>
                <w:u w:val="none" w:color="auto"/>
                <w:vertAlign w:val="superscript"/>
                <w:lang w:val="en-US" w:eastAsia="zh-CN"/>
              </w:rPr>
              <w:t>3</w:t>
            </w:r>
            <w:r>
              <w:rPr>
                <w:rFonts w:hint="eastAsia" w:cs="Times New Roman"/>
                <w:b w:val="0"/>
                <w:bCs w:val="0"/>
                <w:color w:val="auto"/>
                <w:sz w:val="24"/>
                <w:szCs w:val="24"/>
                <w:highlight w:val="none"/>
                <w:u w:val="none" w:color="auto"/>
                <w:lang w:val="en-US" w:eastAsia="zh-CN"/>
              </w:rPr>
              <w:t>/h，炒锅上方合并油烟净化器风量为8000m</w:t>
            </w:r>
            <w:r>
              <w:rPr>
                <w:rFonts w:hint="eastAsia" w:cs="Times New Roman"/>
                <w:b w:val="0"/>
                <w:bCs w:val="0"/>
                <w:color w:val="auto"/>
                <w:sz w:val="24"/>
                <w:szCs w:val="24"/>
                <w:highlight w:val="none"/>
                <w:u w:val="none" w:color="auto"/>
                <w:vertAlign w:val="superscript"/>
                <w:lang w:val="en-US" w:eastAsia="zh-CN"/>
              </w:rPr>
              <w:t>3</w:t>
            </w:r>
            <w:r>
              <w:rPr>
                <w:rFonts w:hint="eastAsia" w:cs="Times New Roman"/>
                <w:b w:val="0"/>
                <w:bCs w:val="0"/>
                <w:color w:val="auto"/>
                <w:sz w:val="24"/>
                <w:szCs w:val="24"/>
                <w:highlight w:val="none"/>
                <w:u w:val="none" w:color="auto"/>
                <w:lang w:val="en-US" w:eastAsia="zh-CN"/>
              </w:rPr>
              <w:t>/h），则天燃气燃烧废气排放浓度为NOx：4.11mg/m</w:t>
            </w:r>
            <w:r>
              <w:rPr>
                <w:rFonts w:hint="eastAsia" w:cs="Times New Roman"/>
                <w:b w:val="0"/>
                <w:bCs w:val="0"/>
                <w:color w:val="auto"/>
                <w:sz w:val="24"/>
                <w:szCs w:val="24"/>
                <w:highlight w:val="none"/>
                <w:u w:val="none" w:color="auto"/>
                <w:vertAlign w:val="superscript"/>
                <w:lang w:val="en-US" w:eastAsia="zh-CN"/>
              </w:rPr>
              <w:t>3</w:t>
            </w:r>
            <w:r>
              <w:rPr>
                <w:rFonts w:hint="eastAsia" w:cs="Times New Roman"/>
                <w:b w:val="0"/>
                <w:bCs w:val="0"/>
                <w:color w:val="auto"/>
                <w:sz w:val="24"/>
                <w:szCs w:val="24"/>
                <w:highlight w:val="none"/>
                <w:u w:val="none" w:color="auto"/>
                <w:lang w:val="en-US" w:eastAsia="zh-CN"/>
              </w:rPr>
              <w:t>，颗粒物：0.33mg/m</w:t>
            </w:r>
            <w:r>
              <w:rPr>
                <w:rFonts w:hint="eastAsia" w:cs="Times New Roman"/>
                <w:b w:val="0"/>
                <w:bCs w:val="0"/>
                <w:color w:val="auto"/>
                <w:sz w:val="24"/>
                <w:szCs w:val="24"/>
                <w:highlight w:val="none"/>
                <w:u w:val="none" w:color="auto"/>
                <w:vertAlign w:val="superscript"/>
                <w:lang w:val="en-US" w:eastAsia="zh-CN"/>
              </w:rPr>
              <w:t>3</w:t>
            </w:r>
            <w:r>
              <w:rPr>
                <w:rFonts w:hint="eastAsia" w:cs="Times New Roman"/>
                <w:b w:val="0"/>
                <w:bCs w:val="0"/>
                <w:color w:val="auto"/>
                <w:sz w:val="24"/>
                <w:szCs w:val="24"/>
                <w:highlight w:val="none"/>
                <w:u w:val="none" w:color="auto"/>
                <w:lang w:val="en-US" w:eastAsia="zh-CN"/>
              </w:rPr>
              <w:t>，SO</w:t>
            </w:r>
            <w:r>
              <w:rPr>
                <w:rFonts w:hint="eastAsia" w:cs="Times New Roman"/>
                <w:b w:val="0"/>
                <w:bCs w:val="0"/>
                <w:color w:val="auto"/>
                <w:sz w:val="24"/>
                <w:szCs w:val="24"/>
                <w:highlight w:val="none"/>
                <w:u w:val="none" w:color="auto"/>
                <w:vertAlign w:val="subscript"/>
                <w:lang w:val="en-US" w:eastAsia="zh-CN"/>
              </w:rPr>
              <w:t>2</w:t>
            </w:r>
            <w:r>
              <w:rPr>
                <w:rFonts w:hint="eastAsia" w:cs="Times New Roman"/>
                <w:b w:val="0"/>
                <w:bCs w:val="0"/>
                <w:color w:val="auto"/>
                <w:sz w:val="24"/>
                <w:szCs w:val="24"/>
                <w:highlight w:val="none"/>
                <w:u w:val="none" w:color="auto"/>
                <w:lang w:val="en-US" w:eastAsia="zh-CN"/>
              </w:rPr>
              <w:t>：0.44mg/m</w:t>
            </w:r>
            <w:r>
              <w:rPr>
                <w:rFonts w:hint="eastAsia" w:cs="Times New Roman"/>
                <w:b w:val="0"/>
                <w:bCs w:val="0"/>
                <w:color w:val="auto"/>
                <w:sz w:val="24"/>
                <w:szCs w:val="24"/>
                <w:highlight w:val="none"/>
                <w:u w:val="none" w:color="auto"/>
                <w:vertAlign w:val="superscript"/>
                <w:lang w:val="en-US" w:eastAsia="zh-CN"/>
              </w:rPr>
              <w:t>3</w:t>
            </w:r>
            <w:r>
              <w:rPr>
                <w:rFonts w:hint="eastAsia" w:cs="Times New Roman"/>
                <w:b w:val="0"/>
                <w:bCs w:val="0"/>
                <w:color w:val="auto"/>
                <w:sz w:val="24"/>
                <w:szCs w:val="24"/>
                <w:highlight w:val="none"/>
                <w:u w:val="none" w:color="auto"/>
                <w:lang w:val="en-US" w:eastAsia="zh-CN"/>
              </w:rPr>
              <w:t>。满足</w:t>
            </w:r>
            <w:r>
              <w:rPr>
                <w:kern w:val="0"/>
                <w:sz w:val="24"/>
                <w:szCs w:val="24"/>
              </w:rPr>
              <w:t>《工业炉窑大气污染物排放标准》（DB411066-2020）</w:t>
            </w:r>
            <w:r>
              <w:rPr>
                <w:rFonts w:hint="eastAsia"/>
                <w:sz w:val="24"/>
                <w:szCs w:val="24"/>
                <w:lang w:val="en-US" w:eastAsia="zh-CN"/>
              </w:rPr>
              <w:t>（颗粒物≤30mg/m</w:t>
            </w:r>
            <w:r>
              <w:rPr>
                <w:rFonts w:hint="eastAsia"/>
                <w:sz w:val="24"/>
                <w:szCs w:val="24"/>
                <w:vertAlign w:val="superscript"/>
                <w:lang w:val="en-US" w:eastAsia="zh-CN"/>
              </w:rPr>
              <w:t>3</w:t>
            </w:r>
            <w:r>
              <w:rPr>
                <w:rFonts w:hint="eastAsia"/>
                <w:sz w:val="24"/>
                <w:szCs w:val="24"/>
                <w:lang w:val="en-US" w:eastAsia="zh-CN"/>
              </w:rPr>
              <w:t>、二氧化硫≤200mg/m</w:t>
            </w:r>
            <w:r>
              <w:rPr>
                <w:rFonts w:hint="eastAsia"/>
                <w:sz w:val="24"/>
                <w:szCs w:val="24"/>
                <w:vertAlign w:val="superscript"/>
                <w:lang w:val="en-US" w:eastAsia="zh-CN"/>
              </w:rPr>
              <w:t>3</w:t>
            </w:r>
            <w:r>
              <w:rPr>
                <w:rFonts w:hint="eastAsia"/>
                <w:sz w:val="24"/>
                <w:szCs w:val="24"/>
                <w:lang w:val="en-US" w:eastAsia="zh-CN"/>
              </w:rPr>
              <w:t>、</w:t>
            </w:r>
            <w:r>
              <w:rPr>
                <w:spacing w:val="4"/>
                <w:sz w:val="24"/>
                <w:szCs w:val="24"/>
              </w:rPr>
              <w:t>NO</w:t>
            </w:r>
            <w:r>
              <w:rPr>
                <w:spacing w:val="4"/>
                <w:sz w:val="24"/>
                <w:szCs w:val="24"/>
                <w:vertAlign w:val="subscript"/>
              </w:rPr>
              <w:t>x</w:t>
            </w:r>
            <w:r>
              <w:rPr>
                <w:rFonts w:hint="eastAsia"/>
                <w:spacing w:val="4"/>
                <w:sz w:val="24"/>
                <w:szCs w:val="24"/>
                <w:vertAlign w:val="baseline"/>
                <w:lang w:val="en-US" w:eastAsia="zh-CN"/>
              </w:rPr>
              <w:t>≤300mg/m</w:t>
            </w:r>
            <w:r>
              <w:rPr>
                <w:rFonts w:hint="eastAsia"/>
                <w:spacing w:val="4"/>
                <w:sz w:val="24"/>
                <w:szCs w:val="24"/>
                <w:vertAlign w:val="superscript"/>
                <w:lang w:val="en-US" w:eastAsia="zh-CN"/>
              </w:rPr>
              <w:t>3</w:t>
            </w:r>
            <w:r>
              <w:rPr>
                <w:rFonts w:hint="eastAsia"/>
                <w:sz w:val="24"/>
                <w:szCs w:val="24"/>
                <w:lang w:val="en-US" w:eastAsia="zh-CN"/>
              </w:rPr>
              <w:t>）</w:t>
            </w:r>
            <w:r>
              <w:rPr>
                <w:rFonts w:hint="eastAsia"/>
                <w:kern w:val="0"/>
                <w:sz w:val="24"/>
                <w:szCs w:val="24"/>
                <w:lang w:val="en-US" w:eastAsia="zh-CN"/>
              </w:rPr>
              <w:t>及</w:t>
            </w:r>
            <w:r>
              <w:rPr>
                <w:sz w:val="24"/>
                <w:szCs w:val="24"/>
              </w:rPr>
              <w:t>《河南省重污染天气</w:t>
            </w:r>
            <w:r>
              <w:rPr>
                <w:rFonts w:hint="eastAsia"/>
                <w:sz w:val="24"/>
                <w:szCs w:val="24"/>
                <w:lang w:val="en-US" w:eastAsia="zh-CN"/>
              </w:rPr>
              <w:t>通用</w:t>
            </w:r>
            <w:r>
              <w:rPr>
                <w:sz w:val="24"/>
                <w:szCs w:val="24"/>
              </w:rPr>
              <w:t>行业应急减排措施制定技术指南》（20</w:t>
            </w:r>
            <w:r>
              <w:rPr>
                <w:rFonts w:hint="eastAsia"/>
                <w:sz w:val="24"/>
                <w:szCs w:val="24"/>
                <w:lang w:val="en-US" w:eastAsia="zh-CN"/>
              </w:rPr>
              <w:t>24</w:t>
            </w:r>
            <w:r>
              <w:rPr>
                <w:sz w:val="24"/>
                <w:szCs w:val="24"/>
              </w:rPr>
              <w:t>年修订版）中“</w:t>
            </w:r>
            <w:r>
              <w:rPr>
                <w:rFonts w:hint="eastAsia"/>
                <w:sz w:val="24"/>
                <w:szCs w:val="24"/>
                <w:lang w:val="en-US" w:eastAsia="zh-CN"/>
              </w:rPr>
              <w:t>涉工业炉窑</w:t>
            </w:r>
            <w:r>
              <w:rPr>
                <w:sz w:val="24"/>
                <w:szCs w:val="24"/>
              </w:rPr>
              <w:t>”</w:t>
            </w:r>
            <w:r>
              <w:rPr>
                <w:rFonts w:hint="eastAsia"/>
                <w:sz w:val="24"/>
                <w:szCs w:val="24"/>
                <w:lang w:val="en-US" w:eastAsia="zh-CN"/>
              </w:rPr>
              <w:t>排放标准要求（颗粒物≤10mg/m</w:t>
            </w:r>
            <w:r>
              <w:rPr>
                <w:rFonts w:hint="eastAsia"/>
                <w:sz w:val="24"/>
                <w:szCs w:val="24"/>
                <w:vertAlign w:val="superscript"/>
                <w:lang w:val="en-US" w:eastAsia="zh-CN"/>
              </w:rPr>
              <w:t>3</w:t>
            </w:r>
            <w:r>
              <w:rPr>
                <w:rFonts w:hint="eastAsia"/>
                <w:sz w:val="24"/>
                <w:szCs w:val="24"/>
                <w:lang w:val="en-US" w:eastAsia="zh-CN"/>
              </w:rPr>
              <w:t>、二氧化硫≤35mg/m</w:t>
            </w:r>
            <w:r>
              <w:rPr>
                <w:rFonts w:hint="eastAsia"/>
                <w:sz w:val="24"/>
                <w:szCs w:val="24"/>
                <w:vertAlign w:val="superscript"/>
                <w:lang w:val="en-US" w:eastAsia="zh-CN"/>
              </w:rPr>
              <w:t>3</w:t>
            </w:r>
            <w:r>
              <w:rPr>
                <w:rFonts w:hint="eastAsia"/>
                <w:sz w:val="24"/>
                <w:szCs w:val="24"/>
                <w:lang w:val="en-US" w:eastAsia="zh-CN"/>
              </w:rPr>
              <w:t>、</w:t>
            </w:r>
            <w:r>
              <w:rPr>
                <w:spacing w:val="4"/>
                <w:sz w:val="24"/>
                <w:szCs w:val="24"/>
              </w:rPr>
              <w:t>NO</w:t>
            </w:r>
            <w:r>
              <w:rPr>
                <w:spacing w:val="4"/>
                <w:sz w:val="24"/>
                <w:szCs w:val="24"/>
                <w:vertAlign w:val="subscript"/>
              </w:rPr>
              <w:t>x</w:t>
            </w:r>
            <w:r>
              <w:rPr>
                <w:rFonts w:hint="eastAsia"/>
                <w:spacing w:val="4"/>
                <w:sz w:val="24"/>
                <w:szCs w:val="24"/>
                <w:vertAlign w:val="baseline"/>
                <w:lang w:val="en-US" w:eastAsia="zh-CN"/>
              </w:rPr>
              <w:t>≤50mg/m</w:t>
            </w:r>
            <w:r>
              <w:rPr>
                <w:rFonts w:hint="eastAsia"/>
                <w:spacing w:val="4"/>
                <w:sz w:val="24"/>
                <w:szCs w:val="24"/>
                <w:vertAlign w:val="superscript"/>
                <w:lang w:val="en-US" w:eastAsia="zh-CN"/>
              </w:rPr>
              <w:t>3</w:t>
            </w:r>
            <w:r>
              <w:rPr>
                <w:rFonts w:hint="eastAsia"/>
                <w:sz w:val="24"/>
                <w:szCs w:val="24"/>
                <w:lang w:val="en-US" w:eastAsia="zh-CN"/>
              </w:rPr>
              <w:t>）。</w:t>
            </w:r>
          </w:p>
          <w:p w14:paraId="5E96B4AD">
            <w:pPr>
              <w:numPr>
                <w:ilvl w:val="0"/>
                <w:numId w:val="0"/>
              </w:numPr>
              <w:adjustRightInd w:val="0"/>
              <w:snapToGrid w:val="0"/>
              <w:spacing w:line="360" w:lineRule="auto"/>
              <w:ind w:firstLine="480" w:firstLineChars="0"/>
              <w:jc w:val="left"/>
              <w:rPr>
                <w:rFonts w:hint="eastAsia" w:cs="Times New Roman"/>
                <w:b w:val="0"/>
                <w:bCs w:val="0"/>
                <w:color w:val="auto"/>
                <w:sz w:val="24"/>
                <w:szCs w:val="24"/>
                <w:highlight w:val="none"/>
                <w:u w:val="none" w:color="auto"/>
                <w:lang w:val="en-US" w:eastAsia="zh-CN"/>
              </w:rPr>
            </w:pPr>
            <w:r>
              <w:rPr>
                <w:rFonts w:hint="eastAsia" w:cs="Times New Roman"/>
                <w:b w:val="0"/>
                <w:bCs w:val="0"/>
                <w:color w:val="auto"/>
                <w:kern w:val="2"/>
                <w:sz w:val="24"/>
                <w:szCs w:val="24"/>
                <w:u w:color="auto"/>
                <w:lang w:val="en-US" w:eastAsia="zh-CN" w:bidi="ar-SA"/>
              </w:rPr>
              <w:t>1.2.2</w:t>
            </w:r>
            <w:r>
              <w:rPr>
                <w:rFonts w:hint="eastAsia" w:cs="Times New Roman"/>
                <w:b w:val="0"/>
                <w:bCs w:val="0"/>
                <w:color w:val="auto"/>
                <w:sz w:val="24"/>
                <w:szCs w:val="24"/>
                <w:highlight w:val="none"/>
                <w:u w:val="none" w:color="auto"/>
                <w:lang w:val="en-US" w:eastAsia="zh-CN"/>
              </w:rPr>
              <w:t>油烟废气</w:t>
            </w:r>
          </w:p>
          <w:p w14:paraId="4E51C724">
            <w:pPr>
              <w:numPr>
                <w:ilvl w:val="0"/>
                <w:numId w:val="0"/>
              </w:numPr>
              <w:adjustRightInd w:val="0"/>
              <w:snapToGrid w:val="0"/>
              <w:spacing w:line="360" w:lineRule="auto"/>
              <w:ind w:firstLine="480"/>
              <w:jc w:val="left"/>
              <w:rPr>
                <w:rFonts w:hint="eastAsia"/>
                <w:sz w:val="24"/>
                <w:szCs w:val="24"/>
                <w:lang w:val="en-US" w:eastAsia="zh-CN"/>
              </w:rPr>
            </w:pPr>
            <w:r>
              <w:rPr>
                <w:rFonts w:hint="eastAsia" w:ascii="Times New Roman" w:hAnsi="Times New Roman" w:cs="Times New Roman"/>
                <w:sz w:val="24"/>
                <w:szCs w:val="24"/>
                <w:lang w:val="en-US" w:eastAsia="zh-CN"/>
              </w:rPr>
              <w:t>据类比调查，不同的烧炸工况油烟气中烟气浓度及挥发量均有所不同，油的平均挥发量为总耗油量的3%。本项目食用油用量2</w:t>
            </w:r>
            <w:r>
              <w:rPr>
                <w:rFonts w:hint="eastAsia" w:cs="Times New Roman"/>
                <w:sz w:val="24"/>
                <w:szCs w:val="24"/>
                <w:lang w:val="en-US" w:eastAsia="zh-CN"/>
              </w:rPr>
              <w:t>1</w:t>
            </w:r>
            <w:r>
              <w:rPr>
                <w:rFonts w:hint="eastAsia" w:ascii="Times New Roman" w:hAnsi="Times New Roman" w:cs="Times New Roman"/>
                <w:sz w:val="24"/>
                <w:szCs w:val="24"/>
                <w:lang w:val="en-US" w:eastAsia="zh-CN"/>
              </w:rPr>
              <w:t>t/a，经核算，本项目产生油烟量为0.6</w:t>
            </w:r>
            <w:r>
              <w:rPr>
                <w:rFonts w:hint="eastAsia" w:cs="Times New Roman"/>
                <w:sz w:val="24"/>
                <w:szCs w:val="24"/>
                <w:lang w:val="en-US" w:eastAsia="zh-CN"/>
              </w:rPr>
              <w:t>3</w:t>
            </w:r>
            <w:r>
              <w:rPr>
                <w:rFonts w:hint="eastAsia" w:ascii="Times New Roman" w:hAnsi="Times New Roman" w:cs="Times New Roman"/>
                <w:sz w:val="24"/>
                <w:szCs w:val="24"/>
                <w:lang w:val="en-US" w:eastAsia="zh-CN"/>
              </w:rPr>
              <w:t>t/a。车间共设</w:t>
            </w:r>
            <w:r>
              <w:rPr>
                <w:rFonts w:hint="eastAsia" w:cs="Times New Roman"/>
                <w:sz w:val="24"/>
                <w:szCs w:val="24"/>
                <w:lang w:val="en-US" w:eastAsia="zh-CN"/>
              </w:rPr>
              <w:t>2</w:t>
            </w:r>
            <w:r>
              <w:rPr>
                <w:rFonts w:hint="eastAsia" w:ascii="Times New Roman" w:hAnsi="Times New Roman" w:cs="Times New Roman"/>
                <w:sz w:val="24"/>
                <w:szCs w:val="24"/>
                <w:lang w:val="en-US" w:eastAsia="zh-CN"/>
              </w:rPr>
              <w:t>个炒锅，炒锅上方设集气罩+高效油烟净化器，</w:t>
            </w:r>
            <w:r>
              <w:rPr>
                <w:rFonts w:hint="eastAsia" w:cs="Times New Roman"/>
                <w:sz w:val="24"/>
                <w:szCs w:val="24"/>
                <w:lang w:val="en-US" w:eastAsia="zh-CN"/>
              </w:rPr>
              <w:t>收集效率为90%，</w:t>
            </w:r>
            <w:r>
              <w:rPr>
                <w:rFonts w:hint="eastAsia" w:cs="Times New Roman"/>
                <w:b w:val="0"/>
                <w:bCs w:val="0"/>
                <w:color w:val="auto"/>
                <w:sz w:val="24"/>
                <w:szCs w:val="24"/>
                <w:highlight w:val="none"/>
                <w:u w:val="none" w:color="auto"/>
                <w:lang w:val="en-US" w:eastAsia="zh-CN"/>
              </w:rPr>
              <w:t>油烟净化器风量为8000m</w:t>
            </w:r>
            <w:r>
              <w:rPr>
                <w:rFonts w:hint="eastAsia" w:cs="Times New Roman"/>
                <w:b w:val="0"/>
                <w:bCs w:val="0"/>
                <w:color w:val="auto"/>
                <w:sz w:val="24"/>
                <w:szCs w:val="24"/>
                <w:highlight w:val="none"/>
                <w:u w:val="none" w:color="auto"/>
                <w:vertAlign w:val="superscript"/>
                <w:lang w:val="en-US" w:eastAsia="zh-CN"/>
              </w:rPr>
              <w:t>3</w:t>
            </w:r>
            <w:r>
              <w:rPr>
                <w:rFonts w:hint="eastAsia" w:cs="Times New Roman"/>
                <w:b w:val="0"/>
                <w:bCs w:val="0"/>
                <w:color w:val="auto"/>
                <w:sz w:val="24"/>
                <w:szCs w:val="24"/>
                <w:highlight w:val="none"/>
                <w:u w:val="none" w:color="auto"/>
                <w:lang w:val="en-US" w:eastAsia="zh-CN"/>
              </w:rPr>
              <w:t>/h，处理效率为95%，</w:t>
            </w:r>
            <w:r>
              <w:rPr>
                <w:rFonts w:hint="eastAsia" w:ascii="Times New Roman" w:hAnsi="Times New Roman" w:cs="Times New Roman"/>
                <w:sz w:val="24"/>
                <w:szCs w:val="24"/>
                <w:lang w:val="en-US" w:eastAsia="zh-CN"/>
              </w:rPr>
              <w:t>工作时间为2400h，则油烟的产生速率为0.2</w:t>
            </w:r>
            <w:r>
              <w:rPr>
                <w:rFonts w:hint="eastAsia" w:cs="Times New Roman"/>
                <w:sz w:val="24"/>
                <w:szCs w:val="24"/>
                <w:lang w:val="en-US" w:eastAsia="zh-CN"/>
              </w:rPr>
              <w:t>4</w:t>
            </w:r>
            <w:r>
              <w:rPr>
                <w:rFonts w:hint="eastAsia" w:ascii="Times New Roman" w:hAnsi="Times New Roman" w:cs="Times New Roman"/>
                <w:sz w:val="24"/>
                <w:szCs w:val="24"/>
                <w:lang w:val="en-US" w:eastAsia="zh-CN"/>
              </w:rPr>
              <w:t>kg/h，则油烟产生浓度为</w:t>
            </w:r>
            <w:r>
              <w:rPr>
                <w:rFonts w:hint="eastAsia" w:cs="Times New Roman"/>
                <w:sz w:val="24"/>
                <w:szCs w:val="24"/>
                <w:lang w:val="en-US" w:eastAsia="zh-CN"/>
              </w:rPr>
              <w:t>30</w:t>
            </w:r>
            <w:r>
              <w:rPr>
                <w:rFonts w:hint="eastAsia" w:ascii="Times New Roman" w:hAnsi="Times New Roman" w:cs="Times New Roman"/>
                <w:sz w:val="24"/>
                <w:szCs w:val="24"/>
                <w:lang w:val="en-US" w:eastAsia="zh-CN"/>
              </w:rPr>
              <w:t>mg/m</w:t>
            </w:r>
            <w:r>
              <w:rPr>
                <w:rFonts w:hint="eastAsia" w:ascii="Times New Roman" w:hAnsi="Times New Roman" w:cs="Times New Roman"/>
                <w:sz w:val="24"/>
                <w:szCs w:val="24"/>
                <w:vertAlign w:val="superscript"/>
                <w:lang w:val="en-US" w:eastAsia="zh-CN"/>
              </w:rPr>
              <w:t>3</w:t>
            </w:r>
            <w:r>
              <w:rPr>
                <w:rFonts w:hint="eastAsia" w:ascii="Times New Roman" w:hAnsi="Times New Roman" w:cs="Times New Roman"/>
                <w:sz w:val="24"/>
                <w:szCs w:val="24"/>
                <w:lang w:val="en-US" w:eastAsia="zh-CN"/>
              </w:rPr>
              <w:t>。油烟废气经高效油烟净化器处理后油烟的排放浓度为1.</w:t>
            </w:r>
            <w:r>
              <w:rPr>
                <w:rFonts w:hint="eastAsia" w:cs="Times New Roman"/>
                <w:sz w:val="24"/>
                <w:szCs w:val="24"/>
                <w:lang w:val="en-US" w:eastAsia="zh-CN"/>
              </w:rPr>
              <w:t>48</w:t>
            </w:r>
            <w:r>
              <w:rPr>
                <w:rFonts w:hint="eastAsia" w:ascii="Times New Roman" w:hAnsi="Times New Roman" w:cs="Times New Roman"/>
                <w:sz w:val="24"/>
                <w:szCs w:val="24"/>
                <w:lang w:val="en-US" w:eastAsia="zh-CN"/>
              </w:rPr>
              <w:t>mg/m</w:t>
            </w:r>
            <w:r>
              <w:rPr>
                <w:rFonts w:hint="eastAsia" w:ascii="Times New Roman" w:hAnsi="Times New Roman" w:cs="Times New Roman"/>
                <w:sz w:val="24"/>
                <w:szCs w:val="24"/>
                <w:vertAlign w:val="superscript"/>
                <w:lang w:val="en-US" w:eastAsia="zh-CN"/>
              </w:rPr>
              <w:t>3</w:t>
            </w:r>
            <w:r>
              <w:rPr>
                <w:rFonts w:hint="eastAsia" w:ascii="Times New Roman" w:hAnsi="Times New Roman" w:cs="Times New Roman"/>
                <w:sz w:val="24"/>
                <w:szCs w:val="24"/>
                <w:lang w:val="en-US" w:eastAsia="zh-CN"/>
              </w:rPr>
              <w:t>，排放量为0.03t（0.01</w:t>
            </w:r>
            <w:r>
              <w:rPr>
                <w:rFonts w:hint="eastAsia" w:cs="Times New Roman"/>
                <w:sz w:val="24"/>
                <w:szCs w:val="24"/>
                <w:lang w:val="en-US" w:eastAsia="zh-CN"/>
              </w:rPr>
              <w:t>2</w:t>
            </w:r>
            <w:r>
              <w:rPr>
                <w:rFonts w:hint="eastAsia" w:ascii="Times New Roman" w:hAnsi="Times New Roman" w:cs="Times New Roman"/>
                <w:sz w:val="24"/>
                <w:szCs w:val="24"/>
                <w:lang w:val="en-US" w:eastAsia="zh-CN"/>
              </w:rPr>
              <w:t>kg/h），满足</w:t>
            </w:r>
            <w:r>
              <w:rPr>
                <w:rFonts w:hint="eastAsia"/>
                <w:sz w:val="24"/>
                <w:szCs w:val="24"/>
                <w:lang w:val="en-US" w:eastAsia="zh-CN"/>
              </w:rPr>
              <w:t>《饮食业油烟排放标准（试行）》（GB18483-2001）小型标准要求（油烟≤2.0mg/m、去除效率≥60%）。</w:t>
            </w:r>
          </w:p>
          <w:p w14:paraId="0B5E3619">
            <w:pPr>
              <w:numPr>
                <w:ilvl w:val="0"/>
                <w:numId w:val="0"/>
              </w:numPr>
              <w:adjustRightInd w:val="0"/>
              <w:snapToGrid w:val="0"/>
              <w:spacing w:line="360" w:lineRule="auto"/>
              <w:ind w:firstLine="480"/>
              <w:jc w:val="left"/>
              <w:rPr>
                <w:rFonts w:hint="default"/>
                <w:sz w:val="24"/>
                <w:szCs w:val="24"/>
                <w:lang w:val="en-US" w:eastAsia="zh-CN"/>
              </w:rPr>
            </w:pPr>
            <w:r>
              <w:rPr>
                <w:rFonts w:hint="eastAsia"/>
                <w:sz w:val="24"/>
                <w:szCs w:val="24"/>
                <w:lang w:val="en-US" w:eastAsia="zh-CN"/>
              </w:rPr>
              <w:t>考虑到生产过程中车间内存在的食物香味，统称为臭气浓度，评价要求企业在油烟净化器后端安装活性炭吸附装置用于去除臭气浓度，本环评仅做定性分析。</w:t>
            </w:r>
          </w:p>
          <w:p w14:paraId="0BD1A524">
            <w:pPr>
              <w:numPr>
                <w:ilvl w:val="0"/>
                <w:numId w:val="0"/>
              </w:numPr>
              <w:adjustRightInd w:val="0"/>
              <w:snapToGrid w:val="0"/>
              <w:spacing w:line="360" w:lineRule="auto"/>
              <w:ind w:firstLine="480" w:firstLineChars="200"/>
              <w:jc w:val="left"/>
              <w:rPr>
                <w:rFonts w:hint="default"/>
                <w:sz w:val="24"/>
                <w:lang w:val="en-US" w:eastAsia="zh-CN"/>
              </w:rPr>
            </w:pPr>
            <w:r>
              <w:rPr>
                <w:rFonts w:hint="eastAsia" w:ascii="Times New Roman" w:hAnsi="Times New Roman" w:cs="Times New Roman"/>
                <w:sz w:val="24"/>
                <w:szCs w:val="24"/>
                <w:lang w:val="en-US" w:eastAsia="zh-CN"/>
              </w:rPr>
              <w:t>1.2.3</w:t>
            </w:r>
            <w:r>
              <w:rPr>
                <w:rFonts w:hint="eastAsia"/>
                <w:sz w:val="24"/>
                <w:lang w:val="en-US" w:eastAsia="zh-CN"/>
              </w:rPr>
              <w:t>锅炉废气</w:t>
            </w:r>
          </w:p>
          <w:p w14:paraId="0F20D5E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default" w:eastAsia="宋体"/>
                <w:sz w:val="24"/>
                <w:lang w:val="en-US" w:eastAsia="zh-CN"/>
              </w:rPr>
            </w:pPr>
            <w:r>
              <w:rPr>
                <w:rFonts w:hint="eastAsia"/>
                <w:sz w:val="24"/>
                <w:lang w:val="en-US" w:eastAsia="zh-CN"/>
              </w:rPr>
              <w:t>本项目使用1台型号为WZ-1.0-0.8-Q蒸汽发生器，使用天然气作为燃料，其污染物核算参考锅炉产污系数。</w:t>
            </w:r>
          </w:p>
          <w:p w14:paraId="6F3915A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sz w:val="24"/>
              </w:rPr>
            </w:pPr>
            <w:r>
              <w:rPr>
                <w:rFonts w:hint="eastAsia"/>
                <w:sz w:val="24"/>
              </w:rPr>
              <w:t>①基准烟气量核算</w:t>
            </w:r>
          </w:p>
          <w:p w14:paraId="230DA7BB">
            <w:pPr>
              <w:pStyle w:val="180"/>
              <w:ind w:firstLine="480"/>
              <w:rPr>
                <w:rFonts w:eastAsia="宋体"/>
                <w:b w:val="0"/>
                <w:color w:val="auto"/>
              </w:rPr>
            </w:pPr>
            <w:r>
              <w:rPr>
                <w:rFonts w:hint="eastAsia" w:eastAsia="宋体"/>
                <w:b w:val="0"/>
                <w:color w:val="auto"/>
              </w:rPr>
              <w:t>根据《排污许可证申请与核发技术规范—锅炉》（HJ953-2018）基准烟气量核算中经验公式估算法，燃气锅炉采用天然气为燃料的基准烟气量为：</w:t>
            </w:r>
          </w:p>
          <w:p w14:paraId="36B2AA03">
            <w:pPr>
              <w:pStyle w:val="180"/>
              <w:ind w:firstLine="0" w:firstLineChars="0"/>
              <w:jc w:val="center"/>
              <w:rPr>
                <w:rFonts w:eastAsia="宋体"/>
                <w:b w:val="0"/>
                <w:color w:val="auto"/>
              </w:rPr>
            </w:pPr>
            <w:r>
              <w:rPr>
                <w:rFonts w:hint="eastAsia" w:eastAsia="宋体"/>
                <w:b w:val="0"/>
                <w:color w:val="auto"/>
              </w:rPr>
              <w:t>V</w:t>
            </w:r>
            <w:r>
              <w:rPr>
                <w:rFonts w:hint="eastAsia" w:eastAsia="宋体"/>
                <w:b w:val="0"/>
                <w:color w:val="auto"/>
                <w:vertAlign w:val="subscript"/>
              </w:rPr>
              <w:t>gy</w:t>
            </w:r>
            <w:r>
              <w:rPr>
                <w:rFonts w:hint="eastAsia" w:eastAsia="宋体"/>
                <w:b w:val="0"/>
                <w:color w:val="auto"/>
              </w:rPr>
              <w:t>=0.285Q</w:t>
            </w:r>
            <w:r>
              <w:rPr>
                <w:rFonts w:hint="eastAsia" w:eastAsia="宋体"/>
                <w:b w:val="0"/>
                <w:color w:val="auto"/>
                <w:vertAlign w:val="subscript"/>
              </w:rPr>
              <w:t>net</w:t>
            </w:r>
            <w:r>
              <w:rPr>
                <w:rFonts w:hint="eastAsia" w:eastAsia="宋体"/>
                <w:b w:val="0"/>
                <w:color w:val="auto"/>
              </w:rPr>
              <w:t>+0.343  （单位Nm</w:t>
            </w:r>
            <w:r>
              <w:rPr>
                <w:rFonts w:hint="eastAsia" w:eastAsia="宋体"/>
                <w:b w:val="0"/>
                <w:color w:val="auto"/>
                <w:vertAlign w:val="superscript"/>
              </w:rPr>
              <w:t>3</w:t>
            </w:r>
            <w:r>
              <w:rPr>
                <w:rFonts w:hint="eastAsia" w:eastAsia="宋体"/>
                <w:b w:val="0"/>
                <w:color w:val="auto"/>
              </w:rPr>
              <w:t>/m</w:t>
            </w:r>
            <w:r>
              <w:rPr>
                <w:rFonts w:hint="eastAsia" w:eastAsia="宋体"/>
                <w:b w:val="0"/>
                <w:color w:val="auto"/>
                <w:vertAlign w:val="superscript"/>
              </w:rPr>
              <w:t>3</w:t>
            </w:r>
            <w:r>
              <w:rPr>
                <w:rFonts w:hint="eastAsia" w:eastAsia="宋体"/>
                <w:b w:val="0"/>
                <w:color w:val="auto"/>
              </w:rPr>
              <w:t>）</w:t>
            </w:r>
          </w:p>
          <w:p w14:paraId="0D86E9C9">
            <w:pPr>
              <w:pStyle w:val="180"/>
              <w:ind w:firstLine="480"/>
              <w:rPr>
                <w:rFonts w:eastAsia="宋体"/>
                <w:b w:val="0"/>
                <w:color w:val="auto"/>
              </w:rPr>
            </w:pPr>
            <w:r>
              <w:rPr>
                <w:rFonts w:hint="eastAsia" w:eastAsia="宋体"/>
                <w:b w:val="0"/>
                <w:color w:val="auto"/>
              </w:rPr>
              <w:t>式中Q</w:t>
            </w:r>
            <w:r>
              <w:rPr>
                <w:rFonts w:hint="eastAsia" w:eastAsia="宋体"/>
                <w:b w:val="0"/>
                <w:color w:val="auto"/>
                <w:vertAlign w:val="subscript"/>
              </w:rPr>
              <w:t>net</w:t>
            </w:r>
            <w:r>
              <w:rPr>
                <w:rFonts w:hint="eastAsia" w:eastAsia="宋体"/>
                <w:b w:val="0"/>
                <w:color w:val="auto"/>
              </w:rPr>
              <w:t>为气体燃料低位发热量（MJ/m</w:t>
            </w:r>
            <w:r>
              <w:rPr>
                <w:rFonts w:hint="eastAsia" w:eastAsia="宋体"/>
                <w:b w:val="0"/>
                <w:color w:val="auto"/>
                <w:vertAlign w:val="superscript"/>
              </w:rPr>
              <w:t>3</w:t>
            </w:r>
            <w:r>
              <w:rPr>
                <w:rFonts w:hint="eastAsia" w:eastAsia="宋体"/>
                <w:b w:val="0"/>
                <w:color w:val="auto"/>
              </w:rPr>
              <w:t>）。</w:t>
            </w:r>
          </w:p>
          <w:p w14:paraId="520852B3">
            <w:pPr>
              <w:pStyle w:val="180"/>
              <w:ind w:firstLine="480"/>
              <w:jc w:val="both"/>
              <w:rPr>
                <w:rFonts w:eastAsia="宋体"/>
                <w:b w:val="0"/>
                <w:color w:val="auto"/>
              </w:rPr>
            </w:pPr>
            <w:r>
              <w:rPr>
                <w:rFonts w:hint="eastAsia" w:eastAsia="宋体"/>
                <w:b w:val="0"/>
                <w:color w:val="auto"/>
              </w:rPr>
              <w:t>查阅陕西省石油产品质量监督检验二站有限公司检测报告（NO.YS 18080012），天然气低位发热量34.886MJ/m</w:t>
            </w:r>
            <w:r>
              <w:rPr>
                <w:rFonts w:hint="eastAsia" w:eastAsia="宋体"/>
                <w:b w:val="0"/>
                <w:color w:val="auto"/>
                <w:vertAlign w:val="superscript"/>
              </w:rPr>
              <w:t>3</w:t>
            </w:r>
            <w:r>
              <w:rPr>
                <w:rFonts w:hint="eastAsia" w:eastAsia="宋体"/>
                <w:b w:val="0"/>
                <w:color w:val="auto"/>
              </w:rPr>
              <w:t>，则V</w:t>
            </w:r>
            <w:r>
              <w:rPr>
                <w:rFonts w:hint="eastAsia" w:eastAsia="宋体"/>
                <w:b w:val="0"/>
                <w:color w:val="auto"/>
                <w:vertAlign w:val="subscript"/>
              </w:rPr>
              <w:t>gy</w:t>
            </w:r>
            <w:r>
              <w:rPr>
                <w:rFonts w:hint="eastAsia" w:eastAsia="宋体"/>
                <w:b w:val="0"/>
                <w:color w:val="auto"/>
              </w:rPr>
              <w:t>=10.285Nm</w:t>
            </w:r>
            <w:r>
              <w:rPr>
                <w:rFonts w:hint="eastAsia" w:eastAsia="宋体"/>
                <w:b w:val="0"/>
                <w:color w:val="auto"/>
                <w:vertAlign w:val="superscript"/>
              </w:rPr>
              <w:t>3</w:t>
            </w:r>
            <w:r>
              <w:rPr>
                <w:rFonts w:hint="eastAsia" w:eastAsia="宋体"/>
                <w:b w:val="0"/>
                <w:color w:val="auto"/>
              </w:rPr>
              <w:t>/m</w:t>
            </w:r>
            <w:r>
              <w:rPr>
                <w:rFonts w:hint="eastAsia" w:eastAsia="宋体"/>
                <w:b w:val="0"/>
                <w:color w:val="auto"/>
                <w:vertAlign w:val="superscript"/>
              </w:rPr>
              <w:t>3</w:t>
            </w:r>
            <w:r>
              <w:rPr>
                <w:rFonts w:hint="eastAsia" w:eastAsia="宋体"/>
                <w:b w:val="0"/>
                <w:color w:val="auto"/>
              </w:rPr>
              <w:t>。</w:t>
            </w:r>
          </w:p>
          <w:p w14:paraId="0A76C56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sz w:val="24"/>
                <w:szCs w:val="24"/>
                <w:lang w:val="en-US" w:eastAsia="zh-CN"/>
              </w:rPr>
            </w:pPr>
            <w:r>
              <w:rPr>
                <w:rFonts w:hint="eastAsia" w:eastAsia="宋体"/>
                <w:b w:val="0"/>
                <w:color w:val="auto"/>
                <w:sz w:val="24"/>
                <w:szCs w:val="24"/>
              </w:rPr>
              <w:t>项目</w:t>
            </w:r>
            <w:r>
              <w:rPr>
                <w:rFonts w:hint="eastAsia" w:eastAsia="宋体"/>
                <w:b w:val="0"/>
                <w:color w:val="auto"/>
                <w:sz w:val="24"/>
                <w:szCs w:val="24"/>
                <w:lang w:val="en-US" w:eastAsia="zh-CN"/>
              </w:rPr>
              <w:t>蒸汽发生炉</w:t>
            </w:r>
            <w:r>
              <w:rPr>
                <w:rFonts w:hint="eastAsia" w:eastAsia="宋体"/>
                <w:b w:val="0"/>
                <w:color w:val="auto"/>
                <w:sz w:val="24"/>
                <w:szCs w:val="24"/>
              </w:rPr>
              <w:t>年消耗天然气量</w:t>
            </w:r>
            <w:r>
              <w:rPr>
                <w:rFonts w:hint="eastAsia" w:eastAsia="宋体"/>
                <w:b w:val="0"/>
                <w:color w:val="auto"/>
                <w:sz w:val="24"/>
                <w:szCs w:val="24"/>
                <w:lang w:val="en-US" w:eastAsia="zh-CN"/>
              </w:rPr>
              <w:t>12</w:t>
            </w:r>
            <w:r>
              <w:rPr>
                <w:rFonts w:hint="eastAsia" w:eastAsia="宋体"/>
                <w:b w:val="0"/>
                <w:color w:val="auto"/>
                <w:sz w:val="24"/>
                <w:szCs w:val="24"/>
              </w:rPr>
              <w:t>万</w:t>
            </w:r>
            <w:r>
              <w:rPr>
                <w:rFonts w:eastAsia="宋体"/>
                <w:b w:val="0"/>
                <w:color w:val="auto"/>
                <w:sz w:val="24"/>
                <w:szCs w:val="24"/>
              </w:rPr>
              <w:t>立方米</w:t>
            </w:r>
            <w:r>
              <w:rPr>
                <w:rFonts w:hint="eastAsia" w:eastAsia="宋体"/>
                <w:b w:val="0"/>
                <w:color w:val="auto"/>
                <w:sz w:val="24"/>
                <w:szCs w:val="24"/>
              </w:rPr>
              <w:t>，则烟气</w:t>
            </w:r>
            <w:r>
              <w:rPr>
                <w:rFonts w:eastAsia="宋体"/>
                <w:b w:val="0"/>
                <w:color w:val="auto"/>
                <w:sz w:val="24"/>
                <w:szCs w:val="24"/>
              </w:rPr>
              <w:t>产生量为</w:t>
            </w:r>
            <w:r>
              <w:rPr>
                <w:rFonts w:hint="eastAsia" w:eastAsia="宋体"/>
                <w:b w:val="0"/>
                <w:color w:val="auto"/>
                <w:sz w:val="24"/>
                <w:szCs w:val="24"/>
                <w:lang w:val="en-US" w:eastAsia="zh-CN"/>
              </w:rPr>
              <w:t>1.23</w:t>
            </w:r>
            <w:r>
              <w:rPr>
                <w:rFonts w:eastAsia="宋体"/>
                <w:b w:val="0"/>
                <w:color w:val="auto"/>
                <w:sz w:val="24"/>
                <w:szCs w:val="24"/>
              </w:rPr>
              <w:t>×10</w:t>
            </w:r>
            <w:r>
              <w:rPr>
                <w:rFonts w:hint="eastAsia" w:eastAsia="宋体"/>
                <w:b w:val="0"/>
                <w:color w:val="auto"/>
                <w:sz w:val="24"/>
                <w:szCs w:val="24"/>
                <w:vertAlign w:val="superscript"/>
              </w:rPr>
              <w:t>6</w:t>
            </w:r>
            <w:r>
              <w:rPr>
                <w:rFonts w:eastAsia="宋体"/>
                <w:b w:val="0"/>
                <w:color w:val="auto"/>
                <w:sz w:val="24"/>
                <w:szCs w:val="24"/>
              </w:rPr>
              <w:t>m</w:t>
            </w:r>
            <w:r>
              <w:rPr>
                <w:rFonts w:hint="eastAsia" w:eastAsia="宋体"/>
                <w:b w:val="0"/>
                <w:color w:val="auto"/>
                <w:sz w:val="24"/>
                <w:szCs w:val="24"/>
                <w:vertAlign w:val="superscript"/>
              </w:rPr>
              <w:t>3</w:t>
            </w:r>
            <w:r>
              <w:rPr>
                <w:rFonts w:hint="eastAsia"/>
                <w:sz w:val="24"/>
                <w:szCs w:val="24"/>
                <w:lang w:val="en-US" w:eastAsia="zh-CN"/>
              </w:rPr>
              <w:t>。</w:t>
            </w:r>
          </w:p>
          <w:p w14:paraId="57E67D82">
            <w:pPr>
              <w:pStyle w:val="180"/>
              <w:ind w:firstLine="480"/>
              <w:rPr>
                <w:rFonts w:eastAsia="宋体"/>
                <w:b w:val="0"/>
              </w:rPr>
            </w:pPr>
            <w:r>
              <w:rPr>
                <w:rFonts w:hint="eastAsia" w:ascii="宋体" w:hAnsi="宋体" w:eastAsia="宋体" w:cs="宋体"/>
                <w:b w:val="0"/>
              </w:rPr>
              <w:t>②</w:t>
            </w:r>
            <w:r>
              <w:rPr>
                <w:rFonts w:eastAsia="宋体"/>
                <w:b w:val="0"/>
              </w:rPr>
              <w:t>许可排放浓度核算</w:t>
            </w:r>
          </w:p>
          <w:p w14:paraId="0CB8C838">
            <w:pPr>
              <w:pStyle w:val="100"/>
              <w:rPr>
                <w:b/>
                <w:bCs/>
                <w:u w:val="single"/>
              </w:rPr>
            </w:pPr>
            <w:r>
              <w:rPr>
                <w:b/>
                <w:bCs/>
                <w:u w:val="single"/>
              </w:rPr>
              <w:t>项目锅炉采用低氮燃烧降低氮氧化物产生。为确定</w:t>
            </w:r>
            <w:r>
              <w:rPr>
                <w:rFonts w:hint="eastAsia"/>
                <w:b/>
                <w:bCs/>
                <w:u w:val="single"/>
                <w:lang w:val="en-US" w:eastAsia="zh-CN"/>
              </w:rPr>
              <w:t>蒸汽发生器</w:t>
            </w:r>
            <w:r>
              <w:rPr>
                <w:b/>
                <w:bCs/>
                <w:u w:val="single"/>
              </w:rPr>
              <w:t>低氮燃烧治理措施效果，本次</w:t>
            </w:r>
            <w:r>
              <w:rPr>
                <w:rFonts w:hint="eastAsia"/>
                <w:b/>
                <w:bCs/>
                <w:u w:val="single"/>
                <w:lang w:val="en-US" w:eastAsia="zh-CN"/>
              </w:rPr>
              <w:t>评价参考河南真迪食品有限公司蒸汽发生器监测报告</w:t>
            </w:r>
            <w:r>
              <w:rPr>
                <w:b/>
                <w:bCs/>
                <w:u w:val="single"/>
              </w:rPr>
              <w:t>。</w:t>
            </w:r>
          </w:p>
          <w:p w14:paraId="19BA557B">
            <w:pPr>
              <w:pStyle w:val="180"/>
              <w:ind w:firstLine="480"/>
              <w:jc w:val="both"/>
              <w:rPr>
                <w:rFonts w:eastAsia="宋体"/>
                <w:b/>
                <w:bCs/>
                <w:u w:val="single"/>
              </w:rPr>
            </w:pPr>
            <w:r>
              <w:rPr>
                <w:rFonts w:hint="eastAsia" w:ascii="宋体" w:hAnsi="宋体" w:eastAsia="宋体"/>
                <w:b/>
                <w:bCs/>
                <w:u w:val="single"/>
                <w:lang w:eastAsia="zh-CN"/>
              </w:rPr>
              <w:t>根据</w:t>
            </w:r>
            <w:r>
              <w:rPr>
                <w:rFonts w:hint="eastAsia" w:ascii="宋体" w:hAnsi="宋体" w:eastAsia="宋体"/>
                <w:b/>
                <w:bCs/>
                <w:u w:val="single"/>
                <w:lang w:val="en-US" w:eastAsia="zh-CN"/>
              </w:rPr>
              <w:t>河南真迪食品有限公司蒸汽发生器</w:t>
            </w:r>
            <w:r>
              <w:rPr>
                <w:rFonts w:hint="eastAsia" w:ascii="宋体" w:hAnsi="宋体" w:eastAsia="宋体"/>
                <w:b/>
                <w:bCs/>
                <w:u w:val="single"/>
                <w:lang w:eastAsia="zh-CN"/>
              </w:rPr>
              <w:t>监测报告</w:t>
            </w:r>
            <w:r>
              <w:rPr>
                <w:rFonts w:hint="eastAsia" w:ascii="宋体" w:hAnsi="宋体" w:eastAsia="宋体"/>
                <w:b/>
                <w:bCs/>
                <w:u w:val="single"/>
              </w:rPr>
              <w:t>，</w:t>
            </w:r>
            <w:r>
              <w:rPr>
                <w:rFonts w:hint="eastAsia" w:ascii="宋体" w:hAnsi="宋体" w:eastAsia="宋体"/>
                <w:b/>
                <w:bCs/>
                <w:u w:val="single"/>
                <w:lang w:val="en-US" w:eastAsia="zh-CN"/>
              </w:rPr>
              <w:t>蒸汽发生器</w:t>
            </w:r>
            <w:r>
              <w:rPr>
                <w:rFonts w:ascii="宋体" w:hAnsi="宋体" w:eastAsia="宋体"/>
                <w:b/>
                <w:bCs/>
                <w:u w:val="single"/>
              </w:rPr>
              <w:t>排放口颗粒物排放浓度</w:t>
            </w:r>
            <w:r>
              <w:rPr>
                <w:rFonts w:hint="eastAsia" w:eastAsia="宋体"/>
                <w:b/>
                <w:bCs/>
                <w:u w:val="single"/>
                <w:lang w:val="en-US" w:eastAsia="zh-CN"/>
              </w:rPr>
              <w:t>2.2</w:t>
            </w:r>
            <w:r>
              <w:rPr>
                <w:rFonts w:eastAsia="宋体"/>
                <w:b/>
                <w:bCs/>
                <w:u w:val="single"/>
              </w:rPr>
              <w:t>mg/m</w:t>
            </w:r>
            <w:r>
              <w:rPr>
                <w:rFonts w:eastAsia="宋体"/>
                <w:b/>
                <w:bCs/>
                <w:u w:val="single"/>
                <w:vertAlign w:val="superscript"/>
              </w:rPr>
              <w:t>3</w:t>
            </w:r>
            <w:r>
              <w:rPr>
                <w:rFonts w:hAnsi="宋体" w:eastAsia="宋体"/>
                <w:b/>
                <w:bCs/>
                <w:u w:val="single"/>
              </w:rPr>
              <w:t>，二氧化硫排放浓度</w:t>
            </w:r>
            <w:r>
              <w:rPr>
                <w:rFonts w:eastAsia="宋体"/>
                <w:b/>
                <w:bCs/>
                <w:u w:val="single"/>
              </w:rPr>
              <w:t>4mg/m</w:t>
            </w:r>
            <w:r>
              <w:rPr>
                <w:rFonts w:eastAsia="宋体"/>
                <w:b/>
                <w:bCs/>
                <w:u w:val="single"/>
                <w:vertAlign w:val="superscript"/>
              </w:rPr>
              <w:t>3</w:t>
            </w:r>
            <w:r>
              <w:rPr>
                <w:rFonts w:hAnsi="宋体" w:eastAsia="宋体"/>
                <w:b/>
                <w:bCs/>
                <w:u w:val="single"/>
              </w:rPr>
              <w:t>，氮氧化物排放浓度</w:t>
            </w:r>
            <w:r>
              <w:rPr>
                <w:rFonts w:hint="eastAsia" w:eastAsia="宋体"/>
                <w:b/>
                <w:bCs/>
                <w:u w:val="single"/>
                <w:lang w:val="en-US" w:eastAsia="zh-CN"/>
              </w:rPr>
              <w:t>9</w:t>
            </w:r>
            <w:r>
              <w:rPr>
                <w:rFonts w:eastAsia="宋体"/>
                <w:b/>
                <w:bCs/>
                <w:u w:val="single"/>
              </w:rPr>
              <w:t>mg/m</w:t>
            </w:r>
            <w:r>
              <w:rPr>
                <w:rFonts w:eastAsia="宋体"/>
                <w:b/>
                <w:bCs/>
                <w:u w:val="single"/>
                <w:vertAlign w:val="superscript"/>
              </w:rPr>
              <w:t>3</w:t>
            </w:r>
            <w:r>
              <w:rPr>
                <w:rFonts w:ascii="宋体" w:hAnsi="宋体" w:eastAsia="宋体"/>
                <w:b/>
                <w:bCs/>
                <w:u w:val="single"/>
              </w:rPr>
              <w:t>，</w:t>
            </w:r>
            <w:r>
              <w:rPr>
                <w:rFonts w:hint="eastAsia" w:ascii="宋体" w:hAnsi="宋体" w:eastAsia="宋体"/>
                <w:b/>
                <w:bCs/>
                <w:u w:val="single"/>
              </w:rPr>
              <w:t>各项污染物</w:t>
            </w:r>
            <w:r>
              <w:rPr>
                <w:rFonts w:ascii="宋体" w:hAnsi="宋体" w:eastAsia="宋体"/>
                <w:b/>
                <w:bCs/>
                <w:u w:val="single"/>
              </w:rPr>
              <w:t>排放</w:t>
            </w:r>
            <w:r>
              <w:rPr>
                <w:rFonts w:hint="eastAsia" w:ascii="宋体" w:hAnsi="宋体" w:eastAsia="宋体"/>
                <w:b/>
                <w:bCs/>
                <w:u w:val="single"/>
              </w:rPr>
              <w:t>浓度</w:t>
            </w:r>
            <w:r>
              <w:rPr>
                <w:rFonts w:ascii="宋体" w:hAnsi="宋体" w:eastAsia="宋体"/>
                <w:b/>
                <w:bCs/>
                <w:u w:val="single"/>
              </w:rPr>
              <w:t>均满足</w:t>
            </w:r>
            <w:r>
              <w:rPr>
                <w:rFonts w:hint="eastAsia" w:eastAsia="宋体"/>
                <w:b/>
                <w:bCs/>
                <w:szCs w:val="24"/>
                <w:u w:val="single"/>
              </w:rPr>
              <w:t>《锅炉大气污染物排放标准》（DB41/2089-2021）要求</w:t>
            </w:r>
            <w:r>
              <w:rPr>
                <w:rFonts w:eastAsia="宋体"/>
                <w:b/>
                <w:bCs/>
                <w:u w:val="single"/>
              </w:rPr>
              <w:t>。</w:t>
            </w:r>
          </w:p>
          <w:p w14:paraId="28A205E2">
            <w:pPr>
              <w:pStyle w:val="180"/>
              <w:ind w:firstLine="480"/>
              <w:rPr>
                <w:rFonts w:eastAsia="宋体"/>
                <w:b w:val="0"/>
              </w:rPr>
            </w:pPr>
            <w:r>
              <w:rPr>
                <w:rFonts w:hint="eastAsia" w:ascii="宋体" w:hAnsi="宋体" w:eastAsia="宋体" w:cs="宋体"/>
                <w:b w:val="0"/>
              </w:rPr>
              <w:t>③</w:t>
            </w:r>
            <w:r>
              <w:rPr>
                <w:rFonts w:eastAsia="宋体"/>
                <w:b w:val="0"/>
              </w:rPr>
              <w:t>允许排放量核算</w:t>
            </w:r>
          </w:p>
          <w:p w14:paraId="36B92C4F">
            <w:pPr>
              <w:pStyle w:val="180"/>
              <w:ind w:firstLine="480"/>
              <w:rPr>
                <w:rFonts w:hint="default" w:eastAsia="宋体"/>
                <w:b w:val="0"/>
                <w:lang w:val="en-US" w:eastAsia="zh-CN"/>
              </w:rPr>
            </w:pPr>
            <w:r>
              <w:rPr>
                <w:rFonts w:hint="eastAsia" w:eastAsia="宋体"/>
                <w:b w:val="0"/>
                <w:lang w:val="en-US" w:eastAsia="zh-CN"/>
              </w:rPr>
              <w:t>本项目允许排放量核算采用最高允许排放浓度核算。</w:t>
            </w:r>
          </w:p>
          <w:p w14:paraId="271F4BD3">
            <w:pPr>
              <w:pStyle w:val="180"/>
              <w:ind w:firstLine="480"/>
              <w:rPr>
                <w:rFonts w:eastAsia="宋体"/>
                <w:b w:val="0"/>
              </w:rPr>
            </w:pPr>
            <w:r>
              <w:rPr>
                <w:rFonts w:eastAsia="宋体"/>
                <w:b w:val="0"/>
              </w:rPr>
              <w:t>a.氮氧化物允许排放量</w:t>
            </w:r>
          </w:p>
          <w:p w14:paraId="182C585C">
            <w:pPr>
              <w:pStyle w:val="180"/>
              <w:ind w:firstLine="480"/>
              <w:rPr>
                <w:rFonts w:eastAsia="宋体"/>
                <w:b w:val="0"/>
              </w:rPr>
            </w:pPr>
            <w:r>
              <w:rPr>
                <w:rFonts w:eastAsia="宋体"/>
                <w:b w:val="0"/>
              </w:rPr>
              <w:t>根据《排污许可证申请与核发技术规范—锅炉》（HJ953-2018），允许排放量核算方法，气体燃料锅炉废气污染物（氮氧化物）年许可排放量按下式计算：</w:t>
            </w:r>
          </w:p>
          <w:p w14:paraId="4AC5A63C">
            <w:pPr>
              <w:pStyle w:val="180"/>
              <w:ind w:firstLine="0" w:firstLineChars="0"/>
              <w:jc w:val="center"/>
              <w:rPr>
                <w:rFonts w:eastAsia="宋体"/>
                <w:b w:val="0"/>
              </w:rPr>
            </w:pPr>
            <w:r>
              <w:rPr>
                <w:rFonts w:eastAsia="宋体"/>
                <w:b w:val="0"/>
              </w:rPr>
              <w:t>E</w:t>
            </w:r>
            <w:r>
              <w:rPr>
                <w:rFonts w:eastAsia="宋体"/>
                <w:b w:val="0"/>
                <w:vertAlign w:val="subscript"/>
              </w:rPr>
              <w:t>年许可</w:t>
            </w:r>
            <w:r>
              <w:rPr>
                <w:rFonts w:eastAsia="宋体"/>
                <w:b w:val="0"/>
              </w:rPr>
              <w:t>=</w:t>
            </w:r>
            <w:r>
              <w:rPr>
                <w:rFonts w:eastAsia="宋体"/>
                <w:position w:val="-28"/>
              </w:rPr>
              <w:object>
                <v:shape id="_x0000_i1025" o:spt="75" type="#_x0000_t75" style="height:33.75pt;width:29.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rPr>
                <w:rFonts w:eastAsia="宋体"/>
                <w:b w:val="0"/>
              </w:rPr>
              <w:t>×V</w:t>
            </w:r>
            <w:r>
              <w:rPr>
                <w:rFonts w:eastAsia="宋体"/>
                <w:b w:val="0"/>
                <w:vertAlign w:val="subscript"/>
              </w:rPr>
              <w:t>i</w:t>
            </w:r>
            <w:r>
              <w:rPr>
                <w:rFonts w:eastAsia="宋体"/>
                <w:b w:val="0"/>
              </w:rPr>
              <w:t>×R</w:t>
            </w:r>
            <w:r>
              <w:rPr>
                <w:rFonts w:eastAsia="宋体"/>
                <w:b w:val="0"/>
                <w:vertAlign w:val="subscript"/>
              </w:rPr>
              <w:t>i</w:t>
            </w:r>
            <w:r>
              <w:rPr>
                <w:rFonts w:eastAsia="宋体"/>
                <w:b w:val="0"/>
              </w:rPr>
              <w:t>×10</w:t>
            </w:r>
            <w:r>
              <w:rPr>
                <w:rFonts w:eastAsia="宋体"/>
                <w:b w:val="0"/>
                <w:vertAlign w:val="superscript"/>
              </w:rPr>
              <w:t>-5</w:t>
            </w:r>
          </w:p>
          <w:p w14:paraId="77B55068">
            <w:pPr>
              <w:pStyle w:val="180"/>
              <w:ind w:firstLine="480"/>
              <w:rPr>
                <w:rFonts w:eastAsia="宋体"/>
                <w:b w:val="0"/>
              </w:rPr>
            </w:pPr>
            <w:r>
              <w:rPr>
                <w:rFonts w:eastAsia="宋体"/>
                <w:b w:val="0"/>
              </w:rPr>
              <w:t>式中：E</w:t>
            </w:r>
            <w:r>
              <w:rPr>
                <w:rFonts w:eastAsia="宋体"/>
                <w:b w:val="0"/>
                <w:vertAlign w:val="subscript"/>
              </w:rPr>
              <w:t>年许可</w:t>
            </w:r>
            <w:r>
              <w:rPr>
                <w:rFonts w:eastAsia="宋体"/>
                <w:b w:val="0"/>
              </w:rPr>
              <w:t>—锅炉排污单位污染物年许可排放量，吨；</w:t>
            </w:r>
          </w:p>
          <w:p w14:paraId="262EBAAB">
            <w:pPr>
              <w:pStyle w:val="180"/>
              <w:ind w:firstLine="1200" w:firstLineChars="500"/>
              <w:rPr>
                <w:rFonts w:eastAsia="宋体"/>
                <w:b w:val="0"/>
              </w:rPr>
            </w:pPr>
            <w:r>
              <w:rPr>
                <w:rFonts w:eastAsia="宋体"/>
                <w:b w:val="0"/>
              </w:rPr>
              <w:t>C</w:t>
            </w:r>
            <w:r>
              <w:rPr>
                <w:rFonts w:eastAsia="宋体"/>
                <w:b w:val="0"/>
                <w:vertAlign w:val="subscript"/>
              </w:rPr>
              <w:t>i</w:t>
            </w:r>
            <w:r>
              <w:rPr>
                <w:rFonts w:eastAsia="宋体"/>
                <w:b w:val="0"/>
              </w:rPr>
              <w:t>—第i个主要排放口污染物排放标准浓度限值，毫克/立方米；</w:t>
            </w:r>
          </w:p>
          <w:p w14:paraId="0B4C82BE">
            <w:pPr>
              <w:pStyle w:val="180"/>
              <w:ind w:firstLine="1200" w:firstLineChars="500"/>
              <w:rPr>
                <w:rFonts w:eastAsia="宋体"/>
                <w:b w:val="0"/>
              </w:rPr>
            </w:pPr>
            <w:r>
              <w:rPr>
                <w:rFonts w:eastAsia="宋体"/>
                <w:b w:val="0"/>
              </w:rPr>
              <w:t>V</w:t>
            </w:r>
            <w:r>
              <w:rPr>
                <w:rFonts w:eastAsia="宋体"/>
                <w:b w:val="0"/>
                <w:vertAlign w:val="subscript"/>
              </w:rPr>
              <w:t>i</w:t>
            </w:r>
            <w:r>
              <w:rPr>
                <w:rFonts w:eastAsia="宋体"/>
                <w:b w:val="0"/>
              </w:rPr>
              <w:t>—第i个主要排放口基准烟气量，标立方米/千克或标立方米/立方米；</w:t>
            </w:r>
          </w:p>
          <w:p w14:paraId="2DC64283">
            <w:pPr>
              <w:pStyle w:val="180"/>
              <w:ind w:firstLine="1200" w:firstLineChars="500"/>
              <w:rPr>
                <w:rFonts w:eastAsia="宋体"/>
                <w:b w:val="0"/>
              </w:rPr>
            </w:pPr>
            <w:r>
              <w:rPr>
                <w:rFonts w:eastAsia="宋体"/>
                <w:b w:val="0"/>
              </w:rPr>
              <w:t>R</w:t>
            </w:r>
            <w:r>
              <w:rPr>
                <w:rFonts w:eastAsia="宋体"/>
                <w:b w:val="0"/>
                <w:vertAlign w:val="subscript"/>
              </w:rPr>
              <w:t>i</w:t>
            </w:r>
            <w:r>
              <w:rPr>
                <w:rFonts w:eastAsia="宋体"/>
                <w:b w:val="0"/>
              </w:rPr>
              <w:t>—第i个主要排放口所对应的锅炉前三年年平均燃料使用量（未投运或投运不满一年的锅炉按照设计年燃料使用量进行选取，投运满一年但未满三年的锅炉按运行周期年平均燃料使用量选取，当前三年或周期年年平均燃料使用量超过设计燃料使用量时，按设计燃料使用量选取），吨或万立方米；</w:t>
            </w:r>
          </w:p>
          <w:p w14:paraId="736224DB">
            <w:pPr>
              <w:pStyle w:val="180"/>
              <w:adjustRightInd w:val="0"/>
              <w:ind w:firstLine="480"/>
              <w:rPr>
                <w:rFonts w:eastAsia="宋体"/>
                <w:b w:val="0"/>
              </w:rPr>
            </w:pPr>
            <w:r>
              <w:rPr>
                <w:rFonts w:eastAsia="宋体"/>
                <w:b w:val="0"/>
              </w:rPr>
              <w:t>经计算，燃气锅炉氮氧化物年许可排放量E</w:t>
            </w:r>
            <w:r>
              <w:rPr>
                <w:rFonts w:eastAsia="宋体"/>
                <w:b w:val="0"/>
                <w:vertAlign w:val="subscript"/>
              </w:rPr>
              <w:t>年许可</w:t>
            </w:r>
            <w:r>
              <w:rPr>
                <w:rFonts w:eastAsia="宋体"/>
                <w:b w:val="0"/>
              </w:rPr>
              <w:t>=</w:t>
            </w:r>
            <w:r>
              <w:rPr>
                <w:rFonts w:hint="eastAsia" w:eastAsia="宋体"/>
                <w:b w:val="0"/>
              </w:rPr>
              <w:t>3</w:t>
            </w:r>
            <w:r>
              <w:rPr>
                <w:rFonts w:eastAsia="宋体"/>
                <w:b w:val="0"/>
              </w:rPr>
              <w:t>0×</w:t>
            </w:r>
            <w:r>
              <w:rPr>
                <w:rFonts w:hint="eastAsia" w:eastAsia="宋体"/>
                <w:b w:val="0"/>
                <w:lang w:val="en-US" w:eastAsia="zh-CN"/>
              </w:rPr>
              <w:t>12</w:t>
            </w:r>
            <w:r>
              <w:rPr>
                <w:rFonts w:eastAsia="宋体"/>
                <w:b w:val="0"/>
              </w:rPr>
              <w:t>×</w:t>
            </w:r>
            <w:r>
              <w:rPr>
                <w:rFonts w:hint="eastAsia" w:eastAsia="宋体"/>
                <w:b w:val="0"/>
                <w:lang w:val="en-US" w:eastAsia="zh-CN"/>
              </w:rPr>
              <w:t>10.285</w:t>
            </w:r>
            <w:r>
              <w:rPr>
                <w:rFonts w:eastAsia="宋体"/>
                <w:b w:val="0"/>
              </w:rPr>
              <w:t>×10</w:t>
            </w:r>
            <w:r>
              <w:rPr>
                <w:rFonts w:eastAsia="宋体"/>
                <w:b w:val="0"/>
                <w:vertAlign w:val="superscript"/>
              </w:rPr>
              <w:t>-5</w:t>
            </w:r>
            <w:r>
              <w:rPr>
                <w:rFonts w:eastAsia="宋体"/>
                <w:b w:val="0"/>
              </w:rPr>
              <w:t>=</w:t>
            </w:r>
            <w:r>
              <w:rPr>
                <w:rFonts w:hint="eastAsia" w:eastAsia="宋体"/>
                <w:b w:val="0"/>
              </w:rPr>
              <w:t>0.</w:t>
            </w:r>
            <w:r>
              <w:rPr>
                <w:rFonts w:hint="eastAsia" w:eastAsia="宋体"/>
                <w:b w:val="0"/>
                <w:lang w:val="en-US" w:eastAsia="zh-CN"/>
              </w:rPr>
              <w:t>037</w:t>
            </w:r>
            <w:r>
              <w:rPr>
                <w:rFonts w:eastAsia="宋体"/>
                <w:b w:val="0"/>
              </w:rPr>
              <w:t>t。</w:t>
            </w:r>
          </w:p>
          <w:p w14:paraId="348E1DE8">
            <w:pPr>
              <w:pStyle w:val="180"/>
              <w:ind w:firstLine="480"/>
              <w:rPr>
                <w:rFonts w:eastAsia="宋体"/>
                <w:b w:val="0"/>
              </w:rPr>
            </w:pPr>
            <w:r>
              <w:rPr>
                <w:rFonts w:eastAsia="宋体"/>
                <w:b w:val="0"/>
              </w:rPr>
              <w:t>b.二氧化硫允许排放量</w:t>
            </w:r>
          </w:p>
          <w:p w14:paraId="0BF54A8C">
            <w:pPr>
              <w:pStyle w:val="180"/>
              <w:adjustRightInd w:val="0"/>
              <w:ind w:firstLine="480"/>
              <w:rPr>
                <w:rFonts w:eastAsia="宋体"/>
                <w:b w:val="0"/>
              </w:rPr>
            </w:pPr>
            <w:r>
              <w:rPr>
                <w:rFonts w:eastAsia="宋体"/>
                <w:b w:val="0"/>
              </w:rPr>
              <w:t>根据《排污许可证申请与核发技术规范—锅炉》（HJ953-2018），燃气锅炉仅需许可氮氧化物排放量，气体燃料锅炉废气污染物年许可排放量核算公式不适用核算二氧化硫污染物指标。</w:t>
            </w:r>
          </w:p>
          <w:p w14:paraId="62CAA4A3">
            <w:pPr>
              <w:pStyle w:val="180"/>
              <w:adjustRightInd w:val="0"/>
              <w:ind w:firstLine="480"/>
              <w:rPr>
                <w:rFonts w:eastAsia="宋体"/>
                <w:b w:val="0"/>
              </w:rPr>
            </w:pPr>
            <w:r>
              <w:rPr>
                <w:rFonts w:eastAsia="宋体"/>
                <w:b w:val="0"/>
              </w:rPr>
              <w:t>本次二氧化硫允许排放量核算依据基准烟气量及排放标准限值进行核算，即E</w:t>
            </w:r>
            <w:r>
              <w:rPr>
                <w:rFonts w:eastAsia="宋体"/>
                <w:b w:val="0"/>
                <w:vertAlign w:val="subscript"/>
              </w:rPr>
              <w:t>年许可</w:t>
            </w:r>
            <w:r>
              <w:rPr>
                <w:rFonts w:eastAsia="宋体"/>
                <w:b w:val="0"/>
              </w:rPr>
              <w:t>=</w:t>
            </w:r>
            <w:r>
              <w:rPr>
                <w:rFonts w:hint="eastAsia" w:eastAsia="宋体"/>
                <w:b w:val="0"/>
              </w:rPr>
              <w:t>1</w:t>
            </w:r>
            <w:r>
              <w:rPr>
                <w:rFonts w:eastAsia="宋体"/>
                <w:b w:val="0"/>
              </w:rPr>
              <w:t>0×1</w:t>
            </w:r>
            <w:r>
              <w:rPr>
                <w:rFonts w:hint="eastAsia" w:eastAsia="宋体"/>
                <w:b w:val="0"/>
                <w:lang w:val="en-US" w:eastAsia="zh-CN"/>
              </w:rPr>
              <w:t>2</w:t>
            </w:r>
            <w:r>
              <w:rPr>
                <w:rFonts w:eastAsia="宋体"/>
                <w:b w:val="0"/>
              </w:rPr>
              <w:t>×</w:t>
            </w:r>
            <w:r>
              <w:rPr>
                <w:rFonts w:hint="eastAsia" w:eastAsia="宋体"/>
                <w:b w:val="0"/>
                <w:lang w:val="en-US" w:eastAsia="zh-CN"/>
              </w:rPr>
              <w:t>10.285</w:t>
            </w:r>
            <w:r>
              <w:rPr>
                <w:rFonts w:eastAsia="宋体"/>
                <w:b w:val="0"/>
              </w:rPr>
              <w:t>×10</w:t>
            </w:r>
            <w:r>
              <w:rPr>
                <w:rFonts w:eastAsia="宋体"/>
                <w:b w:val="0"/>
                <w:vertAlign w:val="superscript"/>
              </w:rPr>
              <w:t>-5</w:t>
            </w:r>
            <w:r>
              <w:rPr>
                <w:rFonts w:eastAsia="宋体"/>
                <w:b w:val="0"/>
              </w:rPr>
              <w:t>=0.</w:t>
            </w:r>
            <w:r>
              <w:rPr>
                <w:rFonts w:hint="eastAsia" w:eastAsia="宋体"/>
                <w:b w:val="0"/>
                <w:lang w:val="en-US" w:eastAsia="zh-CN"/>
              </w:rPr>
              <w:t>012</w:t>
            </w:r>
            <w:r>
              <w:rPr>
                <w:rFonts w:eastAsia="宋体"/>
                <w:b w:val="0"/>
              </w:rPr>
              <w:t>t。</w:t>
            </w:r>
          </w:p>
          <w:p w14:paraId="64BAAE82">
            <w:pPr>
              <w:pStyle w:val="180"/>
              <w:ind w:firstLine="480"/>
              <w:rPr>
                <w:rFonts w:eastAsia="宋体"/>
                <w:b w:val="0"/>
              </w:rPr>
            </w:pPr>
            <w:r>
              <w:rPr>
                <w:rFonts w:eastAsia="宋体"/>
                <w:b w:val="0"/>
              </w:rPr>
              <w:t>c.颗粒物允许排放量</w:t>
            </w:r>
          </w:p>
          <w:p w14:paraId="69C2A5DE">
            <w:pPr>
              <w:pStyle w:val="180"/>
              <w:adjustRightInd w:val="0"/>
              <w:ind w:firstLine="480"/>
              <w:rPr>
                <w:rFonts w:eastAsia="宋体"/>
                <w:b w:val="0"/>
              </w:rPr>
            </w:pPr>
            <w:r>
              <w:rPr>
                <w:rFonts w:eastAsia="宋体"/>
                <w:b w:val="0"/>
              </w:rPr>
              <w:t>根据《排污许可证申请与核发技术规范—锅炉》（HJ953-2018），燃气锅炉仅需许可氮氧化物排放量，气体燃料锅炉废气污染物年许可排放量核算公式不适用核算颗粒物污染物指标。</w:t>
            </w:r>
          </w:p>
          <w:p w14:paraId="74DF324C">
            <w:pPr>
              <w:pStyle w:val="180"/>
              <w:adjustRightInd w:val="0"/>
              <w:ind w:firstLine="480"/>
              <w:rPr>
                <w:rFonts w:eastAsia="宋体"/>
                <w:b w:val="0"/>
              </w:rPr>
            </w:pPr>
            <w:r>
              <w:rPr>
                <w:rFonts w:eastAsia="宋体"/>
                <w:b w:val="0"/>
              </w:rPr>
              <w:t>本次颗粒物允许排放量核算依据基准烟气量及排放标准限值进行核算，即E</w:t>
            </w:r>
            <w:r>
              <w:rPr>
                <w:rFonts w:eastAsia="宋体"/>
                <w:b w:val="0"/>
                <w:vertAlign w:val="subscript"/>
              </w:rPr>
              <w:t>年许可</w:t>
            </w:r>
            <w:r>
              <w:rPr>
                <w:rFonts w:eastAsia="宋体"/>
                <w:b w:val="0"/>
              </w:rPr>
              <w:t>=5×1</w:t>
            </w:r>
            <w:r>
              <w:rPr>
                <w:rFonts w:hint="eastAsia" w:eastAsia="宋体"/>
                <w:b w:val="0"/>
                <w:lang w:val="en-US" w:eastAsia="zh-CN"/>
              </w:rPr>
              <w:t>2</w:t>
            </w:r>
            <w:r>
              <w:rPr>
                <w:rFonts w:eastAsia="宋体"/>
                <w:b w:val="0"/>
              </w:rPr>
              <w:t>×</w:t>
            </w:r>
            <w:r>
              <w:rPr>
                <w:rFonts w:hint="eastAsia" w:eastAsia="宋体"/>
                <w:b w:val="0"/>
                <w:lang w:val="en-US" w:eastAsia="zh-CN"/>
              </w:rPr>
              <w:t>10.285</w:t>
            </w:r>
            <w:r>
              <w:rPr>
                <w:rFonts w:eastAsia="宋体"/>
                <w:b w:val="0"/>
              </w:rPr>
              <w:t>×10</w:t>
            </w:r>
            <w:r>
              <w:rPr>
                <w:rFonts w:eastAsia="宋体"/>
                <w:b w:val="0"/>
                <w:vertAlign w:val="superscript"/>
              </w:rPr>
              <w:t>-5</w:t>
            </w:r>
            <w:r>
              <w:rPr>
                <w:rFonts w:eastAsia="宋体"/>
                <w:b w:val="0"/>
              </w:rPr>
              <w:t>=</w:t>
            </w:r>
            <w:r>
              <w:rPr>
                <w:rFonts w:hint="eastAsia" w:eastAsia="宋体"/>
                <w:b w:val="0"/>
              </w:rPr>
              <w:t>0.0</w:t>
            </w:r>
            <w:r>
              <w:rPr>
                <w:rFonts w:hint="eastAsia" w:eastAsia="宋体"/>
                <w:b w:val="0"/>
                <w:lang w:val="en-US" w:eastAsia="zh-CN"/>
              </w:rPr>
              <w:t>06</w:t>
            </w:r>
            <w:r>
              <w:rPr>
                <w:rFonts w:eastAsia="宋体"/>
                <w:b w:val="0"/>
              </w:rPr>
              <w:t>t。</w:t>
            </w:r>
          </w:p>
          <w:p w14:paraId="3464EB3D">
            <w:pPr>
              <w:pStyle w:val="16"/>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jc w:val="left"/>
              <w:textAlignment w:val="auto"/>
              <w:rPr>
                <w:rFonts w:hint="eastAsia"/>
                <w:lang w:val="en-US" w:eastAsia="zh-CN"/>
              </w:rPr>
            </w:pPr>
            <w:r>
              <w:rPr>
                <w:rFonts w:hint="eastAsia"/>
                <w:kern w:val="0"/>
                <w:sz w:val="24"/>
              </w:rPr>
              <w:t>本项目</w:t>
            </w:r>
            <w:r>
              <w:rPr>
                <w:rFonts w:hint="eastAsia"/>
                <w:kern w:val="0"/>
                <w:sz w:val="24"/>
                <w:lang w:val="en-US" w:eastAsia="zh-CN"/>
              </w:rPr>
              <w:t>蒸汽发生器</w:t>
            </w:r>
            <w:r>
              <w:rPr>
                <w:rFonts w:hint="eastAsia"/>
                <w:kern w:val="0"/>
                <w:sz w:val="24"/>
              </w:rPr>
              <w:t>配套1根8米高排气筒，</w:t>
            </w:r>
            <w:r>
              <w:rPr>
                <w:rFonts w:hint="eastAsia"/>
                <w:kern w:val="0"/>
                <w:sz w:val="24"/>
                <w:lang w:val="en-US" w:eastAsia="zh-CN"/>
              </w:rPr>
              <w:t>燃气</w:t>
            </w:r>
            <w:r>
              <w:rPr>
                <w:rFonts w:hint="eastAsia"/>
                <w:kern w:val="0"/>
                <w:sz w:val="24"/>
              </w:rPr>
              <w:t>废气经低氮燃烧后通过8米高排气筒排放。</w:t>
            </w:r>
          </w:p>
          <w:p w14:paraId="0DE8C767">
            <w:pPr>
              <w:pStyle w:val="256"/>
              <w:ind w:firstLine="480" w:firstLineChars="200"/>
            </w:pPr>
            <w:r>
              <w:rPr>
                <w:rFonts w:hint="eastAsia"/>
              </w:rPr>
              <w:t>1</w:t>
            </w:r>
            <w:r>
              <w:t>.2.</w:t>
            </w:r>
            <w:r>
              <w:rPr>
                <w:rFonts w:hint="eastAsia"/>
                <w:lang w:val="en-US" w:eastAsia="zh-CN"/>
              </w:rPr>
              <w:t>4</w:t>
            </w:r>
            <w:r>
              <w:rPr>
                <w:rFonts w:hint="eastAsia"/>
              </w:rPr>
              <w:t>恶臭气体</w:t>
            </w:r>
          </w:p>
          <w:p w14:paraId="20C1E2C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本项目恶臭污染物主要来源于厂区拟建设的</w:t>
            </w:r>
            <w:r>
              <w:rPr>
                <w:rFonts w:hint="eastAsia" w:ascii="Times New Roman" w:hAnsi="Times New Roman" w:eastAsia="宋体" w:cs="Times New Roman"/>
                <w:sz w:val="24"/>
                <w:lang w:val="en-US" w:eastAsia="zh-CN"/>
              </w:rPr>
              <w:t>污水处理站</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US" w:eastAsia="zh-CN"/>
              </w:rPr>
              <w:t>污水处理站产生恶臭的单元主要为调节池、厌氧池、好氧池、沉淀池，拟对调节池、厌氧池、好氧池、沉淀池、污泥池加盖密闭，</w:t>
            </w:r>
            <w:r>
              <w:rPr>
                <w:rFonts w:hint="default" w:ascii="Times New Roman" w:hAnsi="Times New Roman" w:eastAsia="宋体" w:cs="Times New Roman"/>
                <w:sz w:val="24"/>
                <w:lang w:val="en-US" w:eastAsia="zh-CN"/>
              </w:rPr>
              <w:t>主要成分为硫化氢、氨</w:t>
            </w:r>
            <w:r>
              <w:rPr>
                <w:rFonts w:hint="eastAsia" w:ascii="Times New Roman" w:hAnsi="Times New Roman" w:eastAsia="宋体" w:cs="Times New Roman"/>
                <w:sz w:val="24"/>
                <w:lang w:val="en-US" w:eastAsia="zh-CN"/>
              </w:rPr>
              <w:t>、臭气浓度</w:t>
            </w:r>
            <w:r>
              <w:rPr>
                <w:rFonts w:hint="default" w:ascii="Times New Roman" w:hAnsi="Times New Roman" w:eastAsia="宋体" w:cs="Times New Roman"/>
                <w:sz w:val="24"/>
                <w:lang w:val="en-US" w:eastAsia="zh-CN"/>
              </w:rPr>
              <w:t>等。污染源强采用美国EPA对城市污水处理厂恶臭污染物产生情况的研究，每处理1g的BOD</w:t>
            </w:r>
            <w:r>
              <w:rPr>
                <w:rFonts w:hint="default" w:ascii="Times New Roman" w:hAnsi="Times New Roman" w:eastAsia="宋体" w:cs="Times New Roman"/>
                <w:sz w:val="24"/>
                <w:vertAlign w:val="subscript"/>
                <w:lang w:val="en-US" w:eastAsia="zh-CN"/>
              </w:rPr>
              <w:t>5</w:t>
            </w:r>
            <w:r>
              <w:rPr>
                <w:rFonts w:hint="default" w:ascii="Times New Roman" w:hAnsi="Times New Roman" w:eastAsia="宋体" w:cs="Times New Roman"/>
                <w:sz w:val="24"/>
                <w:lang w:val="en-US" w:eastAsia="zh-CN"/>
              </w:rPr>
              <w:t>可产生0.0031g的NH</w:t>
            </w:r>
            <w:r>
              <w:rPr>
                <w:rFonts w:hint="default" w:ascii="Times New Roman" w:hAnsi="Times New Roman" w:eastAsia="宋体" w:cs="Times New Roman"/>
                <w:sz w:val="24"/>
                <w:vertAlign w:val="subscript"/>
                <w:lang w:val="en-US" w:eastAsia="zh-CN"/>
              </w:rPr>
              <w:t>3</w:t>
            </w:r>
            <w:r>
              <w:rPr>
                <w:rFonts w:hint="default" w:ascii="Times New Roman" w:hAnsi="Times New Roman" w:eastAsia="宋体" w:cs="Times New Roman"/>
                <w:sz w:val="24"/>
                <w:lang w:val="en-US" w:eastAsia="zh-CN"/>
              </w:rPr>
              <w:t>以及0.00012g的H</w:t>
            </w:r>
            <w:r>
              <w:rPr>
                <w:rFonts w:hint="default" w:ascii="Times New Roman" w:hAnsi="Times New Roman" w:eastAsia="宋体" w:cs="Times New Roman"/>
                <w:sz w:val="24"/>
                <w:vertAlign w:val="subscript"/>
                <w:lang w:val="en-US" w:eastAsia="zh-CN"/>
              </w:rPr>
              <w:t>2</w:t>
            </w:r>
            <w:r>
              <w:rPr>
                <w:rFonts w:hint="default" w:ascii="Times New Roman" w:hAnsi="Times New Roman" w:eastAsia="宋体" w:cs="Times New Roman"/>
                <w:sz w:val="24"/>
                <w:lang w:val="en-US" w:eastAsia="zh-CN"/>
              </w:rPr>
              <w:t>S，本项目BOD</w:t>
            </w:r>
            <w:r>
              <w:rPr>
                <w:rFonts w:hint="default" w:ascii="Times New Roman" w:hAnsi="Times New Roman" w:eastAsia="宋体" w:cs="Times New Roman"/>
                <w:sz w:val="24"/>
                <w:vertAlign w:val="subscript"/>
                <w:lang w:val="en-US" w:eastAsia="zh-CN"/>
              </w:rPr>
              <w:t>5</w:t>
            </w:r>
            <w:r>
              <w:rPr>
                <w:rFonts w:hint="default" w:ascii="Times New Roman" w:hAnsi="Times New Roman" w:eastAsia="宋体" w:cs="Times New Roman"/>
                <w:sz w:val="24"/>
                <w:lang w:val="en-US" w:eastAsia="zh-CN"/>
              </w:rPr>
              <w:t>处理量为</w:t>
            </w:r>
            <w:r>
              <w:rPr>
                <w:rFonts w:hint="eastAsia" w:cs="Times New Roman"/>
                <w:sz w:val="24"/>
                <w:lang w:val="en-US" w:eastAsia="zh-CN"/>
              </w:rPr>
              <w:t>0.482</w:t>
            </w:r>
            <w:r>
              <w:rPr>
                <w:rFonts w:hint="default" w:ascii="Times New Roman" w:hAnsi="Times New Roman" w:eastAsia="宋体" w:cs="Times New Roman"/>
                <w:sz w:val="24"/>
                <w:lang w:val="en-US" w:eastAsia="zh-CN"/>
              </w:rPr>
              <w:t>t/a，根据计算，本项目污水处理站NH</w:t>
            </w:r>
            <w:r>
              <w:rPr>
                <w:rFonts w:hint="default" w:ascii="Times New Roman" w:hAnsi="Times New Roman" w:eastAsia="宋体" w:cs="Times New Roman"/>
                <w:sz w:val="24"/>
                <w:vertAlign w:val="subscript"/>
                <w:lang w:val="en-US" w:eastAsia="zh-CN"/>
              </w:rPr>
              <w:t>3</w:t>
            </w:r>
            <w:r>
              <w:rPr>
                <w:rFonts w:hint="default" w:ascii="Times New Roman" w:hAnsi="Times New Roman" w:eastAsia="宋体" w:cs="Times New Roman"/>
                <w:sz w:val="24"/>
                <w:lang w:val="en-US" w:eastAsia="zh-CN"/>
              </w:rPr>
              <w:t>产生量为</w:t>
            </w:r>
            <w:r>
              <w:rPr>
                <w:rFonts w:hint="eastAsia" w:ascii="Times New Roman" w:hAnsi="Times New Roman" w:eastAsia="宋体" w:cs="Times New Roman"/>
                <w:sz w:val="24"/>
                <w:lang w:val="en-US" w:eastAsia="zh-CN"/>
              </w:rPr>
              <w:t>0.0</w:t>
            </w:r>
            <w:r>
              <w:rPr>
                <w:rFonts w:hint="eastAsia" w:cs="Times New Roman"/>
                <w:sz w:val="24"/>
                <w:lang w:val="en-US" w:eastAsia="zh-CN"/>
              </w:rPr>
              <w:t>015</w:t>
            </w:r>
            <w:r>
              <w:rPr>
                <w:rFonts w:hint="default" w:ascii="Times New Roman" w:hAnsi="Times New Roman" w:eastAsia="宋体" w:cs="Times New Roman"/>
                <w:sz w:val="24"/>
                <w:lang w:val="en-US" w:eastAsia="zh-CN"/>
              </w:rPr>
              <w:t>t/a，H</w:t>
            </w:r>
            <w:r>
              <w:rPr>
                <w:rFonts w:hint="default" w:ascii="Times New Roman" w:hAnsi="Times New Roman" w:eastAsia="宋体" w:cs="Times New Roman"/>
                <w:sz w:val="24"/>
                <w:vertAlign w:val="subscript"/>
                <w:lang w:val="en-US" w:eastAsia="zh-CN"/>
              </w:rPr>
              <w:t>2</w:t>
            </w:r>
            <w:r>
              <w:rPr>
                <w:rFonts w:hint="default" w:ascii="Times New Roman" w:hAnsi="Times New Roman" w:eastAsia="宋体" w:cs="Times New Roman"/>
                <w:sz w:val="24"/>
                <w:lang w:val="en-US" w:eastAsia="zh-CN"/>
              </w:rPr>
              <w:t>S的产生量为</w:t>
            </w:r>
            <w:r>
              <w:rPr>
                <w:rFonts w:hint="eastAsia" w:ascii="Times New Roman" w:hAnsi="Times New Roman" w:eastAsia="宋体" w:cs="Times New Roman"/>
                <w:sz w:val="24"/>
                <w:lang w:val="en-US" w:eastAsia="zh-CN"/>
              </w:rPr>
              <w:t>0.00</w:t>
            </w:r>
            <w:r>
              <w:rPr>
                <w:rFonts w:hint="eastAsia" w:cs="Times New Roman"/>
                <w:sz w:val="24"/>
                <w:lang w:val="en-US" w:eastAsia="zh-CN"/>
              </w:rPr>
              <w:t>006</w:t>
            </w:r>
            <w:r>
              <w:rPr>
                <w:rFonts w:hint="default" w:ascii="Times New Roman" w:hAnsi="Times New Roman" w:eastAsia="宋体" w:cs="Times New Roman"/>
                <w:sz w:val="24"/>
                <w:lang w:val="en-US" w:eastAsia="zh-CN"/>
              </w:rPr>
              <w:t>t/a。</w:t>
            </w:r>
            <w:r>
              <w:rPr>
                <w:rFonts w:hint="eastAsia" w:ascii="Times New Roman" w:hAnsi="Times New Roman" w:eastAsia="宋体" w:cs="Times New Roman"/>
                <w:sz w:val="24"/>
                <w:lang w:val="en-US" w:eastAsia="zh-CN"/>
              </w:rPr>
              <w:t>臭气浓度产生量</w:t>
            </w:r>
            <w:r>
              <w:rPr>
                <w:rFonts w:hint="default" w:ascii="Times New Roman" w:hAnsi="Times New Roman" w:eastAsia="宋体" w:cs="Times New Roman"/>
                <w:sz w:val="24"/>
                <w:lang w:val="en-US" w:eastAsia="zh-CN"/>
              </w:rPr>
              <w:t>参照</w:t>
            </w:r>
            <w:r>
              <w:rPr>
                <w:rFonts w:hint="eastAsia" w:ascii="Times New Roman" w:hAnsi="Times New Roman" w:eastAsia="宋体" w:cs="Times New Roman"/>
                <w:sz w:val="24"/>
                <w:lang w:val="en-US" w:eastAsia="zh-CN"/>
              </w:rPr>
              <w:t>河南中厨食品有限公司</w:t>
            </w:r>
            <w:r>
              <w:rPr>
                <w:rFonts w:hint="eastAsia" w:cs="Times New Roman"/>
                <w:sz w:val="24"/>
                <w:lang w:val="en-US" w:eastAsia="zh-CN"/>
              </w:rPr>
              <w:t>（该公司污水处理工艺为沉淀池+厌氧/好氧）</w:t>
            </w:r>
            <w:r>
              <w:rPr>
                <w:rFonts w:hint="eastAsia" w:ascii="Times New Roman" w:hAnsi="Times New Roman" w:eastAsia="宋体" w:cs="Times New Roman"/>
                <w:sz w:val="24"/>
                <w:lang w:val="en-US" w:eastAsia="zh-CN"/>
              </w:rPr>
              <w:t>竣工验收监测报告</w:t>
            </w:r>
            <w:r>
              <w:rPr>
                <w:rFonts w:hint="default" w:ascii="Times New Roman" w:hAnsi="Times New Roman" w:eastAsia="宋体" w:cs="Times New Roman"/>
                <w:sz w:val="24"/>
                <w:lang w:val="en-US" w:eastAsia="zh-CN"/>
              </w:rPr>
              <w:t>臭气浓度</w:t>
            </w:r>
            <w:r>
              <w:rPr>
                <w:rFonts w:hint="eastAsia" w:ascii="Times New Roman" w:hAnsi="Times New Roman" w:eastAsia="宋体" w:cs="Times New Roman"/>
                <w:sz w:val="24"/>
                <w:lang w:val="en-US" w:eastAsia="zh-CN"/>
              </w:rPr>
              <w:t>（无量纲）</w:t>
            </w:r>
            <w:r>
              <w:rPr>
                <w:rFonts w:hint="default" w:ascii="Times New Roman" w:hAnsi="Times New Roman" w:eastAsia="宋体" w:cs="Times New Roman"/>
                <w:sz w:val="24"/>
                <w:lang w:val="en-US" w:eastAsia="zh-CN"/>
              </w:rPr>
              <w:t>为</w:t>
            </w:r>
            <w:r>
              <w:rPr>
                <w:rFonts w:hint="eastAsia" w:ascii="Times New Roman" w:hAnsi="Times New Roman" w:eastAsia="宋体" w:cs="Times New Roman"/>
                <w:sz w:val="24"/>
                <w:lang w:val="en-US" w:eastAsia="zh-CN"/>
              </w:rPr>
              <w:t>12</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US" w:eastAsia="zh-CN"/>
              </w:rPr>
              <w:t>14</w:t>
            </w:r>
            <w:r>
              <w:rPr>
                <w:rFonts w:hint="eastAsia" w:cs="Times New Roman"/>
                <w:sz w:val="24"/>
                <w:lang w:val="en-US" w:eastAsia="zh-CN"/>
              </w:rPr>
              <w:t>，</w:t>
            </w:r>
            <w:r>
              <w:rPr>
                <w:rFonts w:hint="default" w:ascii="Times New Roman" w:hAnsi="Times New Roman" w:eastAsia="宋体" w:cs="Times New Roman"/>
                <w:sz w:val="24"/>
                <w:lang w:val="en-US" w:eastAsia="zh-CN"/>
              </w:rPr>
              <w:t>本项目取臭气浓度</w:t>
            </w:r>
            <w:r>
              <w:rPr>
                <w:rFonts w:hint="eastAsia" w:ascii="Times New Roman" w:hAnsi="Times New Roman" w:eastAsia="宋体" w:cs="Times New Roman"/>
                <w:sz w:val="24"/>
                <w:lang w:val="en-US" w:eastAsia="zh-CN"/>
              </w:rPr>
              <w:t>（无量纲）</w:t>
            </w:r>
            <w:r>
              <w:rPr>
                <w:rFonts w:hint="default" w:ascii="Times New Roman" w:hAnsi="Times New Roman" w:eastAsia="宋体" w:cs="Times New Roman"/>
                <w:sz w:val="24"/>
                <w:lang w:val="en-US" w:eastAsia="zh-CN"/>
              </w:rPr>
              <w:t>为</w:t>
            </w:r>
            <w:r>
              <w:rPr>
                <w:rFonts w:hint="eastAsia" w:ascii="Times New Roman" w:hAnsi="Times New Roman" w:eastAsia="宋体" w:cs="Times New Roman"/>
                <w:sz w:val="24"/>
                <w:lang w:val="en-US" w:eastAsia="zh-CN"/>
              </w:rPr>
              <w:t>14。</w:t>
            </w:r>
          </w:p>
          <w:p w14:paraId="26393E7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参考《排污许可证申请与核发技术规范食品制造工业—方便食品、食品及饲料添加剂制造工业 》（HJ 1030.3—2019）</w:t>
            </w:r>
            <w:r>
              <w:rPr>
                <w:rFonts w:hint="eastAsia"/>
                <w:sz w:val="24"/>
                <w:lang w:val="en-US" w:eastAsia="zh-CN"/>
              </w:rPr>
              <w:t>污水处理站恶臭治理方式</w:t>
            </w:r>
            <w:r>
              <w:rPr>
                <w:rFonts w:hint="eastAsia"/>
                <w:sz w:val="24"/>
                <w:lang w:eastAsia="zh-CN"/>
              </w:rPr>
              <w:t>，</w:t>
            </w:r>
            <w:r>
              <w:rPr>
                <w:rFonts w:hint="default" w:ascii="Times New Roman" w:hAnsi="Times New Roman" w:eastAsia="宋体" w:cs="Times New Roman"/>
                <w:sz w:val="24"/>
                <w:lang w:val="en-US" w:eastAsia="zh-CN"/>
              </w:rPr>
              <w:t>本项目污水处理系统采用地埋式，且各池面加盖盖板，周边加强绿化，采用定期</w:t>
            </w:r>
            <w:r>
              <w:rPr>
                <w:rFonts w:hint="eastAsia" w:cs="Times New Roman"/>
                <w:sz w:val="24"/>
                <w:lang w:val="en-US" w:eastAsia="zh-CN"/>
              </w:rPr>
              <w:t>打开</w:t>
            </w:r>
            <w:r>
              <w:rPr>
                <w:rFonts w:hint="default" w:ascii="Times New Roman" w:hAnsi="Times New Roman" w:eastAsia="宋体" w:cs="Times New Roman"/>
                <w:sz w:val="24"/>
                <w:lang w:val="en-US" w:eastAsia="zh-CN"/>
              </w:rPr>
              <w:t>盖板投加除臭剂去除恶臭，恶臭气体去除效率以</w:t>
            </w:r>
            <w:r>
              <w:rPr>
                <w:rFonts w:hint="eastAsia" w:ascii="Times New Roman" w:hAnsi="Times New Roman" w:eastAsia="宋体" w:cs="Times New Roman"/>
                <w:sz w:val="24"/>
                <w:lang w:val="en-US" w:eastAsia="zh-CN"/>
              </w:rPr>
              <w:t>50</w:t>
            </w:r>
            <w:r>
              <w:rPr>
                <w:rFonts w:hint="default" w:ascii="Times New Roman" w:hAnsi="Times New Roman" w:eastAsia="宋体" w:cs="Times New Roman"/>
                <w:sz w:val="24"/>
                <w:lang w:val="en-US" w:eastAsia="zh-CN"/>
              </w:rPr>
              <w:t>%计算。则氨和硫化氢排放量为0.0</w:t>
            </w:r>
            <w:r>
              <w:rPr>
                <w:rFonts w:hint="eastAsia" w:cs="Times New Roman"/>
                <w:sz w:val="24"/>
                <w:lang w:val="en-US" w:eastAsia="zh-CN"/>
              </w:rPr>
              <w:t>0075</w:t>
            </w:r>
            <w:r>
              <w:rPr>
                <w:rFonts w:hint="default" w:ascii="Times New Roman" w:hAnsi="Times New Roman" w:eastAsia="宋体" w:cs="Times New Roman"/>
                <w:sz w:val="24"/>
                <w:lang w:val="en-US" w:eastAsia="zh-CN"/>
              </w:rPr>
              <w:t>t/a、0.000</w:t>
            </w:r>
            <w:r>
              <w:rPr>
                <w:rFonts w:hint="eastAsia" w:cs="Times New Roman"/>
                <w:sz w:val="24"/>
                <w:lang w:val="en-US" w:eastAsia="zh-CN"/>
              </w:rPr>
              <w:t>03</w:t>
            </w:r>
            <w:r>
              <w:rPr>
                <w:rFonts w:hint="default" w:ascii="Times New Roman" w:hAnsi="Times New Roman" w:eastAsia="宋体" w:cs="Times New Roman"/>
                <w:sz w:val="24"/>
                <w:lang w:val="en-US" w:eastAsia="zh-CN"/>
              </w:rPr>
              <w:t>t/a。该部分废气无组织排放。</w:t>
            </w:r>
          </w:p>
          <w:p w14:paraId="58A513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cs="Times New Roman"/>
                <w:sz w:val="24"/>
                <w:lang w:val="en-US" w:eastAsia="zh-CN"/>
              </w:rPr>
            </w:pPr>
            <w:r>
              <w:rPr>
                <w:rFonts w:hint="eastAsia" w:cs="Times New Roman"/>
                <w:sz w:val="24"/>
                <w:lang w:val="en-US" w:eastAsia="zh-CN"/>
              </w:rPr>
              <w:t>1.2.5污染物排放核算</w:t>
            </w:r>
          </w:p>
          <w:p w14:paraId="7A8BCB47">
            <w:pPr>
              <w:adjustRightInd w:val="0"/>
              <w:snapToGrid w:val="0"/>
              <w:spacing w:line="360" w:lineRule="auto"/>
              <w:ind w:firstLine="480" w:firstLineChars="200"/>
              <w:rPr>
                <w:sz w:val="24"/>
              </w:rPr>
            </w:pPr>
            <w:r>
              <w:rPr>
                <w:rFonts w:hint="eastAsia"/>
                <w:sz w:val="24"/>
              </w:rPr>
              <w:t>项目污染物排放量核算如下：</w:t>
            </w:r>
          </w:p>
          <w:p w14:paraId="3C50803A">
            <w:pPr>
              <w:pStyle w:val="56"/>
              <w:numPr>
                <w:ilvl w:val="0"/>
                <w:numId w:val="0"/>
              </w:numPr>
              <w:spacing w:before="120"/>
              <w:ind w:left="3150" w:leftChars="0"/>
              <w:jc w:val="both"/>
              <w:rPr>
                <w:rFonts w:hint="eastAsia"/>
                <w:lang w:eastAsia="zh-CN"/>
              </w:rPr>
            </w:pPr>
            <w:r>
              <w:rPr>
                <w:rFonts w:hint="eastAsia"/>
                <w:lang w:val="en-US" w:eastAsia="zh-CN"/>
              </w:rPr>
              <w:t>表24</w:t>
            </w:r>
            <w:r>
              <w:rPr>
                <w:rFonts w:hint="eastAsia"/>
              </w:rPr>
              <w:t xml:space="preserve"> </w:t>
            </w:r>
            <w:r>
              <w:rPr>
                <w:rFonts w:hint="eastAsia"/>
                <w:lang w:eastAsia="zh-CN"/>
              </w:rPr>
              <w:t xml:space="preserve"> 本项目废气排放情况一览表</w:t>
            </w:r>
          </w:p>
          <w:tbl>
            <w:tblPr>
              <w:tblStyle w:val="47"/>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449"/>
              <w:gridCol w:w="982"/>
              <w:gridCol w:w="683"/>
              <w:gridCol w:w="723"/>
              <w:gridCol w:w="738"/>
              <w:gridCol w:w="922"/>
              <w:gridCol w:w="1172"/>
            </w:tblGrid>
            <w:tr w14:paraId="7361F5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39" w:type="pct"/>
                  <w:vMerge w:val="restart"/>
                  <w:noWrap w:val="0"/>
                  <w:vAlign w:val="center"/>
                </w:tcPr>
                <w:p w14:paraId="12CE6713">
                  <w:pPr>
                    <w:pStyle w:val="104"/>
                    <w:rPr>
                      <w:rFonts w:hAnsi="Times New Roman"/>
                      <w:bCs/>
                      <w:lang w:val="en-US" w:eastAsia="zh-CN"/>
                    </w:rPr>
                  </w:pPr>
                  <w:r>
                    <w:rPr>
                      <w:rFonts w:hAnsi="Times New Roman"/>
                      <w:bCs/>
                      <w:lang w:val="en-US" w:eastAsia="zh-CN"/>
                    </w:rPr>
                    <w:t>序号</w:t>
                  </w:r>
                </w:p>
              </w:tc>
              <w:tc>
                <w:tcPr>
                  <w:tcW w:w="1456" w:type="pct"/>
                  <w:vMerge w:val="restart"/>
                  <w:noWrap w:val="0"/>
                  <w:vAlign w:val="center"/>
                </w:tcPr>
                <w:p w14:paraId="0FC3A8CB">
                  <w:pPr>
                    <w:pStyle w:val="104"/>
                    <w:rPr>
                      <w:rFonts w:hAnsi="Times New Roman"/>
                      <w:bCs/>
                      <w:lang w:val="en-US" w:eastAsia="zh-CN"/>
                    </w:rPr>
                  </w:pPr>
                  <w:r>
                    <w:rPr>
                      <w:rFonts w:hAnsi="Times New Roman"/>
                      <w:bCs/>
                      <w:lang w:val="en-US" w:eastAsia="zh-CN"/>
                    </w:rPr>
                    <w:t>污染源</w:t>
                  </w:r>
                </w:p>
              </w:tc>
              <w:tc>
                <w:tcPr>
                  <w:tcW w:w="3104" w:type="pct"/>
                  <w:gridSpan w:val="6"/>
                  <w:noWrap w:val="0"/>
                  <w:vAlign w:val="center"/>
                </w:tcPr>
                <w:p w14:paraId="63006D31">
                  <w:pPr>
                    <w:pStyle w:val="104"/>
                    <w:rPr>
                      <w:rFonts w:hAnsi="Times New Roman"/>
                      <w:bCs/>
                      <w:lang w:val="en-US" w:eastAsia="zh-CN"/>
                    </w:rPr>
                  </w:pPr>
                  <w:r>
                    <w:rPr>
                      <w:rFonts w:hAnsi="Times New Roman"/>
                      <w:bCs/>
                      <w:lang w:val="en-US" w:eastAsia="zh-CN"/>
                    </w:rPr>
                    <w:t>排放量（t/a）</w:t>
                  </w:r>
                </w:p>
              </w:tc>
            </w:tr>
            <w:tr w14:paraId="1F2DD2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39" w:type="pct"/>
                  <w:vMerge w:val="continue"/>
                  <w:noWrap w:val="0"/>
                  <w:vAlign w:val="center"/>
                </w:tcPr>
                <w:p w14:paraId="2F6D5889">
                  <w:pPr>
                    <w:pStyle w:val="104"/>
                    <w:rPr>
                      <w:rFonts w:hAnsi="Times New Roman"/>
                      <w:bCs/>
                      <w:lang w:val="en-US" w:eastAsia="zh-CN"/>
                    </w:rPr>
                  </w:pPr>
                </w:p>
              </w:tc>
              <w:tc>
                <w:tcPr>
                  <w:tcW w:w="1456" w:type="pct"/>
                  <w:vMerge w:val="continue"/>
                  <w:noWrap w:val="0"/>
                  <w:vAlign w:val="center"/>
                </w:tcPr>
                <w:p w14:paraId="752DB879">
                  <w:pPr>
                    <w:pStyle w:val="104"/>
                    <w:rPr>
                      <w:rFonts w:hAnsi="Times New Roman"/>
                      <w:bCs/>
                      <w:lang w:val="en-US" w:eastAsia="zh-CN"/>
                    </w:rPr>
                  </w:pPr>
                </w:p>
              </w:tc>
              <w:tc>
                <w:tcPr>
                  <w:tcW w:w="584" w:type="pct"/>
                  <w:noWrap w:val="0"/>
                  <w:vAlign w:val="center"/>
                </w:tcPr>
                <w:p w14:paraId="70B11299">
                  <w:pPr>
                    <w:pStyle w:val="104"/>
                    <w:rPr>
                      <w:rFonts w:hAnsi="Times New Roman"/>
                      <w:bCs/>
                      <w:lang w:val="en-US" w:eastAsia="zh-CN"/>
                    </w:rPr>
                  </w:pPr>
                  <w:r>
                    <w:rPr>
                      <w:rFonts w:hAnsi="Times New Roman"/>
                      <w:bCs/>
                      <w:lang w:val="en-US" w:eastAsia="zh-CN"/>
                    </w:rPr>
                    <w:t>颗粒物</w:t>
                  </w:r>
                </w:p>
              </w:tc>
              <w:tc>
                <w:tcPr>
                  <w:tcW w:w="406" w:type="pct"/>
                  <w:noWrap w:val="0"/>
                  <w:vAlign w:val="center"/>
                </w:tcPr>
                <w:p w14:paraId="24853871">
                  <w:pPr>
                    <w:pStyle w:val="104"/>
                    <w:rPr>
                      <w:rFonts w:hint="default" w:hAnsi="Times New Roman"/>
                      <w:bCs/>
                      <w:lang w:val="en-US" w:eastAsia="zh-CN"/>
                    </w:rPr>
                  </w:pPr>
                  <w:r>
                    <w:rPr>
                      <w:rFonts w:hint="eastAsia" w:hAnsi="Times New Roman"/>
                      <w:bCs/>
                      <w:lang w:val="en-US" w:eastAsia="zh-CN"/>
                    </w:rPr>
                    <w:t>SO</w:t>
                  </w:r>
                  <w:r>
                    <w:rPr>
                      <w:rFonts w:hint="eastAsia" w:hAnsi="Times New Roman"/>
                      <w:bCs/>
                      <w:vertAlign w:val="subscript"/>
                      <w:lang w:val="en-US" w:eastAsia="zh-CN"/>
                    </w:rPr>
                    <w:t>2</w:t>
                  </w:r>
                </w:p>
              </w:tc>
              <w:tc>
                <w:tcPr>
                  <w:tcW w:w="430" w:type="pct"/>
                  <w:noWrap w:val="0"/>
                  <w:vAlign w:val="center"/>
                </w:tcPr>
                <w:p w14:paraId="5D4C9DFA">
                  <w:pPr>
                    <w:pStyle w:val="104"/>
                    <w:rPr>
                      <w:rFonts w:hint="default" w:hAnsi="Times New Roman"/>
                      <w:bCs/>
                      <w:lang w:val="en-US" w:eastAsia="zh-CN"/>
                    </w:rPr>
                  </w:pPr>
                  <w:r>
                    <w:rPr>
                      <w:rFonts w:hint="eastAsia" w:hAnsi="Times New Roman"/>
                      <w:bCs/>
                      <w:lang w:val="en-US" w:eastAsia="zh-CN"/>
                    </w:rPr>
                    <w:t>NOx</w:t>
                  </w:r>
                </w:p>
              </w:tc>
              <w:tc>
                <w:tcPr>
                  <w:tcW w:w="439" w:type="pct"/>
                  <w:noWrap w:val="0"/>
                  <w:vAlign w:val="center"/>
                </w:tcPr>
                <w:p w14:paraId="35FC7C78">
                  <w:pPr>
                    <w:pStyle w:val="104"/>
                    <w:rPr>
                      <w:rFonts w:hint="default" w:hAnsi="Times New Roman"/>
                      <w:bCs/>
                      <w:lang w:val="en-US" w:eastAsia="zh-CN"/>
                    </w:rPr>
                  </w:pPr>
                  <w:r>
                    <w:rPr>
                      <w:rFonts w:hint="eastAsia" w:hAnsi="Times New Roman"/>
                      <w:bCs/>
                      <w:lang w:val="en-US" w:eastAsia="zh-CN"/>
                    </w:rPr>
                    <w:t>油烟</w:t>
                  </w:r>
                </w:p>
              </w:tc>
              <w:tc>
                <w:tcPr>
                  <w:tcW w:w="548" w:type="pct"/>
                  <w:noWrap w:val="0"/>
                  <w:vAlign w:val="center"/>
                </w:tcPr>
                <w:p w14:paraId="79CF6474">
                  <w:pPr>
                    <w:pStyle w:val="104"/>
                    <w:rPr>
                      <w:rFonts w:hAnsi="Times New Roman"/>
                      <w:bCs/>
                      <w:lang w:val="en-US" w:eastAsia="zh-CN"/>
                    </w:rPr>
                  </w:pPr>
                  <w:r>
                    <w:rPr>
                      <w:rFonts w:hint="eastAsia" w:hAnsi="Times New Roman"/>
                      <w:bCs/>
                      <w:lang w:val="en-US" w:eastAsia="zh-CN"/>
                    </w:rPr>
                    <w:t>N</w:t>
                  </w:r>
                  <w:r>
                    <w:rPr>
                      <w:rFonts w:hAnsi="Times New Roman"/>
                      <w:bCs/>
                      <w:lang w:val="en-US" w:eastAsia="zh-CN"/>
                    </w:rPr>
                    <w:t>H</w:t>
                  </w:r>
                  <w:r>
                    <w:rPr>
                      <w:rFonts w:hAnsi="Times New Roman"/>
                      <w:bCs/>
                      <w:vertAlign w:val="subscript"/>
                      <w:lang w:val="en-US" w:eastAsia="zh-CN"/>
                    </w:rPr>
                    <w:t>3</w:t>
                  </w:r>
                </w:p>
              </w:tc>
              <w:tc>
                <w:tcPr>
                  <w:tcW w:w="696" w:type="pct"/>
                  <w:noWrap w:val="0"/>
                  <w:vAlign w:val="center"/>
                </w:tcPr>
                <w:p w14:paraId="10632A3E">
                  <w:pPr>
                    <w:pStyle w:val="104"/>
                    <w:rPr>
                      <w:rFonts w:hint="default"/>
                      <w:sz w:val="24"/>
                      <w:szCs w:val="24"/>
                      <w:lang w:val="en-US" w:eastAsia="zh-CN"/>
                    </w:rPr>
                  </w:pPr>
                  <w:r>
                    <w:rPr>
                      <w:rFonts w:hint="eastAsia" w:hAnsi="Times New Roman"/>
                      <w:bCs/>
                      <w:lang w:val="en-US" w:eastAsia="zh-CN"/>
                    </w:rPr>
                    <w:t>H</w:t>
                  </w:r>
                  <w:r>
                    <w:rPr>
                      <w:rFonts w:hAnsi="Times New Roman"/>
                      <w:bCs/>
                      <w:vertAlign w:val="subscript"/>
                      <w:lang w:val="en-US" w:eastAsia="zh-CN"/>
                    </w:rPr>
                    <w:t>2</w:t>
                  </w:r>
                  <w:r>
                    <w:rPr>
                      <w:rFonts w:hAnsi="Times New Roman"/>
                      <w:bCs/>
                      <w:lang w:val="en-US" w:eastAsia="zh-CN"/>
                    </w:rPr>
                    <w:t>S</w:t>
                  </w:r>
                </w:p>
              </w:tc>
            </w:tr>
            <w:tr w14:paraId="678399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39" w:type="pct"/>
                  <w:noWrap w:val="0"/>
                  <w:vAlign w:val="center"/>
                </w:tcPr>
                <w:p w14:paraId="164D995C">
                  <w:pPr>
                    <w:pStyle w:val="104"/>
                    <w:rPr>
                      <w:rFonts w:hAnsi="Times New Roman"/>
                      <w:bCs/>
                      <w:lang w:val="en-US" w:eastAsia="zh-CN"/>
                    </w:rPr>
                  </w:pPr>
                  <w:r>
                    <w:rPr>
                      <w:rFonts w:hAnsi="Times New Roman"/>
                      <w:bCs/>
                      <w:lang w:val="en-US" w:eastAsia="zh-CN"/>
                    </w:rPr>
                    <w:t>1</w:t>
                  </w:r>
                </w:p>
              </w:tc>
              <w:tc>
                <w:tcPr>
                  <w:tcW w:w="1456" w:type="pct"/>
                  <w:noWrap w:val="0"/>
                  <w:vAlign w:val="center"/>
                </w:tcPr>
                <w:p w14:paraId="289B2A3D">
                  <w:pPr>
                    <w:pStyle w:val="104"/>
                    <w:rPr>
                      <w:rFonts w:hint="default" w:hAnsi="Times New Roman"/>
                      <w:bCs/>
                      <w:lang w:val="en-US" w:eastAsia="zh-CN"/>
                    </w:rPr>
                  </w:pPr>
                  <w:r>
                    <w:rPr>
                      <w:rFonts w:hint="eastAsia" w:hAnsi="Times New Roman"/>
                      <w:bCs/>
                      <w:lang w:val="en-US" w:eastAsia="zh-CN"/>
                    </w:rPr>
                    <w:t>天然气燃烧废气</w:t>
                  </w:r>
                </w:p>
              </w:tc>
              <w:tc>
                <w:tcPr>
                  <w:tcW w:w="584" w:type="pct"/>
                  <w:noWrap w:val="0"/>
                  <w:vAlign w:val="center"/>
                </w:tcPr>
                <w:p w14:paraId="7DE72586">
                  <w:pPr>
                    <w:pStyle w:val="104"/>
                    <w:rPr>
                      <w:rFonts w:hint="default" w:hAnsi="Times New Roman"/>
                      <w:bCs/>
                      <w:lang w:val="en-US" w:eastAsia="zh-CN"/>
                    </w:rPr>
                  </w:pPr>
                  <w:r>
                    <w:rPr>
                      <w:rFonts w:hint="eastAsia" w:hAnsi="Times New Roman"/>
                      <w:bCs/>
                      <w:lang w:val="en-US" w:eastAsia="zh-CN"/>
                    </w:rPr>
                    <w:t>0.007</w:t>
                  </w:r>
                </w:p>
              </w:tc>
              <w:tc>
                <w:tcPr>
                  <w:tcW w:w="406" w:type="pct"/>
                  <w:noWrap w:val="0"/>
                  <w:vAlign w:val="center"/>
                </w:tcPr>
                <w:p w14:paraId="5BC09AE5">
                  <w:pPr>
                    <w:pStyle w:val="104"/>
                    <w:rPr>
                      <w:rFonts w:hint="default" w:hAnsi="Times New Roman"/>
                      <w:bCs/>
                      <w:lang w:val="en-US" w:eastAsia="zh-CN"/>
                    </w:rPr>
                  </w:pPr>
                  <w:r>
                    <w:rPr>
                      <w:rFonts w:hint="eastAsia" w:hAnsi="Times New Roman"/>
                      <w:bCs/>
                      <w:lang w:val="en-US" w:eastAsia="zh-CN"/>
                    </w:rPr>
                    <w:t>0.009</w:t>
                  </w:r>
                </w:p>
              </w:tc>
              <w:tc>
                <w:tcPr>
                  <w:tcW w:w="430" w:type="pct"/>
                  <w:noWrap w:val="0"/>
                  <w:vAlign w:val="center"/>
                </w:tcPr>
                <w:p w14:paraId="79C4DF94">
                  <w:pPr>
                    <w:pStyle w:val="104"/>
                    <w:rPr>
                      <w:rFonts w:hint="default" w:hAnsi="Times New Roman"/>
                      <w:bCs/>
                      <w:lang w:val="en-US" w:eastAsia="zh-CN"/>
                    </w:rPr>
                  </w:pPr>
                  <w:r>
                    <w:rPr>
                      <w:rFonts w:hint="eastAsia" w:hAnsi="Times New Roman"/>
                      <w:bCs/>
                      <w:lang w:val="en-US" w:eastAsia="zh-CN"/>
                    </w:rPr>
                    <w:t>0.088</w:t>
                  </w:r>
                </w:p>
              </w:tc>
              <w:tc>
                <w:tcPr>
                  <w:tcW w:w="439" w:type="pct"/>
                  <w:noWrap w:val="0"/>
                  <w:vAlign w:val="center"/>
                </w:tcPr>
                <w:p w14:paraId="1EE50F05">
                  <w:pPr>
                    <w:pStyle w:val="104"/>
                    <w:rPr>
                      <w:rFonts w:hint="default" w:hAnsi="Times New Roman"/>
                      <w:bCs/>
                      <w:lang w:val="en-US" w:eastAsia="zh-CN"/>
                    </w:rPr>
                  </w:pPr>
                  <w:r>
                    <w:rPr>
                      <w:rFonts w:hint="eastAsia" w:hAnsi="Times New Roman"/>
                      <w:bCs/>
                      <w:lang w:val="en-US" w:eastAsia="zh-CN"/>
                    </w:rPr>
                    <w:t>/</w:t>
                  </w:r>
                </w:p>
              </w:tc>
              <w:tc>
                <w:tcPr>
                  <w:tcW w:w="548" w:type="pct"/>
                  <w:noWrap w:val="0"/>
                  <w:vAlign w:val="center"/>
                </w:tcPr>
                <w:p w14:paraId="77D866CE">
                  <w:pPr>
                    <w:pStyle w:val="104"/>
                    <w:rPr>
                      <w:rFonts w:hint="default" w:hAnsi="Times New Roman"/>
                      <w:bCs/>
                      <w:lang w:val="en-US" w:eastAsia="zh-CN"/>
                    </w:rPr>
                  </w:pPr>
                  <w:r>
                    <w:rPr>
                      <w:rFonts w:hint="eastAsia" w:hAnsi="Times New Roman"/>
                      <w:bCs/>
                      <w:lang w:val="en-US" w:eastAsia="zh-CN"/>
                    </w:rPr>
                    <w:t>/</w:t>
                  </w:r>
                </w:p>
              </w:tc>
              <w:tc>
                <w:tcPr>
                  <w:tcW w:w="696" w:type="pct"/>
                  <w:noWrap w:val="0"/>
                  <w:vAlign w:val="center"/>
                </w:tcPr>
                <w:p w14:paraId="38DB0686">
                  <w:pPr>
                    <w:pStyle w:val="104"/>
                    <w:rPr>
                      <w:rFonts w:hint="default" w:hAnsi="Times New Roman"/>
                      <w:bCs/>
                      <w:lang w:val="en-US" w:eastAsia="zh-CN"/>
                    </w:rPr>
                  </w:pPr>
                  <w:r>
                    <w:rPr>
                      <w:rFonts w:hint="eastAsia" w:hAnsi="Times New Roman"/>
                      <w:bCs/>
                      <w:lang w:val="en-US" w:eastAsia="zh-CN"/>
                    </w:rPr>
                    <w:t>/</w:t>
                  </w:r>
                </w:p>
              </w:tc>
            </w:tr>
            <w:tr w14:paraId="7BDACA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39" w:type="pct"/>
                  <w:noWrap w:val="0"/>
                  <w:vAlign w:val="center"/>
                </w:tcPr>
                <w:p w14:paraId="18918D99">
                  <w:pPr>
                    <w:pStyle w:val="104"/>
                    <w:rPr>
                      <w:rFonts w:hint="default" w:hAnsi="Times New Roman"/>
                      <w:bCs/>
                      <w:lang w:val="en-US" w:eastAsia="zh-CN"/>
                    </w:rPr>
                  </w:pPr>
                  <w:r>
                    <w:rPr>
                      <w:rFonts w:hint="eastAsia" w:hAnsi="Times New Roman"/>
                      <w:bCs/>
                      <w:lang w:val="en-US" w:eastAsia="zh-CN"/>
                    </w:rPr>
                    <w:t>2</w:t>
                  </w:r>
                </w:p>
              </w:tc>
              <w:tc>
                <w:tcPr>
                  <w:tcW w:w="1456" w:type="pct"/>
                  <w:noWrap w:val="0"/>
                  <w:vAlign w:val="center"/>
                </w:tcPr>
                <w:p w14:paraId="64C6D0FF">
                  <w:pPr>
                    <w:pStyle w:val="104"/>
                    <w:rPr>
                      <w:rFonts w:hint="default" w:hAnsi="Times New Roman"/>
                      <w:bCs/>
                      <w:lang w:val="en-US" w:eastAsia="zh-CN"/>
                    </w:rPr>
                  </w:pPr>
                  <w:r>
                    <w:rPr>
                      <w:rFonts w:hint="eastAsia" w:hAnsi="Times New Roman"/>
                      <w:bCs/>
                      <w:lang w:val="en-US" w:eastAsia="zh-CN"/>
                    </w:rPr>
                    <w:t>炒锅油烟</w:t>
                  </w:r>
                </w:p>
              </w:tc>
              <w:tc>
                <w:tcPr>
                  <w:tcW w:w="584" w:type="pct"/>
                  <w:noWrap w:val="0"/>
                  <w:vAlign w:val="center"/>
                </w:tcPr>
                <w:p w14:paraId="39BEC547">
                  <w:pPr>
                    <w:pStyle w:val="104"/>
                    <w:rPr>
                      <w:rFonts w:hint="default" w:hAnsi="Times New Roman"/>
                      <w:bCs/>
                      <w:lang w:val="en-US" w:eastAsia="zh-CN"/>
                    </w:rPr>
                  </w:pPr>
                  <w:r>
                    <w:rPr>
                      <w:rFonts w:hint="eastAsia" w:hAnsi="Times New Roman"/>
                      <w:bCs/>
                      <w:lang w:val="en-US" w:eastAsia="zh-CN"/>
                    </w:rPr>
                    <w:t>/</w:t>
                  </w:r>
                </w:p>
              </w:tc>
              <w:tc>
                <w:tcPr>
                  <w:tcW w:w="406" w:type="pct"/>
                  <w:noWrap w:val="0"/>
                  <w:vAlign w:val="center"/>
                </w:tcPr>
                <w:p w14:paraId="6CDF5C9E">
                  <w:pPr>
                    <w:pStyle w:val="104"/>
                    <w:rPr>
                      <w:rFonts w:hint="default" w:hAnsi="Times New Roman"/>
                      <w:bCs/>
                      <w:lang w:val="en-US" w:eastAsia="zh-CN"/>
                    </w:rPr>
                  </w:pPr>
                  <w:r>
                    <w:rPr>
                      <w:rFonts w:hint="eastAsia" w:hAnsi="Times New Roman"/>
                      <w:bCs/>
                      <w:lang w:val="en-US" w:eastAsia="zh-CN"/>
                    </w:rPr>
                    <w:t>/</w:t>
                  </w:r>
                </w:p>
              </w:tc>
              <w:tc>
                <w:tcPr>
                  <w:tcW w:w="430" w:type="pct"/>
                  <w:noWrap w:val="0"/>
                  <w:vAlign w:val="center"/>
                </w:tcPr>
                <w:p w14:paraId="1ED9750C">
                  <w:pPr>
                    <w:pStyle w:val="104"/>
                    <w:rPr>
                      <w:rFonts w:hint="default" w:hAnsi="Times New Roman"/>
                      <w:bCs/>
                      <w:lang w:val="en-US" w:eastAsia="zh-CN"/>
                    </w:rPr>
                  </w:pPr>
                  <w:r>
                    <w:rPr>
                      <w:rFonts w:hint="eastAsia" w:hAnsi="Times New Roman"/>
                      <w:bCs/>
                      <w:lang w:val="en-US" w:eastAsia="zh-CN"/>
                    </w:rPr>
                    <w:t>/</w:t>
                  </w:r>
                </w:p>
              </w:tc>
              <w:tc>
                <w:tcPr>
                  <w:tcW w:w="439" w:type="pct"/>
                  <w:noWrap w:val="0"/>
                  <w:vAlign w:val="center"/>
                </w:tcPr>
                <w:p w14:paraId="79717E9F">
                  <w:pPr>
                    <w:pStyle w:val="104"/>
                    <w:rPr>
                      <w:rFonts w:hint="default" w:hAnsi="Times New Roman"/>
                      <w:bCs/>
                      <w:lang w:val="en-US" w:eastAsia="zh-CN"/>
                    </w:rPr>
                  </w:pPr>
                  <w:r>
                    <w:rPr>
                      <w:rFonts w:hint="eastAsia" w:hAnsi="Times New Roman"/>
                      <w:bCs/>
                      <w:lang w:val="en-US" w:eastAsia="zh-CN"/>
                    </w:rPr>
                    <w:t>0.03</w:t>
                  </w:r>
                </w:p>
              </w:tc>
              <w:tc>
                <w:tcPr>
                  <w:tcW w:w="548" w:type="pct"/>
                  <w:noWrap w:val="0"/>
                  <w:vAlign w:val="center"/>
                </w:tcPr>
                <w:p w14:paraId="55714CED">
                  <w:pPr>
                    <w:pStyle w:val="104"/>
                    <w:rPr>
                      <w:rFonts w:hint="default" w:hAnsi="Times New Roman"/>
                      <w:bCs/>
                      <w:lang w:val="en-US" w:eastAsia="zh-CN"/>
                    </w:rPr>
                  </w:pPr>
                  <w:r>
                    <w:rPr>
                      <w:rFonts w:hint="eastAsia" w:hAnsi="Times New Roman"/>
                      <w:bCs/>
                      <w:lang w:val="en-US" w:eastAsia="zh-CN"/>
                    </w:rPr>
                    <w:t>/</w:t>
                  </w:r>
                </w:p>
              </w:tc>
              <w:tc>
                <w:tcPr>
                  <w:tcW w:w="696" w:type="pct"/>
                  <w:noWrap w:val="0"/>
                  <w:vAlign w:val="center"/>
                </w:tcPr>
                <w:p w14:paraId="092CE282">
                  <w:pPr>
                    <w:pStyle w:val="104"/>
                    <w:rPr>
                      <w:rFonts w:hint="default" w:hAnsi="Times New Roman"/>
                      <w:bCs/>
                      <w:lang w:val="en-US" w:eastAsia="zh-CN"/>
                    </w:rPr>
                  </w:pPr>
                  <w:r>
                    <w:rPr>
                      <w:rFonts w:hint="eastAsia" w:hAnsi="Times New Roman"/>
                      <w:bCs/>
                      <w:lang w:val="en-US" w:eastAsia="zh-CN"/>
                    </w:rPr>
                    <w:t>/</w:t>
                  </w:r>
                </w:p>
              </w:tc>
            </w:tr>
            <w:tr w14:paraId="559299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39" w:type="pct"/>
                  <w:noWrap w:val="0"/>
                  <w:vAlign w:val="center"/>
                </w:tcPr>
                <w:p w14:paraId="5553BD92">
                  <w:pPr>
                    <w:pStyle w:val="104"/>
                    <w:rPr>
                      <w:rFonts w:hint="default" w:hAnsi="Times New Roman"/>
                      <w:bCs/>
                      <w:lang w:val="en-US" w:eastAsia="zh-CN"/>
                    </w:rPr>
                  </w:pPr>
                  <w:r>
                    <w:rPr>
                      <w:rFonts w:hint="eastAsia" w:hAnsi="Times New Roman"/>
                      <w:bCs/>
                      <w:lang w:val="en-US" w:eastAsia="zh-CN"/>
                    </w:rPr>
                    <w:t>3</w:t>
                  </w:r>
                </w:p>
              </w:tc>
              <w:tc>
                <w:tcPr>
                  <w:tcW w:w="1456" w:type="pct"/>
                  <w:noWrap w:val="0"/>
                  <w:vAlign w:val="center"/>
                </w:tcPr>
                <w:p w14:paraId="7B9FE3FF">
                  <w:pPr>
                    <w:pStyle w:val="104"/>
                    <w:rPr>
                      <w:rFonts w:hint="default" w:hAnsi="Times New Roman"/>
                      <w:bCs/>
                      <w:lang w:val="en-US" w:eastAsia="zh-CN"/>
                    </w:rPr>
                  </w:pPr>
                  <w:r>
                    <w:rPr>
                      <w:rFonts w:hint="eastAsia" w:hAnsi="Times New Roman"/>
                      <w:bCs/>
                      <w:lang w:val="en-US" w:eastAsia="zh-CN"/>
                    </w:rPr>
                    <w:t>蒸汽发生器燃气废气</w:t>
                  </w:r>
                </w:p>
              </w:tc>
              <w:tc>
                <w:tcPr>
                  <w:tcW w:w="584" w:type="pct"/>
                  <w:noWrap w:val="0"/>
                  <w:vAlign w:val="center"/>
                </w:tcPr>
                <w:p w14:paraId="7BD2DD2C">
                  <w:pPr>
                    <w:pStyle w:val="104"/>
                    <w:rPr>
                      <w:rFonts w:hint="default" w:hAnsi="Times New Roman"/>
                      <w:bCs/>
                      <w:lang w:val="en-US" w:eastAsia="zh-CN"/>
                    </w:rPr>
                  </w:pPr>
                  <w:r>
                    <w:rPr>
                      <w:rFonts w:hint="eastAsia" w:hAnsi="Times New Roman"/>
                      <w:bCs/>
                      <w:lang w:val="en-US" w:eastAsia="zh-CN"/>
                    </w:rPr>
                    <w:t>0.006</w:t>
                  </w:r>
                </w:p>
              </w:tc>
              <w:tc>
                <w:tcPr>
                  <w:tcW w:w="406" w:type="pct"/>
                  <w:noWrap w:val="0"/>
                  <w:vAlign w:val="center"/>
                </w:tcPr>
                <w:p w14:paraId="0FB1D093">
                  <w:pPr>
                    <w:pStyle w:val="104"/>
                    <w:rPr>
                      <w:rFonts w:hint="default" w:hAnsi="Times New Roman"/>
                      <w:bCs/>
                      <w:lang w:val="en-US" w:eastAsia="zh-CN"/>
                    </w:rPr>
                  </w:pPr>
                  <w:r>
                    <w:rPr>
                      <w:rFonts w:hint="eastAsia" w:hAnsi="Times New Roman"/>
                      <w:bCs/>
                      <w:lang w:val="en-US" w:eastAsia="zh-CN"/>
                    </w:rPr>
                    <w:t>0.012</w:t>
                  </w:r>
                </w:p>
              </w:tc>
              <w:tc>
                <w:tcPr>
                  <w:tcW w:w="430" w:type="pct"/>
                  <w:noWrap w:val="0"/>
                  <w:vAlign w:val="center"/>
                </w:tcPr>
                <w:p w14:paraId="6D207A0C">
                  <w:pPr>
                    <w:pStyle w:val="104"/>
                    <w:rPr>
                      <w:rFonts w:hint="default" w:hAnsi="Times New Roman"/>
                      <w:bCs/>
                      <w:lang w:val="en-US" w:eastAsia="zh-CN"/>
                    </w:rPr>
                  </w:pPr>
                  <w:r>
                    <w:rPr>
                      <w:rFonts w:hint="eastAsia" w:hAnsi="Times New Roman"/>
                      <w:bCs/>
                      <w:lang w:val="en-US" w:eastAsia="zh-CN"/>
                    </w:rPr>
                    <w:t>0.037</w:t>
                  </w:r>
                </w:p>
              </w:tc>
              <w:tc>
                <w:tcPr>
                  <w:tcW w:w="439" w:type="pct"/>
                  <w:noWrap w:val="0"/>
                  <w:vAlign w:val="center"/>
                </w:tcPr>
                <w:p w14:paraId="23C0CCA4">
                  <w:pPr>
                    <w:pStyle w:val="104"/>
                    <w:rPr>
                      <w:rFonts w:hint="default" w:hAnsi="Times New Roman"/>
                      <w:bCs/>
                      <w:lang w:val="en-US" w:eastAsia="zh-CN"/>
                    </w:rPr>
                  </w:pPr>
                  <w:r>
                    <w:rPr>
                      <w:rFonts w:hint="eastAsia" w:hAnsi="Times New Roman"/>
                      <w:bCs/>
                      <w:lang w:val="en-US" w:eastAsia="zh-CN"/>
                    </w:rPr>
                    <w:t>/</w:t>
                  </w:r>
                </w:p>
              </w:tc>
              <w:tc>
                <w:tcPr>
                  <w:tcW w:w="548" w:type="pct"/>
                  <w:noWrap w:val="0"/>
                  <w:vAlign w:val="center"/>
                </w:tcPr>
                <w:p w14:paraId="1A478DB8">
                  <w:pPr>
                    <w:pStyle w:val="104"/>
                    <w:rPr>
                      <w:rFonts w:hint="default" w:hAnsi="Times New Roman"/>
                      <w:bCs/>
                      <w:lang w:val="en-US" w:eastAsia="zh-CN"/>
                    </w:rPr>
                  </w:pPr>
                  <w:r>
                    <w:rPr>
                      <w:rFonts w:hint="eastAsia" w:hAnsi="Times New Roman"/>
                      <w:bCs/>
                      <w:lang w:val="en-US" w:eastAsia="zh-CN"/>
                    </w:rPr>
                    <w:t>/</w:t>
                  </w:r>
                </w:p>
              </w:tc>
              <w:tc>
                <w:tcPr>
                  <w:tcW w:w="696" w:type="pct"/>
                  <w:noWrap w:val="0"/>
                  <w:vAlign w:val="center"/>
                </w:tcPr>
                <w:p w14:paraId="240EBB97">
                  <w:pPr>
                    <w:pStyle w:val="104"/>
                    <w:rPr>
                      <w:rFonts w:hint="default" w:hAnsi="Times New Roman"/>
                      <w:bCs/>
                      <w:lang w:val="en-US" w:eastAsia="zh-CN"/>
                    </w:rPr>
                  </w:pPr>
                  <w:r>
                    <w:rPr>
                      <w:rFonts w:hint="eastAsia" w:hAnsi="Times New Roman"/>
                      <w:bCs/>
                      <w:lang w:val="en-US" w:eastAsia="zh-CN"/>
                    </w:rPr>
                    <w:t>/</w:t>
                  </w:r>
                </w:p>
              </w:tc>
            </w:tr>
            <w:tr w14:paraId="412C8A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439" w:type="pct"/>
                  <w:noWrap w:val="0"/>
                  <w:vAlign w:val="center"/>
                </w:tcPr>
                <w:p w14:paraId="68805D67">
                  <w:pPr>
                    <w:pStyle w:val="104"/>
                    <w:rPr>
                      <w:rFonts w:hint="default" w:hAnsi="Times New Roman"/>
                      <w:bCs/>
                      <w:lang w:val="en-US" w:eastAsia="zh-CN"/>
                    </w:rPr>
                  </w:pPr>
                  <w:r>
                    <w:rPr>
                      <w:rFonts w:hint="eastAsia" w:hAnsi="Times New Roman"/>
                      <w:bCs/>
                      <w:lang w:val="en-US" w:eastAsia="zh-CN"/>
                    </w:rPr>
                    <w:t>5</w:t>
                  </w:r>
                </w:p>
              </w:tc>
              <w:tc>
                <w:tcPr>
                  <w:tcW w:w="1456" w:type="pct"/>
                  <w:noWrap w:val="0"/>
                  <w:vAlign w:val="center"/>
                </w:tcPr>
                <w:p w14:paraId="1C5D1500">
                  <w:pPr>
                    <w:pStyle w:val="104"/>
                    <w:rPr>
                      <w:rFonts w:hAnsi="Times New Roman"/>
                      <w:bCs/>
                      <w:lang w:val="en-US" w:eastAsia="zh-CN"/>
                    </w:rPr>
                  </w:pPr>
                  <w:r>
                    <w:rPr>
                      <w:rFonts w:hint="eastAsia" w:hAnsi="Times New Roman"/>
                      <w:bCs/>
                      <w:color w:val="000000"/>
                      <w:kern w:val="24"/>
                      <w:szCs w:val="24"/>
                      <w:lang w:val="en-US" w:eastAsia="zh-CN"/>
                    </w:rPr>
                    <w:t>污水处理站恶臭</w:t>
                  </w:r>
                </w:p>
              </w:tc>
              <w:tc>
                <w:tcPr>
                  <w:tcW w:w="584" w:type="pct"/>
                  <w:noWrap w:val="0"/>
                  <w:vAlign w:val="center"/>
                </w:tcPr>
                <w:p w14:paraId="5441FF8A">
                  <w:pPr>
                    <w:pStyle w:val="104"/>
                    <w:rPr>
                      <w:rFonts w:hint="default" w:hAnsi="Times New Roman"/>
                      <w:bCs/>
                      <w:lang w:val="en-US" w:eastAsia="zh-CN"/>
                    </w:rPr>
                  </w:pPr>
                  <w:r>
                    <w:rPr>
                      <w:rFonts w:hint="eastAsia" w:hAnsi="Times New Roman"/>
                      <w:bCs/>
                      <w:lang w:val="en-US" w:eastAsia="zh-CN"/>
                    </w:rPr>
                    <w:t>/</w:t>
                  </w:r>
                </w:p>
              </w:tc>
              <w:tc>
                <w:tcPr>
                  <w:tcW w:w="406" w:type="pct"/>
                  <w:noWrap w:val="0"/>
                  <w:vAlign w:val="center"/>
                </w:tcPr>
                <w:p w14:paraId="7F05B961">
                  <w:pPr>
                    <w:pStyle w:val="104"/>
                    <w:rPr>
                      <w:rFonts w:hint="default" w:hAnsi="Times New Roman"/>
                      <w:bCs/>
                      <w:lang w:val="en-US" w:eastAsia="zh-CN"/>
                    </w:rPr>
                  </w:pPr>
                  <w:r>
                    <w:rPr>
                      <w:rFonts w:hint="eastAsia" w:hAnsi="Times New Roman"/>
                      <w:bCs/>
                      <w:lang w:val="en-US" w:eastAsia="zh-CN"/>
                    </w:rPr>
                    <w:t>/</w:t>
                  </w:r>
                </w:p>
              </w:tc>
              <w:tc>
                <w:tcPr>
                  <w:tcW w:w="430" w:type="pct"/>
                  <w:noWrap w:val="0"/>
                  <w:vAlign w:val="center"/>
                </w:tcPr>
                <w:p w14:paraId="5252D580">
                  <w:pPr>
                    <w:pStyle w:val="104"/>
                    <w:rPr>
                      <w:rFonts w:hint="default" w:hAnsi="Times New Roman"/>
                      <w:bCs/>
                      <w:lang w:val="en-US" w:eastAsia="zh-CN"/>
                    </w:rPr>
                  </w:pPr>
                  <w:r>
                    <w:rPr>
                      <w:rFonts w:hint="eastAsia" w:hAnsi="Times New Roman"/>
                      <w:bCs/>
                      <w:lang w:val="en-US" w:eastAsia="zh-CN"/>
                    </w:rPr>
                    <w:t>/</w:t>
                  </w:r>
                </w:p>
              </w:tc>
              <w:tc>
                <w:tcPr>
                  <w:tcW w:w="439" w:type="pct"/>
                  <w:noWrap w:val="0"/>
                  <w:vAlign w:val="center"/>
                </w:tcPr>
                <w:p w14:paraId="69016051">
                  <w:pPr>
                    <w:pStyle w:val="104"/>
                    <w:rPr>
                      <w:rFonts w:hint="default" w:hAnsi="Times New Roman"/>
                      <w:bCs/>
                      <w:lang w:val="en-US" w:eastAsia="zh-CN"/>
                    </w:rPr>
                  </w:pPr>
                  <w:r>
                    <w:rPr>
                      <w:rFonts w:hint="eastAsia" w:hAnsi="Times New Roman"/>
                      <w:bCs/>
                      <w:lang w:val="en-US" w:eastAsia="zh-CN"/>
                    </w:rPr>
                    <w:t>/</w:t>
                  </w:r>
                </w:p>
              </w:tc>
              <w:tc>
                <w:tcPr>
                  <w:tcW w:w="548" w:type="pct"/>
                  <w:noWrap w:val="0"/>
                  <w:vAlign w:val="center"/>
                </w:tcPr>
                <w:p w14:paraId="51CAC425">
                  <w:pPr>
                    <w:pStyle w:val="104"/>
                    <w:rPr>
                      <w:rFonts w:hint="default" w:hAnsi="Times New Roman"/>
                      <w:bCs/>
                      <w:lang w:val="en-US" w:eastAsia="zh-CN"/>
                    </w:rPr>
                  </w:pPr>
                  <w:r>
                    <w:rPr>
                      <w:rFonts w:hint="eastAsia" w:hAnsi="Times New Roman"/>
                      <w:bCs/>
                      <w:lang w:val="en-US" w:eastAsia="zh-CN"/>
                    </w:rPr>
                    <w:t>0.00075</w:t>
                  </w:r>
                </w:p>
              </w:tc>
              <w:tc>
                <w:tcPr>
                  <w:tcW w:w="696" w:type="pct"/>
                  <w:noWrap w:val="0"/>
                  <w:vAlign w:val="center"/>
                </w:tcPr>
                <w:p w14:paraId="33EE524A">
                  <w:pPr>
                    <w:pStyle w:val="104"/>
                    <w:rPr>
                      <w:rFonts w:hint="default" w:hAnsi="Times New Roman"/>
                      <w:bCs/>
                      <w:lang w:val="en-US" w:eastAsia="zh-CN"/>
                    </w:rPr>
                  </w:pPr>
                  <w:r>
                    <w:rPr>
                      <w:rFonts w:hint="eastAsia" w:hAnsi="Times New Roman"/>
                      <w:bCs/>
                      <w:lang w:val="en-US" w:eastAsia="zh-CN"/>
                    </w:rPr>
                    <w:t>0.00003</w:t>
                  </w:r>
                </w:p>
              </w:tc>
            </w:tr>
            <w:tr w14:paraId="64450E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895" w:type="pct"/>
                  <w:gridSpan w:val="2"/>
                  <w:noWrap w:val="0"/>
                  <w:vAlign w:val="center"/>
                </w:tcPr>
                <w:p w14:paraId="6F20B9D7">
                  <w:pPr>
                    <w:pStyle w:val="104"/>
                    <w:rPr>
                      <w:rFonts w:hAnsi="Times New Roman"/>
                      <w:bCs/>
                      <w:color w:val="000000"/>
                      <w:kern w:val="24"/>
                      <w:szCs w:val="24"/>
                      <w:lang w:val="en-US" w:eastAsia="zh-CN"/>
                    </w:rPr>
                  </w:pPr>
                  <w:r>
                    <w:rPr>
                      <w:rFonts w:hAnsi="Times New Roman"/>
                      <w:bCs/>
                      <w:color w:val="000000"/>
                      <w:kern w:val="24"/>
                      <w:szCs w:val="24"/>
                      <w:lang w:val="en-US" w:eastAsia="zh-CN"/>
                    </w:rPr>
                    <w:t>合计</w:t>
                  </w:r>
                </w:p>
              </w:tc>
              <w:tc>
                <w:tcPr>
                  <w:tcW w:w="584" w:type="pct"/>
                  <w:noWrap w:val="0"/>
                  <w:vAlign w:val="center"/>
                </w:tcPr>
                <w:p w14:paraId="717F6210">
                  <w:pPr>
                    <w:widowControl/>
                    <w:jc w:val="center"/>
                    <w:rPr>
                      <w:rFonts w:hint="default" w:eastAsia="等线"/>
                      <w:color w:val="000000"/>
                      <w:kern w:val="0"/>
                      <w:szCs w:val="21"/>
                      <w:lang w:val="en-US" w:eastAsia="zh-CN"/>
                    </w:rPr>
                  </w:pPr>
                  <w:r>
                    <w:rPr>
                      <w:rFonts w:hint="eastAsia" w:eastAsia="等线"/>
                      <w:color w:val="000000"/>
                      <w:kern w:val="0"/>
                      <w:szCs w:val="21"/>
                      <w:lang w:val="en-US" w:eastAsia="zh-CN"/>
                    </w:rPr>
                    <w:t>0.013</w:t>
                  </w:r>
                </w:p>
              </w:tc>
              <w:tc>
                <w:tcPr>
                  <w:tcW w:w="406" w:type="pct"/>
                  <w:noWrap w:val="0"/>
                  <w:vAlign w:val="center"/>
                </w:tcPr>
                <w:p w14:paraId="0BBF3744">
                  <w:pPr>
                    <w:widowControl/>
                    <w:jc w:val="center"/>
                    <w:rPr>
                      <w:rFonts w:hint="default" w:eastAsia="等线"/>
                      <w:color w:val="000000"/>
                      <w:kern w:val="0"/>
                      <w:szCs w:val="21"/>
                      <w:lang w:val="en-US" w:eastAsia="zh-CN"/>
                    </w:rPr>
                  </w:pPr>
                  <w:r>
                    <w:rPr>
                      <w:rFonts w:hint="eastAsia" w:eastAsia="等线"/>
                      <w:color w:val="000000"/>
                      <w:kern w:val="0"/>
                      <w:szCs w:val="21"/>
                      <w:lang w:val="en-US" w:eastAsia="zh-CN"/>
                    </w:rPr>
                    <w:t>0.021</w:t>
                  </w:r>
                </w:p>
              </w:tc>
              <w:tc>
                <w:tcPr>
                  <w:tcW w:w="430" w:type="pct"/>
                  <w:noWrap w:val="0"/>
                  <w:vAlign w:val="center"/>
                </w:tcPr>
                <w:p w14:paraId="6E427E20">
                  <w:pPr>
                    <w:widowControl/>
                    <w:jc w:val="center"/>
                    <w:rPr>
                      <w:rFonts w:hint="default" w:eastAsia="等线"/>
                      <w:color w:val="000000"/>
                      <w:kern w:val="0"/>
                      <w:szCs w:val="21"/>
                      <w:lang w:val="en-US" w:eastAsia="zh-CN"/>
                    </w:rPr>
                  </w:pPr>
                  <w:r>
                    <w:rPr>
                      <w:rFonts w:hint="eastAsia" w:eastAsia="等线"/>
                      <w:color w:val="000000"/>
                      <w:kern w:val="0"/>
                      <w:szCs w:val="21"/>
                      <w:lang w:val="en-US" w:eastAsia="zh-CN"/>
                    </w:rPr>
                    <w:t>0.125</w:t>
                  </w:r>
                </w:p>
              </w:tc>
              <w:tc>
                <w:tcPr>
                  <w:tcW w:w="439" w:type="pct"/>
                  <w:noWrap w:val="0"/>
                  <w:vAlign w:val="center"/>
                </w:tcPr>
                <w:p w14:paraId="2DF29B74">
                  <w:pPr>
                    <w:widowControl/>
                    <w:jc w:val="center"/>
                    <w:rPr>
                      <w:rFonts w:hint="default" w:eastAsia="等线"/>
                      <w:color w:val="000000"/>
                      <w:kern w:val="0"/>
                      <w:szCs w:val="21"/>
                      <w:lang w:val="en-US" w:eastAsia="zh-CN"/>
                    </w:rPr>
                  </w:pPr>
                  <w:r>
                    <w:rPr>
                      <w:rFonts w:hint="eastAsia" w:eastAsia="等线"/>
                      <w:color w:val="000000"/>
                      <w:kern w:val="0"/>
                      <w:szCs w:val="21"/>
                      <w:lang w:val="en-US" w:eastAsia="zh-CN"/>
                    </w:rPr>
                    <w:t>0.03</w:t>
                  </w:r>
                </w:p>
              </w:tc>
              <w:tc>
                <w:tcPr>
                  <w:tcW w:w="548" w:type="pct"/>
                  <w:noWrap w:val="0"/>
                  <w:vAlign w:val="center"/>
                </w:tcPr>
                <w:p w14:paraId="5C3E2E84">
                  <w:pPr>
                    <w:pStyle w:val="104"/>
                    <w:rPr>
                      <w:rFonts w:hint="default" w:eastAsia="等线"/>
                      <w:color w:val="000000"/>
                      <w:lang w:val="en-US" w:eastAsia="zh-CN"/>
                    </w:rPr>
                  </w:pPr>
                  <w:r>
                    <w:rPr>
                      <w:rFonts w:hint="eastAsia" w:eastAsia="等线"/>
                      <w:color w:val="000000"/>
                      <w:lang w:val="en-US" w:eastAsia="zh-CN"/>
                    </w:rPr>
                    <w:t>0.00075</w:t>
                  </w:r>
                </w:p>
              </w:tc>
              <w:tc>
                <w:tcPr>
                  <w:tcW w:w="696" w:type="pct"/>
                  <w:noWrap w:val="0"/>
                  <w:vAlign w:val="center"/>
                </w:tcPr>
                <w:p w14:paraId="32EBB69D">
                  <w:pPr>
                    <w:jc w:val="center"/>
                    <w:rPr>
                      <w:rFonts w:hint="default" w:eastAsia="等线"/>
                      <w:color w:val="000000"/>
                      <w:szCs w:val="21"/>
                      <w:lang w:val="en-US" w:eastAsia="zh-CN"/>
                    </w:rPr>
                  </w:pPr>
                  <w:r>
                    <w:rPr>
                      <w:rFonts w:hint="eastAsia" w:eastAsia="等线"/>
                      <w:color w:val="000000"/>
                      <w:szCs w:val="21"/>
                      <w:lang w:val="en-US" w:eastAsia="zh-CN"/>
                    </w:rPr>
                    <w:t>0.00003</w:t>
                  </w:r>
                </w:p>
              </w:tc>
            </w:tr>
          </w:tbl>
          <w:p w14:paraId="39C25584">
            <w:pPr>
              <w:snapToGrid w:val="0"/>
              <w:spacing w:line="360" w:lineRule="auto"/>
              <w:ind w:firstLine="480" w:firstLineChars="200"/>
              <w:rPr>
                <w:sz w:val="24"/>
              </w:rPr>
            </w:pPr>
            <w:r>
              <w:rPr>
                <w:sz w:val="24"/>
              </w:rPr>
              <w:t>项目大气污染物年排放量核算如下：</w:t>
            </w:r>
          </w:p>
          <w:p w14:paraId="01A745E5">
            <w:pPr>
              <w:pStyle w:val="56"/>
              <w:numPr>
                <w:ilvl w:val="0"/>
                <w:numId w:val="0"/>
              </w:numPr>
              <w:spacing w:before="120"/>
              <w:ind w:left="3150" w:leftChars="0"/>
              <w:jc w:val="both"/>
              <w:rPr>
                <w:rFonts w:hint="eastAsia"/>
                <w:lang w:eastAsia="zh-CN"/>
              </w:rPr>
            </w:pPr>
            <w:r>
              <w:rPr>
                <w:rFonts w:hint="eastAsia"/>
                <w:lang w:val="en-US" w:eastAsia="zh-CN"/>
              </w:rPr>
              <w:t>表25</w:t>
            </w:r>
            <w:r>
              <w:rPr>
                <w:rFonts w:hint="eastAsia"/>
                <w:lang w:eastAsia="zh-CN"/>
              </w:rPr>
              <w:t xml:space="preserve">       项目大气污染物年排放量核算表</w:t>
            </w:r>
          </w:p>
          <w:tbl>
            <w:tblPr>
              <w:tblStyle w:val="47"/>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3092"/>
              <w:gridCol w:w="2956"/>
            </w:tblGrid>
            <w:tr w14:paraId="15B6CD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10" w:type="dxa"/>
                  <w:noWrap w:val="0"/>
                  <w:vAlign w:val="center"/>
                </w:tcPr>
                <w:p w14:paraId="78F9839D">
                  <w:pPr>
                    <w:jc w:val="center"/>
                  </w:pPr>
                  <w:r>
                    <w:t>序号</w:t>
                  </w:r>
                </w:p>
              </w:tc>
              <w:tc>
                <w:tcPr>
                  <w:tcW w:w="3092" w:type="dxa"/>
                  <w:noWrap w:val="0"/>
                  <w:vAlign w:val="center"/>
                </w:tcPr>
                <w:p w14:paraId="69B01483">
                  <w:pPr>
                    <w:jc w:val="center"/>
                  </w:pPr>
                  <w:r>
                    <w:t>污染物</w:t>
                  </w:r>
                </w:p>
              </w:tc>
              <w:tc>
                <w:tcPr>
                  <w:tcW w:w="2956" w:type="dxa"/>
                  <w:noWrap w:val="0"/>
                  <w:vAlign w:val="center"/>
                </w:tcPr>
                <w:p w14:paraId="37D38872">
                  <w:pPr>
                    <w:jc w:val="center"/>
                  </w:pPr>
                  <w:r>
                    <w:t>年排放量（t/a）</w:t>
                  </w:r>
                </w:p>
              </w:tc>
            </w:tr>
            <w:tr w14:paraId="734CBD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10" w:type="dxa"/>
                  <w:noWrap w:val="0"/>
                  <w:vAlign w:val="center"/>
                </w:tcPr>
                <w:p w14:paraId="5728D5EF">
                  <w:pPr>
                    <w:jc w:val="center"/>
                  </w:pPr>
                  <w:r>
                    <w:t>1</w:t>
                  </w:r>
                </w:p>
              </w:tc>
              <w:tc>
                <w:tcPr>
                  <w:tcW w:w="3092" w:type="dxa"/>
                  <w:noWrap w:val="0"/>
                  <w:vAlign w:val="center"/>
                </w:tcPr>
                <w:p w14:paraId="5D44513F">
                  <w:pPr>
                    <w:pStyle w:val="104"/>
                    <w:rPr>
                      <w:rFonts w:hAnsi="Times New Roman"/>
                      <w:lang w:val="en-US" w:eastAsia="zh-CN"/>
                    </w:rPr>
                  </w:pPr>
                  <w:r>
                    <w:rPr>
                      <w:rFonts w:hAnsi="Times New Roman"/>
                      <w:lang w:val="en-US" w:eastAsia="zh-CN"/>
                    </w:rPr>
                    <w:t>颗粒物</w:t>
                  </w:r>
                </w:p>
              </w:tc>
              <w:tc>
                <w:tcPr>
                  <w:tcW w:w="2956" w:type="dxa"/>
                  <w:noWrap w:val="0"/>
                  <w:vAlign w:val="center"/>
                </w:tcPr>
                <w:p w14:paraId="374DD7AF">
                  <w:pPr>
                    <w:jc w:val="center"/>
                    <w:rPr>
                      <w:rFonts w:hint="default" w:eastAsia="宋体"/>
                      <w:lang w:val="en-US" w:eastAsia="zh-CN"/>
                    </w:rPr>
                  </w:pPr>
                  <w:r>
                    <w:rPr>
                      <w:rFonts w:hint="eastAsia"/>
                      <w:lang w:val="en-US" w:eastAsia="zh-CN"/>
                    </w:rPr>
                    <w:t>0.013</w:t>
                  </w:r>
                </w:p>
              </w:tc>
            </w:tr>
            <w:tr w14:paraId="6B9A61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10" w:type="dxa"/>
                  <w:noWrap w:val="0"/>
                  <w:vAlign w:val="center"/>
                </w:tcPr>
                <w:p w14:paraId="7F287665">
                  <w:pPr>
                    <w:jc w:val="center"/>
                    <w:rPr>
                      <w:rFonts w:hint="eastAsia" w:eastAsia="宋体"/>
                      <w:lang w:val="en-US" w:eastAsia="zh-CN"/>
                    </w:rPr>
                  </w:pPr>
                  <w:r>
                    <w:rPr>
                      <w:rFonts w:hint="eastAsia"/>
                      <w:lang w:val="en-US" w:eastAsia="zh-CN"/>
                    </w:rPr>
                    <w:t>2</w:t>
                  </w:r>
                </w:p>
              </w:tc>
              <w:tc>
                <w:tcPr>
                  <w:tcW w:w="3092" w:type="dxa"/>
                  <w:noWrap w:val="0"/>
                  <w:vAlign w:val="center"/>
                </w:tcPr>
                <w:p w14:paraId="6C480823">
                  <w:pPr>
                    <w:pStyle w:val="104"/>
                    <w:rPr>
                      <w:rFonts w:hint="default" w:hAnsi="Times New Roman"/>
                      <w:lang w:val="en-US" w:eastAsia="zh-CN"/>
                    </w:rPr>
                  </w:pPr>
                  <w:r>
                    <w:rPr>
                      <w:rFonts w:hint="eastAsia" w:hAnsi="Times New Roman"/>
                      <w:lang w:val="en-US" w:eastAsia="zh-CN"/>
                    </w:rPr>
                    <w:t>二氧化硫</w:t>
                  </w:r>
                </w:p>
              </w:tc>
              <w:tc>
                <w:tcPr>
                  <w:tcW w:w="2956" w:type="dxa"/>
                  <w:noWrap w:val="0"/>
                  <w:vAlign w:val="center"/>
                </w:tcPr>
                <w:p w14:paraId="6305021F">
                  <w:pPr>
                    <w:jc w:val="center"/>
                    <w:rPr>
                      <w:rFonts w:hint="default"/>
                      <w:lang w:val="en-US" w:eastAsia="zh-CN"/>
                    </w:rPr>
                  </w:pPr>
                  <w:r>
                    <w:rPr>
                      <w:rFonts w:hint="eastAsia"/>
                      <w:lang w:val="en-US" w:eastAsia="zh-CN"/>
                    </w:rPr>
                    <w:t>0.021</w:t>
                  </w:r>
                </w:p>
              </w:tc>
            </w:tr>
            <w:tr w14:paraId="680681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10" w:type="dxa"/>
                  <w:noWrap w:val="0"/>
                  <w:vAlign w:val="center"/>
                </w:tcPr>
                <w:p w14:paraId="49701146">
                  <w:pPr>
                    <w:jc w:val="center"/>
                    <w:rPr>
                      <w:rFonts w:hint="eastAsia" w:eastAsia="宋体"/>
                      <w:lang w:val="en-US" w:eastAsia="zh-CN"/>
                    </w:rPr>
                  </w:pPr>
                  <w:r>
                    <w:rPr>
                      <w:rFonts w:hint="eastAsia"/>
                      <w:lang w:val="en-US" w:eastAsia="zh-CN"/>
                    </w:rPr>
                    <w:t>3</w:t>
                  </w:r>
                </w:p>
              </w:tc>
              <w:tc>
                <w:tcPr>
                  <w:tcW w:w="3092" w:type="dxa"/>
                  <w:noWrap w:val="0"/>
                  <w:vAlign w:val="center"/>
                </w:tcPr>
                <w:p w14:paraId="11FCB859">
                  <w:pPr>
                    <w:pStyle w:val="104"/>
                    <w:rPr>
                      <w:rFonts w:hint="default" w:hAnsi="Times New Roman"/>
                      <w:lang w:val="en-US" w:eastAsia="zh-CN"/>
                    </w:rPr>
                  </w:pPr>
                  <w:r>
                    <w:rPr>
                      <w:rFonts w:hint="eastAsia" w:hAnsi="Times New Roman"/>
                      <w:lang w:val="en-US" w:eastAsia="zh-CN"/>
                    </w:rPr>
                    <w:t>氮氧化物</w:t>
                  </w:r>
                </w:p>
              </w:tc>
              <w:tc>
                <w:tcPr>
                  <w:tcW w:w="2956" w:type="dxa"/>
                  <w:noWrap w:val="0"/>
                  <w:vAlign w:val="center"/>
                </w:tcPr>
                <w:p w14:paraId="62A13E8D">
                  <w:pPr>
                    <w:jc w:val="center"/>
                    <w:rPr>
                      <w:rFonts w:hint="default"/>
                      <w:lang w:val="en-US" w:eastAsia="zh-CN"/>
                    </w:rPr>
                  </w:pPr>
                  <w:r>
                    <w:rPr>
                      <w:rFonts w:hint="eastAsia"/>
                      <w:lang w:val="en-US" w:eastAsia="zh-CN"/>
                    </w:rPr>
                    <w:t>0.125</w:t>
                  </w:r>
                </w:p>
              </w:tc>
            </w:tr>
            <w:tr w14:paraId="192B41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10" w:type="dxa"/>
                  <w:noWrap w:val="0"/>
                  <w:vAlign w:val="center"/>
                </w:tcPr>
                <w:p w14:paraId="682E9F90">
                  <w:pPr>
                    <w:jc w:val="center"/>
                    <w:rPr>
                      <w:rFonts w:hint="eastAsia" w:eastAsia="宋体"/>
                      <w:lang w:val="en-US" w:eastAsia="zh-CN"/>
                    </w:rPr>
                  </w:pPr>
                  <w:r>
                    <w:rPr>
                      <w:rFonts w:hint="eastAsia"/>
                      <w:lang w:val="en-US" w:eastAsia="zh-CN"/>
                    </w:rPr>
                    <w:t>4</w:t>
                  </w:r>
                </w:p>
              </w:tc>
              <w:tc>
                <w:tcPr>
                  <w:tcW w:w="3092" w:type="dxa"/>
                  <w:noWrap w:val="0"/>
                  <w:vAlign w:val="center"/>
                </w:tcPr>
                <w:p w14:paraId="62F3D32B">
                  <w:pPr>
                    <w:pStyle w:val="104"/>
                    <w:rPr>
                      <w:rFonts w:hint="default" w:hAnsi="Times New Roman"/>
                      <w:lang w:val="en-US" w:eastAsia="zh-CN"/>
                    </w:rPr>
                  </w:pPr>
                  <w:r>
                    <w:rPr>
                      <w:rFonts w:hint="eastAsia" w:hAnsi="Times New Roman"/>
                      <w:lang w:val="en-US" w:eastAsia="zh-CN"/>
                    </w:rPr>
                    <w:t>油烟</w:t>
                  </w:r>
                </w:p>
              </w:tc>
              <w:tc>
                <w:tcPr>
                  <w:tcW w:w="2956" w:type="dxa"/>
                  <w:noWrap w:val="0"/>
                  <w:vAlign w:val="center"/>
                </w:tcPr>
                <w:p w14:paraId="79179975">
                  <w:pPr>
                    <w:jc w:val="center"/>
                    <w:rPr>
                      <w:rFonts w:hint="default"/>
                      <w:lang w:val="en-US" w:eastAsia="zh-CN"/>
                    </w:rPr>
                  </w:pPr>
                  <w:r>
                    <w:rPr>
                      <w:rFonts w:hint="eastAsia"/>
                      <w:lang w:val="en-US" w:eastAsia="zh-CN"/>
                    </w:rPr>
                    <w:t>0.03</w:t>
                  </w:r>
                </w:p>
              </w:tc>
            </w:tr>
            <w:tr w14:paraId="5EAFF8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10" w:type="dxa"/>
                  <w:noWrap w:val="0"/>
                  <w:vAlign w:val="center"/>
                </w:tcPr>
                <w:p w14:paraId="296F69D2">
                  <w:pPr>
                    <w:jc w:val="center"/>
                    <w:rPr>
                      <w:rFonts w:hint="default" w:eastAsia="宋体"/>
                      <w:lang w:val="en-US" w:eastAsia="zh-CN"/>
                    </w:rPr>
                  </w:pPr>
                  <w:r>
                    <w:rPr>
                      <w:rFonts w:hint="eastAsia"/>
                      <w:lang w:val="en-US" w:eastAsia="zh-CN"/>
                    </w:rPr>
                    <w:t>5</w:t>
                  </w:r>
                </w:p>
              </w:tc>
              <w:tc>
                <w:tcPr>
                  <w:tcW w:w="3092" w:type="dxa"/>
                  <w:noWrap w:val="0"/>
                  <w:vAlign w:val="center"/>
                </w:tcPr>
                <w:p w14:paraId="3A1CE7E0">
                  <w:pPr>
                    <w:pStyle w:val="104"/>
                    <w:rPr>
                      <w:rFonts w:hAnsi="Times New Roman"/>
                      <w:lang w:val="en-US" w:eastAsia="zh-CN"/>
                    </w:rPr>
                  </w:pPr>
                  <w:r>
                    <w:rPr>
                      <w:rFonts w:hint="eastAsia" w:hAnsi="Times New Roman"/>
                      <w:bCs/>
                      <w:lang w:val="en-US" w:eastAsia="zh-CN"/>
                    </w:rPr>
                    <w:t>N</w:t>
                  </w:r>
                  <w:r>
                    <w:rPr>
                      <w:rFonts w:hAnsi="Times New Roman"/>
                      <w:bCs/>
                      <w:lang w:val="en-US" w:eastAsia="zh-CN"/>
                    </w:rPr>
                    <w:t>H</w:t>
                  </w:r>
                  <w:r>
                    <w:rPr>
                      <w:rFonts w:hAnsi="Times New Roman"/>
                      <w:bCs/>
                      <w:vertAlign w:val="subscript"/>
                      <w:lang w:val="en-US" w:eastAsia="zh-CN"/>
                    </w:rPr>
                    <w:t>3</w:t>
                  </w:r>
                </w:p>
              </w:tc>
              <w:tc>
                <w:tcPr>
                  <w:tcW w:w="2956" w:type="dxa"/>
                  <w:noWrap w:val="0"/>
                  <w:vAlign w:val="center"/>
                </w:tcPr>
                <w:p w14:paraId="1260A2BE">
                  <w:pPr>
                    <w:jc w:val="center"/>
                    <w:rPr>
                      <w:rFonts w:hint="default" w:eastAsia="宋体"/>
                      <w:lang w:val="en-US" w:eastAsia="zh-CN"/>
                    </w:rPr>
                  </w:pPr>
                  <w:r>
                    <w:rPr>
                      <w:rFonts w:hint="eastAsia"/>
                      <w:lang w:val="en-US" w:eastAsia="zh-CN"/>
                    </w:rPr>
                    <w:t>0.00075</w:t>
                  </w:r>
                </w:p>
              </w:tc>
            </w:tr>
            <w:tr w14:paraId="0A9BE6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910" w:type="dxa"/>
                  <w:noWrap w:val="0"/>
                  <w:vAlign w:val="center"/>
                </w:tcPr>
                <w:p w14:paraId="77EC62FD">
                  <w:pPr>
                    <w:jc w:val="center"/>
                    <w:rPr>
                      <w:rFonts w:hint="eastAsia" w:eastAsia="宋体"/>
                      <w:lang w:eastAsia="zh-CN"/>
                    </w:rPr>
                  </w:pPr>
                  <w:r>
                    <w:rPr>
                      <w:rFonts w:hint="eastAsia"/>
                      <w:lang w:val="en-US" w:eastAsia="zh-CN"/>
                    </w:rPr>
                    <w:t>6</w:t>
                  </w:r>
                </w:p>
              </w:tc>
              <w:tc>
                <w:tcPr>
                  <w:tcW w:w="3092" w:type="dxa"/>
                  <w:noWrap w:val="0"/>
                  <w:vAlign w:val="center"/>
                </w:tcPr>
                <w:p w14:paraId="0CDFA3BC">
                  <w:pPr>
                    <w:pStyle w:val="104"/>
                    <w:rPr>
                      <w:rFonts w:hAnsi="Times New Roman"/>
                      <w:lang w:val="en-US" w:eastAsia="zh-CN"/>
                    </w:rPr>
                  </w:pPr>
                  <w:r>
                    <w:rPr>
                      <w:rFonts w:hint="eastAsia" w:hAnsi="Times New Roman"/>
                      <w:bCs/>
                      <w:lang w:val="en-US" w:eastAsia="zh-CN"/>
                    </w:rPr>
                    <w:t>H</w:t>
                  </w:r>
                  <w:r>
                    <w:rPr>
                      <w:rFonts w:hAnsi="Times New Roman"/>
                      <w:bCs/>
                      <w:vertAlign w:val="subscript"/>
                      <w:lang w:val="en-US" w:eastAsia="zh-CN"/>
                    </w:rPr>
                    <w:t>2</w:t>
                  </w:r>
                  <w:r>
                    <w:rPr>
                      <w:rFonts w:hAnsi="Times New Roman"/>
                      <w:bCs/>
                      <w:lang w:val="en-US" w:eastAsia="zh-CN"/>
                    </w:rPr>
                    <w:t>S</w:t>
                  </w:r>
                </w:p>
              </w:tc>
              <w:tc>
                <w:tcPr>
                  <w:tcW w:w="2956" w:type="dxa"/>
                  <w:noWrap w:val="0"/>
                  <w:vAlign w:val="center"/>
                </w:tcPr>
                <w:p w14:paraId="492BBF91">
                  <w:pPr>
                    <w:jc w:val="center"/>
                    <w:rPr>
                      <w:rFonts w:hint="default" w:eastAsia="宋体"/>
                      <w:lang w:val="en-US" w:eastAsia="zh-CN"/>
                    </w:rPr>
                  </w:pPr>
                  <w:r>
                    <w:rPr>
                      <w:rFonts w:hint="eastAsia"/>
                      <w:lang w:val="en-US" w:eastAsia="zh-CN"/>
                    </w:rPr>
                    <w:t>0.00003</w:t>
                  </w:r>
                </w:p>
              </w:tc>
            </w:tr>
          </w:tbl>
          <w:p w14:paraId="4602429B">
            <w:pPr>
              <w:pStyle w:val="102"/>
              <w:spacing w:before="120" w:after="120"/>
              <w:ind w:firstLine="240"/>
              <w:rPr>
                <w:color w:val="000000"/>
              </w:rPr>
            </w:pPr>
            <w:bookmarkStart w:id="38" w:name="_Hlk98833240"/>
            <w:r>
              <w:rPr>
                <w:rFonts w:hint="eastAsia"/>
                <w:color w:val="000000"/>
              </w:rPr>
              <w:t>1.3 排放口</w:t>
            </w:r>
            <w:r>
              <w:rPr>
                <w:color w:val="000000"/>
              </w:rPr>
              <w:t>设置及达标分析</w:t>
            </w:r>
          </w:p>
          <w:bookmarkEnd w:id="38"/>
          <w:p w14:paraId="2B84B655">
            <w:pPr>
              <w:pStyle w:val="100"/>
              <w:snapToGrid w:val="0"/>
              <w:ind w:left="0" w:leftChars="0"/>
            </w:pPr>
            <w:r>
              <w:t>综合上文分析，确定本项目废气排放口设置情况如下：</w:t>
            </w:r>
          </w:p>
          <w:p w14:paraId="526F4A17">
            <w:pPr>
              <w:pStyle w:val="56"/>
              <w:numPr>
                <w:ilvl w:val="0"/>
                <w:numId w:val="0"/>
              </w:numPr>
              <w:spacing w:before="120"/>
              <w:ind w:firstLine="2209" w:firstLineChars="1000"/>
              <w:jc w:val="both"/>
              <w:rPr>
                <w:rFonts w:hint="eastAsia"/>
              </w:rPr>
            </w:pPr>
            <w:r>
              <w:rPr>
                <w:rFonts w:hint="eastAsia"/>
                <w:lang w:val="en-US" w:eastAsia="zh-CN"/>
              </w:rPr>
              <w:t xml:space="preserve">表26  </w:t>
            </w:r>
            <w:r>
              <w:rPr>
                <w:rFonts w:hint="eastAsia"/>
                <w:lang w:val="zh-CN" w:eastAsia="zh-CN"/>
              </w:rPr>
              <w:t>本项目排放</w:t>
            </w:r>
            <w:r>
              <w:rPr>
                <w:rFonts w:hint="eastAsia"/>
              </w:rPr>
              <w:t>口设置一览表</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716"/>
              <w:gridCol w:w="792"/>
              <w:gridCol w:w="833"/>
              <w:gridCol w:w="650"/>
              <w:gridCol w:w="1400"/>
              <w:gridCol w:w="600"/>
              <w:gridCol w:w="2585"/>
            </w:tblGrid>
            <w:tr w14:paraId="1974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1" w:type="pct"/>
                  <w:vAlign w:val="center"/>
                </w:tcPr>
                <w:p w14:paraId="4BAAEA73">
                  <w:pPr>
                    <w:pStyle w:val="104"/>
                    <w:keepNext w:val="0"/>
                    <w:keepLines w:val="0"/>
                    <w:pageBreakBefore w:val="0"/>
                    <w:widowControl w:val="0"/>
                    <w:kinsoku/>
                    <w:wordWrap/>
                    <w:overflowPunct/>
                    <w:topLinePunct w:val="0"/>
                    <w:autoSpaceDE w:val="0"/>
                    <w:autoSpaceDN w:val="0"/>
                    <w:bidi w:val="0"/>
                    <w:adjustRightInd w:val="0"/>
                    <w:snapToGrid w:val="0"/>
                    <w:textAlignment w:val="auto"/>
                    <w:rPr>
                      <w:rFonts w:hAnsi="Times New Roman"/>
                    </w:rPr>
                  </w:pPr>
                  <w:r>
                    <w:rPr>
                      <w:rFonts w:hAnsi="Times New Roman"/>
                    </w:rPr>
                    <w:t>排气筒</w:t>
                  </w:r>
                </w:p>
              </w:tc>
              <w:tc>
                <w:tcPr>
                  <w:tcW w:w="426" w:type="pct"/>
                  <w:vAlign w:val="center"/>
                </w:tcPr>
                <w:p w14:paraId="63A13291">
                  <w:pPr>
                    <w:pStyle w:val="104"/>
                    <w:keepNext w:val="0"/>
                    <w:keepLines w:val="0"/>
                    <w:pageBreakBefore w:val="0"/>
                    <w:widowControl w:val="0"/>
                    <w:kinsoku/>
                    <w:wordWrap/>
                    <w:overflowPunct/>
                    <w:topLinePunct w:val="0"/>
                    <w:autoSpaceDE w:val="0"/>
                    <w:autoSpaceDN w:val="0"/>
                    <w:bidi w:val="0"/>
                    <w:adjustRightInd w:val="0"/>
                    <w:snapToGrid w:val="0"/>
                    <w:textAlignment w:val="auto"/>
                    <w:rPr>
                      <w:rFonts w:hAnsi="Times New Roman"/>
                    </w:rPr>
                  </w:pPr>
                  <w:r>
                    <w:rPr>
                      <w:rFonts w:hAnsi="Times New Roman"/>
                    </w:rPr>
                    <w:t>污染源</w:t>
                  </w:r>
                </w:p>
              </w:tc>
              <w:tc>
                <w:tcPr>
                  <w:tcW w:w="471" w:type="pct"/>
                  <w:vAlign w:val="center"/>
                </w:tcPr>
                <w:p w14:paraId="19BD89CE">
                  <w:pPr>
                    <w:pStyle w:val="104"/>
                    <w:keepNext w:val="0"/>
                    <w:keepLines w:val="0"/>
                    <w:pageBreakBefore w:val="0"/>
                    <w:widowControl w:val="0"/>
                    <w:kinsoku/>
                    <w:wordWrap/>
                    <w:overflowPunct/>
                    <w:topLinePunct w:val="0"/>
                    <w:autoSpaceDE w:val="0"/>
                    <w:autoSpaceDN w:val="0"/>
                    <w:bidi w:val="0"/>
                    <w:adjustRightInd w:val="0"/>
                    <w:snapToGrid w:val="0"/>
                    <w:textAlignment w:val="auto"/>
                    <w:rPr>
                      <w:rFonts w:hAnsi="Times New Roman"/>
                    </w:rPr>
                  </w:pPr>
                  <w:r>
                    <w:rPr>
                      <w:rFonts w:hAnsi="Times New Roman"/>
                    </w:rPr>
                    <w:t>高度</w:t>
                  </w:r>
                </w:p>
                <w:p w14:paraId="311EAC83">
                  <w:pPr>
                    <w:pStyle w:val="104"/>
                    <w:keepNext w:val="0"/>
                    <w:keepLines w:val="0"/>
                    <w:pageBreakBefore w:val="0"/>
                    <w:widowControl w:val="0"/>
                    <w:kinsoku/>
                    <w:wordWrap/>
                    <w:overflowPunct/>
                    <w:topLinePunct w:val="0"/>
                    <w:autoSpaceDE w:val="0"/>
                    <w:autoSpaceDN w:val="0"/>
                    <w:bidi w:val="0"/>
                    <w:adjustRightInd w:val="0"/>
                    <w:snapToGrid w:val="0"/>
                    <w:textAlignment w:val="auto"/>
                    <w:rPr>
                      <w:rFonts w:hAnsi="Times New Roman"/>
                    </w:rPr>
                  </w:pPr>
                  <w:r>
                    <w:rPr>
                      <w:rFonts w:hint="eastAsia" w:hAnsi="Times New Roman"/>
                    </w:rPr>
                    <w:t>（m）</w:t>
                  </w:r>
                </w:p>
              </w:tc>
              <w:tc>
                <w:tcPr>
                  <w:tcW w:w="495" w:type="pct"/>
                  <w:vAlign w:val="center"/>
                </w:tcPr>
                <w:p w14:paraId="3352AC92">
                  <w:pPr>
                    <w:pStyle w:val="104"/>
                    <w:keepNext w:val="0"/>
                    <w:keepLines w:val="0"/>
                    <w:pageBreakBefore w:val="0"/>
                    <w:widowControl w:val="0"/>
                    <w:kinsoku/>
                    <w:wordWrap/>
                    <w:overflowPunct/>
                    <w:topLinePunct w:val="0"/>
                    <w:autoSpaceDE w:val="0"/>
                    <w:autoSpaceDN w:val="0"/>
                    <w:bidi w:val="0"/>
                    <w:adjustRightInd w:val="0"/>
                    <w:snapToGrid w:val="0"/>
                    <w:textAlignment w:val="auto"/>
                    <w:rPr>
                      <w:rFonts w:hAnsi="Times New Roman"/>
                    </w:rPr>
                  </w:pPr>
                  <w:r>
                    <w:rPr>
                      <w:rFonts w:hAnsi="Times New Roman"/>
                    </w:rPr>
                    <w:t>内径</w:t>
                  </w:r>
                  <w:r>
                    <w:rPr>
                      <w:rFonts w:hint="eastAsia" w:hAnsi="Times New Roman"/>
                    </w:rPr>
                    <w:t>（m）</w:t>
                  </w:r>
                </w:p>
              </w:tc>
              <w:tc>
                <w:tcPr>
                  <w:tcW w:w="386" w:type="pct"/>
                  <w:vAlign w:val="center"/>
                </w:tcPr>
                <w:p w14:paraId="74743BD9">
                  <w:pPr>
                    <w:pStyle w:val="104"/>
                    <w:keepNext w:val="0"/>
                    <w:keepLines w:val="0"/>
                    <w:pageBreakBefore w:val="0"/>
                    <w:widowControl w:val="0"/>
                    <w:kinsoku/>
                    <w:wordWrap/>
                    <w:overflowPunct/>
                    <w:topLinePunct w:val="0"/>
                    <w:autoSpaceDE w:val="0"/>
                    <w:autoSpaceDN w:val="0"/>
                    <w:bidi w:val="0"/>
                    <w:adjustRightInd w:val="0"/>
                    <w:snapToGrid w:val="0"/>
                    <w:textAlignment w:val="auto"/>
                    <w:rPr>
                      <w:rFonts w:hAnsi="Times New Roman"/>
                    </w:rPr>
                  </w:pPr>
                  <w:r>
                    <w:rPr>
                      <w:rFonts w:hAnsi="Times New Roman"/>
                    </w:rPr>
                    <w:t>温度</w:t>
                  </w:r>
                </w:p>
                <w:p w14:paraId="6F95A5B7">
                  <w:pPr>
                    <w:pStyle w:val="104"/>
                    <w:keepNext w:val="0"/>
                    <w:keepLines w:val="0"/>
                    <w:pageBreakBefore w:val="0"/>
                    <w:widowControl w:val="0"/>
                    <w:kinsoku/>
                    <w:wordWrap/>
                    <w:overflowPunct/>
                    <w:topLinePunct w:val="0"/>
                    <w:autoSpaceDE w:val="0"/>
                    <w:autoSpaceDN w:val="0"/>
                    <w:bidi w:val="0"/>
                    <w:adjustRightInd w:val="0"/>
                    <w:snapToGrid w:val="0"/>
                    <w:textAlignment w:val="auto"/>
                    <w:rPr>
                      <w:rFonts w:hAnsi="Times New Roman"/>
                    </w:rPr>
                  </w:pPr>
                  <w:r>
                    <w:rPr>
                      <w:rFonts w:hint="eastAsia" w:hAnsi="Times New Roman"/>
                    </w:rPr>
                    <w:t>℃</w:t>
                  </w:r>
                </w:p>
              </w:tc>
              <w:tc>
                <w:tcPr>
                  <w:tcW w:w="833" w:type="pct"/>
                  <w:vAlign w:val="center"/>
                </w:tcPr>
                <w:p w14:paraId="14CDC625">
                  <w:pPr>
                    <w:pStyle w:val="104"/>
                    <w:keepNext w:val="0"/>
                    <w:keepLines w:val="0"/>
                    <w:pageBreakBefore w:val="0"/>
                    <w:widowControl w:val="0"/>
                    <w:kinsoku/>
                    <w:wordWrap/>
                    <w:overflowPunct/>
                    <w:topLinePunct w:val="0"/>
                    <w:autoSpaceDE w:val="0"/>
                    <w:autoSpaceDN w:val="0"/>
                    <w:bidi w:val="0"/>
                    <w:adjustRightInd w:val="0"/>
                    <w:snapToGrid w:val="0"/>
                    <w:textAlignment w:val="auto"/>
                    <w:rPr>
                      <w:rFonts w:hAnsi="Times New Roman"/>
                    </w:rPr>
                  </w:pPr>
                  <w:r>
                    <w:rPr>
                      <w:rFonts w:hAnsi="Times New Roman"/>
                    </w:rPr>
                    <w:t>地理坐标</w:t>
                  </w:r>
                </w:p>
              </w:tc>
              <w:tc>
                <w:tcPr>
                  <w:tcW w:w="357" w:type="pct"/>
                  <w:vAlign w:val="center"/>
                </w:tcPr>
                <w:p w14:paraId="6337A8BC">
                  <w:pPr>
                    <w:pStyle w:val="104"/>
                    <w:keepNext w:val="0"/>
                    <w:keepLines w:val="0"/>
                    <w:pageBreakBefore w:val="0"/>
                    <w:widowControl w:val="0"/>
                    <w:kinsoku/>
                    <w:wordWrap/>
                    <w:overflowPunct/>
                    <w:topLinePunct w:val="0"/>
                    <w:autoSpaceDE w:val="0"/>
                    <w:autoSpaceDN w:val="0"/>
                    <w:bidi w:val="0"/>
                    <w:adjustRightInd w:val="0"/>
                    <w:snapToGrid w:val="0"/>
                    <w:textAlignment w:val="auto"/>
                    <w:rPr>
                      <w:rFonts w:hAnsi="Times New Roman"/>
                    </w:rPr>
                  </w:pPr>
                  <w:r>
                    <w:rPr>
                      <w:rFonts w:hAnsi="Times New Roman"/>
                    </w:rPr>
                    <w:t>类型</w:t>
                  </w:r>
                </w:p>
              </w:tc>
              <w:tc>
                <w:tcPr>
                  <w:tcW w:w="1538" w:type="pct"/>
                  <w:vAlign w:val="center"/>
                </w:tcPr>
                <w:p w14:paraId="5F2FD42F">
                  <w:pPr>
                    <w:pStyle w:val="104"/>
                    <w:keepNext w:val="0"/>
                    <w:keepLines w:val="0"/>
                    <w:pageBreakBefore w:val="0"/>
                    <w:widowControl w:val="0"/>
                    <w:kinsoku/>
                    <w:wordWrap/>
                    <w:overflowPunct/>
                    <w:topLinePunct w:val="0"/>
                    <w:autoSpaceDE w:val="0"/>
                    <w:autoSpaceDN w:val="0"/>
                    <w:bidi w:val="0"/>
                    <w:adjustRightInd w:val="0"/>
                    <w:snapToGrid w:val="0"/>
                    <w:textAlignment w:val="auto"/>
                    <w:rPr>
                      <w:rFonts w:hAnsi="Times New Roman"/>
                    </w:rPr>
                  </w:pPr>
                  <w:r>
                    <w:rPr>
                      <w:rFonts w:hAnsi="Times New Roman"/>
                    </w:rPr>
                    <w:t>排放标准</w:t>
                  </w:r>
                </w:p>
              </w:tc>
            </w:tr>
            <w:tr w14:paraId="3ECD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1" w:type="pct"/>
                  <w:vAlign w:val="center"/>
                </w:tcPr>
                <w:p w14:paraId="7650922F">
                  <w:pPr>
                    <w:pStyle w:val="104"/>
                    <w:keepNext w:val="0"/>
                    <w:keepLines w:val="0"/>
                    <w:pageBreakBefore w:val="0"/>
                    <w:widowControl w:val="0"/>
                    <w:kinsoku/>
                    <w:wordWrap/>
                    <w:overflowPunct/>
                    <w:topLinePunct w:val="0"/>
                    <w:autoSpaceDE w:val="0"/>
                    <w:autoSpaceDN w:val="0"/>
                    <w:bidi w:val="0"/>
                    <w:adjustRightInd w:val="0"/>
                    <w:snapToGrid w:val="0"/>
                    <w:textAlignment w:val="auto"/>
                    <w:rPr>
                      <w:rFonts w:hint="eastAsia" w:hAnsi="Times New Roman" w:eastAsia="宋体"/>
                      <w:lang w:eastAsia="zh-CN"/>
                    </w:rPr>
                  </w:pPr>
                  <w:r>
                    <w:rPr>
                      <w:rFonts w:hAnsi="Times New Roman"/>
                    </w:rPr>
                    <w:t>DA0</w:t>
                  </w:r>
                  <w:r>
                    <w:rPr>
                      <w:rFonts w:hint="eastAsia" w:hAnsi="Times New Roman"/>
                    </w:rPr>
                    <w:t>0</w:t>
                  </w:r>
                  <w:r>
                    <w:rPr>
                      <w:rFonts w:hint="eastAsia" w:hAnsi="Times New Roman"/>
                      <w:lang w:val="en-US" w:eastAsia="zh-CN"/>
                    </w:rPr>
                    <w:t>1</w:t>
                  </w:r>
                </w:p>
              </w:tc>
              <w:tc>
                <w:tcPr>
                  <w:tcW w:w="426" w:type="pct"/>
                  <w:vAlign w:val="center"/>
                </w:tcPr>
                <w:p w14:paraId="688FF97C">
                  <w:pPr>
                    <w:pStyle w:val="104"/>
                    <w:keepNext w:val="0"/>
                    <w:keepLines w:val="0"/>
                    <w:pageBreakBefore w:val="0"/>
                    <w:widowControl w:val="0"/>
                    <w:kinsoku/>
                    <w:wordWrap/>
                    <w:overflowPunct/>
                    <w:topLinePunct w:val="0"/>
                    <w:autoSpaceDE w:val="0"/>
                    <w:autoSpaceDN w:val="0"/>
                    <w:bidi w:val="0"/>
                    <w:adjustRightInd w:val="0"/>
                    <w:snapToGrid w:val="0"/>
                    <w:textAlignment w:val="auto"/>
                    <w:rPr>
                      <w:rFonts w:hint="default" w:hAnsi="Times New Roman" w:eastAsia="宋体"/>
                      <w:lang w:val="en-US" w:eastAsia="zh-CN"/>
                    </w:rPr>
                  </w:pPr>
                  <w:r>
                    <w:rPr>
                      <w:rFonts w:hint="eastAsia" w:hAnsi="Times New Roman"/>
                      <w:lang w:val="en-US" w:eastAsia="zh-CN"/>
                    </w:rPr>
                    <w:t>煮锅及炒锅</w:t>
                  </w:r>
                </w:p>
              </w:tc>
              <w:tc>
                <w:tcPr>
                  <w:tcW w:w="471" w:type="pct"/>
                  <w:vAlign w:val="center"/>
                </w:tcPr>
                <w:p w14:paraId="250CF76D">
                  <w:pPr>
                    <w:pStyle w:val="104"/>
                    <w:keepNext w:val="0"/>
                    <w:keepLines w:val="0"/>
                    <w:pageBreakBefore w:val="0"/>
                    <w:widowControl w:val="0"/>
                    <w:kinsoku/>
                    <w:wordWrap/>
                    <w:overflowPunct/>
                    <w:topLinePunct w:val="0"/>
                    <w:autoSpaceDE w:val="0"/>
                    <w:autoSpaceDN w:val="0"/>
                    <w:bidi w:val="0"/>
                    <w:adjustRightInd w:val="0"/>
                    <w:snapToGrid w:val="0"/>
                    <w:textAlignment w:val="auto"/>
                    <w:rPr>
                      <w:rFonts w:hint="default" w:hAnsi="Times New Roman" w:eastAsia="宋体"/>
                      <w:lang w:val="en-US" w:eastAsia="zh-CN"/>
                    </w:rPr>
                  </w:pPr>
                  <w:r>
                    <w:rPr>
                      <w:rFonts w:hint="eastAsia" w:hAnsi="Times New Roman"/>
                      <w:lang w:val="en-US" w:eastAsia="zh-CN"/>
                    </w:rPr>
                    <w:t>15</w:t>
                  </w:r>
                </w:p>
              </w:tc>
              <w:tc>
                <w:tcPr>
                  <w:tcW w:w="495" w:type="pct"/>
                  <w:vAlign w:val="center"/>
                </w:tcPr>
                <w:p w14:paraId="0086E802">
                  <w:pPr>
                    <w:pStyle w:val="104"/>
                    <w:keepNext w:val="0"/>
                    <w:keepLines w:val="0"/>
                    <w:pageBreakBefore w:val="0"/>
                    <w:widowControl w:val="0"/>
                    <w:kinsoku/>
                    <w:wordWrap/>
                    <w:overflowPunct/>
                    <w:topLinePunct w:val="0"/>
                    <w:autoSpaceDE w:val="0"/>
                    <w:autoSpaceDN w:val="0"/>
                    <w:bidi w:val="0"/>
                    <w:adjustRightInd w:val="0"/>
                    <w:snapToGrid w:val="0"/>
                    <w:textAlignment w:val="auto"/>
                    <w:rPr>
                      <w:rFonts w:hint="eastAsia" w:hAnsi="Times New Roman" w:eastAsia="宋体"/>
                      <w:lang w:eastAsia="zh-CN"/>
                    </w:rPr>
                  </w:pPr>
                  <w:r>
                    <w:rPr>
                      <w:rFonts w:hAnsi="Times New Roman"/>
                    </w:rPr>
                    <w:t>0.</w:t>
                  </w:r>
                  <w:r>
                    <w:rPr>
                      <w:rFonts w:hint="eastAsia" w:hAnsi="Times New Roman"/>
                      <w:lang w:val="en-US" w:eastAsia="zh-CN"/>
                    </w:rPr>
                    <w:t>2</w:t>
                  </w:r>
                </w:p>
              </w:tc>
              <w:tc>
                <w:tcPr>
                  <w:tcW w:w="386" w:type="pct"/>
                  <w:vAlign w:val="center"/>
                </w:tcPr>
                <w:p w14:paraId="2D3266E5">
                  <w:pPr>
                    <w:pStyle w:val="104"/>
                    <w:keepNext w:val="0"/>
                    <w:keepLines w:val="0"/>
                    <w:pageBreakBefore w:val="0"/>
                    <w:widowControl w:val="0"/>
                    <w:kinsoku/>
                    <w:wordWrap/>
                    <w:overflowPunct/>
                    <w:topLinePunct w:val="0"/>
                    <w:autoSpaceDE w:val="0"/>
                    <w:autoSpaceDN w:val="0"/>
                    <w:bidi w:val="0"/>
                    <w:adjustRightInd w:val="0"/>
                    <w:snapToGrid w:val="0"/>
                    <w:textAlignment w:val="auto"/>
                    <w:rPr>
                      <w:rFonts w:hint="default" w:hAnsi="Times New Roman" w:eastAsia="宋体"/>
                      <w:lang w:val="en-US" w:eastAsia="zh-CN"/>
                    </w:rPr>
                  </w:pPr>
                  <w:r>
                    <w:rPr>
                      <w:rFonts w:hint="eastAsia" w:hAnsi="Times New Roman"/>
                      <w:lang w:val="en-US" w:eastAsia="zh-CN"/>
                    </w:rPr>
                    <w:t>55</w:t>
                  </w:r>
                </w:p>
              </w:tc>
              <w:tc>
                <w:tcPr>
                  <w:tcW w:w="833" w:type="pct"/>
                  <w:vAlign w:val="center"/>
                </w:tcPr>
                <w:p w14:paraId="527ACE65">
                  <w:pPr>
                    <w:pStyle w:val="104"/>
                    <w:keepNext w:val="0"/>
                    <w:keepLines w:val="0"/>
                    <w:pageBreakBefore w:val="0"/>
                    <w:widowControl w:val="0"/>
                    <w:kinsoku/>
                    <w:wordWrap/>
                    <w:overflowPunct/>
                    <w:topLinePunct w:val="0"/>
                    <w:autoSpaceDE w:val="0"/>
                    <w:autoSpaceDN w:val="0"/>
                    <w:bidi w:val="0"/>
                    <w:adjustRightInd w:val="0"/>
                    <w:snapToGrid w:val="0"/>
                    <w:textAlignment w:val="auto"/>
                    <w:rPr>
                      <w:rFonts w:hAnsi="Times New Roman"/>
                    </w:rPr>
                  </w:pPr>
                  <w:r>
                    <w:rPr>
                      <w:rFonts w:hint="eastAsia" w:hAnsi="Times New Roman"/>
                      <w:lang w:val="en-US" w:eastAsia="zh-CN"/>
                    </w:rPr>
                    <w:t>E</w:t>
                  </w:r>
                  <w:r>
                    <w:rPr>
                      <w:rFonts w:hAnsi="Times New Roman"/>
                    </w:rPr>
                    <w:t>114°</w:t>
                  </w:r>
                  <w:r>
                    <w:rPr>
                      <w:rFonts w:hint="eastAsia" w:hAnsi="Times New Roman"/>
                      <w:lang w:val="en-US" w:eastAsia="zh-CN"/>
                    </w:rPr>
                    <w:t>26</w:t>
                  </w:r>
                  <w:r>
                    <w:rPr>
                      <w:rFonts w:hAnsi="Times New Roman"/>
                    </w:rPr>
                    <w:t>′</w:t>
                  </w:r>
                  <w:r>
                    <w:rPr>
                      <w:rFonts w:hint="eastAsia" w:hAnsi="Times New Roman"/>
                      <w:lang w:val="en-US" w:eastAsia="zh-CN"/>
                    </w:rPr>
                    <w:t>56.614</w:t>
                  </w:r>
                  <w:r>
                    <w:rPr>
                      <w:rFonts w:hAnsi="Times New Roman"/>
                    </w:rPr>
                    <w:t>″</w:t>
                  </w:r>
                </w:p>
                <w:p w14:paraId="5F710CDA">
                  <w:pPr>
                    <w:pStyle w:val="104"/>
                    <w:keepNext w:val="0"/>
                    <w:keepLines w:val="0"/>
                    <w:pageBreakBefore w:val="0"/>
                    <w:widowControl w:val="0"/>
                    <w:kinsoku/>
                    <w:wordWrap/>
                    <w:overflowPunct/>
                    <w:topLinePunct w:val="0"/>
                    <w:autoSpaceDE w:val="0"/>
                    <w:autoSpaceDN w:val="0"/>
                    <w:bidi w:val="0"/>
                    <w:adjustRightInd w:val="0"/>
                    <w:snapToGrid w:val="0"/>
                    <w:textAlignment w:val="auto"/>
                    <w:rPr>
                      <w:rFonts w:hAnsi="Times New Roman"/>
                    </w:rPr>
                  </w:pPr>
                  <w:r>
                    <w:rPr>
                      <w:rFonts w:hint="eastAsia" w:hAnsi="Times New Roman"/>
                      <w:lang w:val="en-US" w:eastAsia="zh-CN"/>
                    </w:rPr>
                    <w:t>N</w:t>
                  </w:r>
                  <w:r>
                    <w:rPr>
                      <w:rFonts w:hAnsi="Times New Roman"/>
                    </w:rPr>
                    <w:t>35°</w:t>
                  </w:r>
                  <w:r>
                    <w:rPr>
                      <w:rFonts w:hint="eastAsia" w:hAnsi="Times New Roman"/>
                      <w:lang w:val="en-US" w:eastAsia="zh-CN"/>
                    </w:rPr>
                    <w:t>56</w:t>
                  </w:r>
                  <w:r>
                    <w:rPr>
                      <w:rFonts w:hAnsi="Times New Roman"/>
                    </w:rPr>
                    <w:t>′</w:t>
                  </w:r>
                  <w:r>
                    <w:rPr>
                      <w:rFonts w:hint="eastAsia" w:hAnsi="Times New Roman"/>
                      <w:lang w:val="en-US" w:eastAsia="zh-CN"/>
                    </w:rPr>
                    <w:t>47.153</w:t>
                  </w:r>
                  <w:r>
                    <w:rPr>
                      <w:rFonts w:hAnsi="Times New Roman"/>
                    </w:rPr>
                    <w:t>″</w:t>
                  </w:r>
                </w:p>
              </w:tc>
              <w:tc>
                <w:tcPr>
                  <w:tcW w:w="357" w:type="pct"/>
                  <w:vAlign w:val="center"/>
                </w:tcPr>
                <w:p w14:paraId="0D91EE5E">
                  <w:pPr>
                    <w:pStyle w:val="104"/>
                    <w:keepNext w:val="0"/>
                    <w:keepLines w:val="0"/>
                    <w:pageBreakBefore w:val="0"/>
                    <w:widowControl w:val="0"/>
                    <w:kinsoku/>
                    <w:wordWrap/>
                    <w:overflowPunct/>
                    <w:topLinePunct w:val="0"/>
                    <w:autoSpaceDE w:val="0"/>
                    <w:autoSpaceDN w:val="0"/>
                    <w:bidi w:val="0"/>
                    <w:adjustRightInd w:val="0"/>
                    <w:snapToGrid w:val="0"/>
                    <w:textAlignment w:val="auto"/>
                    <w:rPr>
                      <w:rFonts w:hAnsi="Times New Roman"/>
                    </w:rPr>
                  </w:pPr>
                  <w:r>
                    <w:rPr>
                      <w:rFonts w:hAnsi="Times New Roman"/>
                    </w:rPr>
                    <w:t>一般排放口</w:t>
                  </w:r>
                </w:p>
              </w:tc>
              <w:tc>
                <w:tcPr>
                  <w:tcW w:w="1538" w:type="pct"/>
                  <w:vAlign w:val="center"/>
                </w:tcPr>
                <w:p w14:paraId="1A9F1A14">
                  <w:pPr>
                    <w:pStyle w:val="104"/>
                    <w:keepNext w:val="0"/>
                    <w:keepLines w:val="0"/>
                    <w:pageBreakBefore w:val="0"/>
                    <w:widowControl w:val="0"/>
                    <w:kinsoku/>
                    <w:wordWrap/>
                    <w:overflowPunct/>
                    <w:topLinePunct w:val="0"/>
                    <w:autoSpaceDE w:val="0"/>
                    <w:autoSpaceDN w:val="0"/>
                    <w:bidi w:val="0"/>
                    <w:adjustRightInd w:val="0"/>
                    <w:snapToGrid w:val="0"/>
                    <w:textAlignment w:val="auto"/>
                    <w:rPr>
                      <w:rFonts w:hint="eastAsia" w:hAnsi="Times New Roman" w:eastAsia="宋体"/>
                      <w:lang w:eastAsia="zh-CN"/>
                    </w:rPr>
                  </w:pPr>
                  <w:r>
                    <w:rPr>
                      <w:kern w:val="0"/>
                      <w:szCs w:val="21"/>
                    </w:rPr>
                    <w:t>《工业炉窑大气污染物排放标准》（DB411066-2020）</w:t>
                  </w:r>
                  <w:r>
                    <w:rPr>
                      <w:rFonts w:hint="eastAsia"/>
                      <w:kern w:val="0"/>
                      <w:szCs w:val="21"/>
                      <w:lang w:val="en-US" w:eastAsia="zh-CN"/>
                    </w:rPr>
                    <w:t>及</w:t>
                  </w:r>
                  <w:r>
                    <w:rPr>
                      <w:rFonts w:hAnsi="Times New Roman"/>
                    </w:rPr>
                    <w:t>《河南省重污染天气</w:t>
                  </w:r>
                  <w:r>
                    <w:rPr>
                      <w:rFonts w:hint="eastAsia" w:hAnsi="Times New Roman"/>
                      <w:lang w:val="en-US" w:eastAsia="zh-CN"/>
                    </w:rPr>
                    <w:t>通用</w:t>
                  </w:r>
                  <w:r>
                    <w:rPr>
                      <w:rFonts w:hAnsi="Times New Roman"/>
                    </w:rPr>
                    <w:t>行业应急减排措施制定技术指南》（202</w:t>
                  </w:r>
                  <w:r>
                    <w:rPr>
                      <w:rFonts w:hint="eastAsia" w:hAnsi="Times New Roman"/>
                      <w:lang w:val="en-US" w:eastAsia="zh-CN"/>
                    </w:rPr>
                    <w:t>4</w:t>
                  </w:r>
                  <w:r>
                    <w:rPr>
                      <w:rFonts w:hAnsi="Times New Roman"/>
                    </w:rPr>
                    <w:t>年修订版）中“</w:t>
                  </w:r>
                  <w:r>
                    <w:rPr>
                      <w:rFonts w:hint="eastAsia" w:hAnsi="Times New Roman"/>
                      <w:lang w:val="en-US" w:eastAsia="zh-CN"/>
                    </w:rPr>
                    <w:t>涉工业炉窑</w:t>
                  </w:r>
                  <w:r>
                    <w:rPr>
                      <w:rFonts w:hAnsi="Times New Roman"/>
                    </w:rPr>
                    <w:t>”</w:t>
                  </w:r>
                  <w:r>
                    <w:rPr>
                      <w:rFonts w:hint="eastAsia" w:hAnsi="Times New Roman"/>
                      <w:lang w:val="en-US" w:eastAsia="zh-CN"/>
                    </w:rPr>
                    <w:t>引领性</w:t>
                  </w:r>
                  <w:r>
                    <w:rPr>
                      <w:rFonts w:hAnsi="Times New Roman"/>
                    </w:rPr>
                    <w:t>企业要求</w:t>
                  </w:r>
                  <w:r>
                    <w:rPr>
                      <w:rFonts w:hint="eastAsia" w:hAnsi="Times New Roman"/>
                      <w:lang w:eastAsia="zh-CN"/>
                    </w:rPr>
                    <w:t>、</w:t>
                  </w:r>
                  <w:r>
                    <w:rPr>
                      <w:rFonts w:hint="eastAsia"/>
                      <w:szCs w:val="21"/>
                      <w:lang w:val="en-US" w:eastAsia="zh-CN"/>
                    </w:rPr>
                    <w:t>《饮食业油烟排放标准（试行）》（GB18483-2001）小型</w:t>
                  </w:r>
                </w:p>
              </w:tc>
            </w:tr>
            <w:tr w14:paraId="24B0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91" w:type="pct"/>
                  <w:vAlign w:val="center"/>
                </w:tcPr>
                <w:p w14:paraId="05EC741C">
                  <w:pPr>
                    <w:pStyle w:val="104"/>
                    <w:keepNext w:val="0"/>
                    <w:keepLines w:val="0"/>
                    <w:pageBreakBefore w:val="0"/>
                    <w:widowControl w:val="0"/>
                    <w:kinsoku/>
                    <w:wordWrap/>
                    <w:overflowPunct/>
                    <w:topLinePunct w:val="0"/>
                    <w:autoSpaceDE w:val="0"/>
                    <w:autoSpaceDN w:val="0"/>
                    <w:bidi w:val="0"/>
                    <w:adjustRightInd w:val="0"/>
                    <w:snapToGrid w:val="0"/>
                    <w:textAlignment w:val="auto"/>
                    <w:rPr>
                      <w:rFonts w:hint="default" w:hAnsi="Times New Roman" w:eastAsia="宋体"/>
                      <w:lang w:val="en-US" w:eastAsia="zh-CN"/>
                    </w:rPr>
                  </w:pPr>
                  <w:r>
                    <w:rPr>
                      <w:rFonts w:hint="eastAsia" w:hAnsi="Times New Roman"/>
                      <w:lang w:val="en-US" w:eastAsia="zh-CN"/>
                    </w:rPr>
                    <w:t>DA002</w:t>
                  </w:r>
                </w:p>
              </w:tc>
              <w:tc>
                <w:tcPr>
                  <w:tcW w:w="426" w:type="pct"/>
                  <w:vAlign w:val="center"/>
                </w:tcPr>
                <w:p w14:paraId="43831006">
                  <w:pPr>
                    <w:pStyle w:val="104"/>
                    <w:keepNext w:val="0"/>
                    <w:keepLines w:val="0"/>
                    <w:pageBreakBefore w:val="0"/>
                    <w:widowControl w:val="0"/>
                    <w:kinsoku/>
                    <w:wordWrap/>
                    <w:overflowPunct/>
                    <w:topLinePunct w:val="0"/>
                    <w:autoSpaceDE w:val="0"/>
                    <w:autoSpaceDN w:val="0"/>
                    <w:bidi w:val="0"/>
                    <w:adjustRightInd w:val="0"/>
                    <w:snapToGrid w:val="0"/>
                    <w:textAlignment w:val="auto"/>
                    <w:rPr>
                      <w:rFonts w:hint="default" w:hAnsi="Times New Roman"/>
                      <w:lang w:val="en-US" w:eastAsia="zh-CN"/>
                    </w:rPr>
                  </w:pPr>
                  <w:r>
                    <w:rPr>
                      <w:rFonts w:hint="eastAsia" w:hAnsi="Times New Roman"/>
                      <w:lang w:val="en-US" w:eastAsia="zh-CN"/>
                    </w:rPr>
                    <w:t>蒸汽发生器</w:t>
                  </w:r>
                </w:p>
              </w:tc>
              <w:tc>
                <w:tcPr>
                  <w:tcW w:w="471" w:type="pct"/>
                  <w:vAlign w:val="center"/>
                </w:tcPr>
                <w:p w14:paraId="04C62D6A">
                  <w:pPr>
                    <w:pStyle w:val="104"/>
                    <w:keepNext w:val="0"/>
                    <w:keepLines w:val="0"/>
                    <w:pageBreakBefore w:val="0"/>
                    <w:widowControl w:val="0"/>
                    <w:kinsoku/>
                    <w:wordWrap/>
                    <w:overflowPunct/>
                    <w:topLinePunct w:val="0"/>
                    <w:autoSpaceDE w:val="0"/>
                    <w:autoSpaceDN w:val="0"/>
                    <w:bidi w:val="0"/>
                    <w:adjustRightInd w:val="0"/>
                    <w:snapToGrid w:val="0"/>
                    <w:textAlignment w:val="auto"/>
                    <w:rPr>
                      <w:rFonts w:hint="default" w:hAnsi="Times New Roman"/>
                      <w:lang w:val="en-US" w:eastAsia="zh-CN"/>
                    </w:rPr>
                  </w:pPr>
                  <w:r>
                    <w:rPr>
                      <w:rFonts w:hint="eastAsia" w:hAnsi="Times New Roman"/>
                      <w:lang w:val="en-US" w:eastAsia="zh-CN"/>
                    </w:rPr>
                    <w:t>8</w:t>
                  </w:r>
                </w:p>
              </w:tc>
              <w:tc>
                <w:tcPr>
                  <w:tcW w:w="495" w:type="pct"/>
                  <w:vAlign w:val="center"/>
                </w:tcPr>
                <w:p w14:paraId="27B0175C">
                  <w:pPr>
                    <w:pStyle w:val="104"/>
                    <w:keepNext w:val="0"/>
                    <w:keepLines w:val="0"/>
                    <w:pageBreakBefore w:val="0"/>
                    <w:widowControl w:val="0"/>
                    <w:kinsoku/>
                    <w:wordWrap/>
                    <w:overflowPunct/>
                    <w:topLinePunct w:val="0"/>
                    <w:autoSpaceDE w:val="0"/>
                    <w:autoSpaceDN w:val="0"/>
                    <w:bidi w:val="0"/>
                    <w:adjustRightInd w:val="0"/>
                    <w:snapToGrid w:val="0"/>
                    <w:textAlignment w:val="auto"/>
                    <w:rPr>
                      <w:rFonts w:hint="default" w:hAnsi="Times New Roman" w:eastAsia="宋体"/>
                      <w:lang w:val="en-US" w:eastAsia="zh-CN"/>
                    </w:rPr>
                  </w:pPr>
                  <w:r>
                    <w:rPr>
                      <w:rFonts w:hint="eastAsia" w:hAnsi="Times New Roman"/>
                      <w:lang w:val="en-US" w:eastAsia="zh-CN"/>
                    </w:rPr>
                    <w:t>0.2</w:t>
                  </w:r>
                </w:p>
              </w:tc>
              <w:tc>
                <w:tcPr>
                  <w:tcW w:w="386" w:type="pct"/>
                  <w:vAlign w:val="center"/>
                </w:tcPr>
                <w:p w14:paraId="405B3400">
                  <w:pPr>
                    <w:pStyle w:val="104"/>
                    <w:keepNext w:val="0"/>
                    <w:keepLines w:val="0"/>
                    <w:pageBreakBefore w:val="0"/>
                    <w:widowControl w:val="0"/>
                    <w:kinsoku/>
                    <w:wordWrap/>
                    <w:overflowPunct/>
                    <w:topLinePunct w:val="0"/>
                    <w:autoSpaceDE w:val="0"/>
                    <w:autoSpaceDN w:val="0"/>
                    <w:bidi w:val="0"/>
                    <w:adjustRightInd w:val="0"/>
                    <w:snapToGrid w:val="0"/>
                    <w:textAlignment w:val="auto"/>
                    <w:rPr>
                      <w:rFonts w:hint="default" w:hAnsi="Times New Roman"/>
                      <w:lang w:val="en-US" w:eastAsia="zh-CN"/>
                    </w:rPr>
                  </w:pPr>
                  <w:r>
                    <w:rPr>
                      <w:rFonts w:hint="eastAsia" w:hAnsi="Times New Roman"/>
                      <w:lang w:val="en-US" w:eastAsia="zh-CN"/>
                    </w:rPr>
                    <w:t>55</w:t>
                  </w:r>
                </w:p>
              </w:tc>
              <w:tc>
                <w:tcPr>
                  <w:tcW w:w="833" w:type="pct"/>
                  <w:vAlign w:val="center"/>
                </w:tcPr>
                <w:p w14:paraId="385EC69B">
                  <w:pPr>
                    <w:pStyle w:val="104"/>
                    <w:keepNext w:val="0"/>
                    <w:keepLines w:val="0"/>
                    <w:pageBreakBefore w:val="0"/>
                    <w:widowControl w:val="0"/>
                    <w:kinsoku/>
                    <w:wordWrap/>
                    <w:overflowPunct/>
                    <w:topLinePunct w:val="0"/>
                    <w:autoSpaceDE w:val="0"/>
                    <w:autoSpaceDN w:val="0"/>
                    <w:bidi w:val="0"/>
                    <w:adjustRightInd w:val="0"/>
                    <w:snapToGrid w:val="0"/>
                    <w:textAlignment w:val="auto"/>
                    <w:rPr>
                      <w:rFonts w:hAnsi="Times New Roman"/>
                    </w:rPr>
                  </w:pPr>
                  <w:r>
                    <w:rPr>
                      <w:rFonts w:hint="eastAsia" w:hAnsi="Times New Roman"/>
                      <w:lang w:val="en-US" w:eastAsia="zh-CN"/>
                    </w:rPr>
                    <w:t>E</w:t>
                  </w:r>
                  <w:r>
                    <w:rPr>
                      <w:rFonts w:hAnsi="Times New Roman"/>
                    </w:rPr>
                    <w:t>114°</w:t>
                  </w:r>
                  <w:r>
                    <w:rPr>
                      <w:rFonts w:hint="eastAsia" w:hAnsi="Times New Roman"/>
                      <w:lang w:val="en-US" w:eastAsia="zh-CN"/>
                    </w:rPr>
                    <w:t>26</w:t>
                  </w:r>
                  <w:r>
                    <w:rPr>
                      <w:rFonts w:hAnsi="Times New Roman"/>
                    </w:rPr>
                    <w:t>′</w:t>
                  </w:r>
                  <w:r>
                    <w:rPr>
                      <w:rFonts w:hint="eastAsia" w:hAnsi="Times New Roman"/>
                      <w:lang w:val="en-US" w:eastAsia="zh-CN"/>
                    </w:rPr>
                    <w:t>57.966</w:t>
                  </w:r>
                  <w:r>
                    <w:rPr>
                      <w:rFonts w:hAnsi="Times New Roman"/>
                    </w:rPr>
                    <w:t>″</w:t>
                  </w:r>
                </w:p>
                <w:p w14:paraId="754ACDCF">
                  <w:pPr>
                    <w:pStyle w:val="104"/>
                    <w:keepNext w:val="0"/>
                    <w:keepLines w:val="0"/>
                    <w:pageBreakBefore w:val="0"/>
                    <w:widowControl w:val="0"/>
                    <w:kinsoku/>
                    <w:wordWrap/>
                    <w:overflowPunct/>
                    <w:topLinePunct w:val="0"/>
                    <w:autoSpaceDE w:val="0"/>
                    <w:autoSpaceDN w:val="0"/>
                    <w:bidi w:val="0"/>
                    <w:adjustRightInd w:val="0"/>
                    <w:snapToGrid w:val="0"/>
                    <w:textAlignment w:val="auto"/>
                    <w:rPr>
                      <w:rFonts w:hint="eastAsia" w:hAnsi="Times New Roman"/>
                      <w:color w:val="auto"/>
                      <w:lang w:val="en-US" w:eastAsia="zh-CN"/>
                    </w:rPr>
                  </w:pPr>
                  <w:r>
                    <w:rPr>
                      <w:rFonts w:hint="eastAsia" w:hAnsi="Times New Roman"/>
                      <w:lang w:val="en-US" w:eastAsia="zh-CN"/>
                    </w:rPr>
                    <w:t>N</w:t>
                  </w:r>
                  <w:r>
                    <w:rPr>
                      <w:rFonts w:hAnsi="Times New Roman"/>
                    </w:rPr>
                    <w:t>35°</w:t>
                  </w:r>
                  <w:r>
                    <w:rPr>
                      <w:rFonts w:hint="eastAsia" w:hAnsi="Times New Roman"/>
                      <w:lang w:val="en-US" w:eastAsia="zh-CN"/>
                    </w:rPr>
                    <w:t>56</w:t>
                  </w:r>
                  <w:r>
                    <w:rPr>
                      <w:rFonts w:hAnsi="Times New Roman"/>
                    </w:rPr>
                    <w:t>′</w:t>
                  </w:r>
                  <w:r>
                    <w:rPr>
                      <w:rFonts w:hint="eastAsia" w:hAnsi="Times New Roman"/>
                      <w:lang w:val="en-US" w:eastAsia="zh-CN"/>
                    </w:rPr>
                    <w:t>47.043</w:t>
                  </w:r>
                  <w:r>
                    <w:rPr>
                      <w:rFonts w:hAnsi="Times New Roman"/>
                    </w:rPr>
                    <w:t>″</w:t>
                  </w:r>
                </w:p>
              </w:tc>
              <w:tc>
                <w:tcPr>
                  <w:tcW w:w="357" w:type="pct"/>
                  <w:vAlign w:val="center"/>
                </w:tcPr>
                <w:p w14:paraId="084DB557">
                  <w:pPr>
                    <w:pStyle w:val="104"/>
                    <w:keepNext w:val="0"/>
                    <w:keepLines w:val="0"/>
                    <w:pageBreakBefore w:val="0"/>
                    <w:widowControl w:val="0"/>
                    <w:kinsoku/>
                    <w:wordWrap/>
                    <w:overflowPunct/>
                    <w:topLinePunct w:val="0"/>
                    <w:autoSpaceDE w:val="0"/>
                    <w:autoSpaceDN w:val="0"/>
                    <w:bidi w:val="0"/>
                    <w:adjustRightInd w:val="0"/>
                    <w:snapToGrid w:val="0"/>
                    <w:textAlignment w:val="auto"/>
                    <w:rPr>
                      <w:rFonts w:hint="default" w:hAnsi="Times New Roman" w:eastAsia="宋体"/>
                      <w:lang w:val="en-US" w:eastAsia="zh-CN"/>
                    </w:rPr>
                  </w:pPr>
                  <w:r>
                    <w:rPr>
                      <w:rFonts w:hint="eastAsia" w:hAnsi="Times New Roman"/>
                      <w:lang w:val="en-US" w:eastAsia="zh-CN"/>
                    </w:rPr>
                    <w:t>一般排放口</w:t>
                  </w:r>
                </w:p>
              </w:tc>
              <w:tc>
                <w:tcPr>
                  <w:tcW w:w="1538" w:type="pct"/>
                  <w:vAlign w:val="center"/>
                </w:tcPr>
                <w:p w14:paraId="7ABD68E1">
                  <w:pPr>
                    <w:pStyle w:val="104"/>
                    <w:keepNext w:val="0"/>
                    <w:keepLines w:val="0"/>
                    <w:pageBreakBefore w:val="0"/>
                    <w:widowControl w:val="0"/>
                    <w:kinsoku/>
                    <w:wordWrap/>
                    <w:overflowPunct/>
                    <w:topLinePunct w:val="0"/>
                    <w:autoSpaceDE w:val="0"/>
                    <w:autoSpaceDN w:val="0"/>
                    <w:bidi w:val="0"/>
                    <w:adjustRightInd w:val="0"/>
                    <w:snapToGrid w:val="0"/>
                    <w:textAlignment w:val="auto"/>
                    <w:rPr>
                      <w:rFonts w:hAnsi="Times New Roman"/>
                    </w:rPr>
                  </w:pPr>
                  <w:r>
                    <w:rPr>
                      <w:spacing w:val="4"/>
                      <w:szCs w:val="21"/>
                    </w:rPr>
                    <w:t>《锅炉大气污染物排放标准》（</w:t>
                  </w:r>
                  <w:r>
                    <w:rPr>
                      <w:rFonts w:hint="eastAsia"/>
                      <w:spacing w:val="4"/>
                      <w:szCs w:val="21"/>
                    </w:rPr>
                    <w:t>D</w:t>
                  </w:r>
                  <w:r>
                    <w:rPr>
                      <w:spacing w:val="4"/>
                      <w:szCs w:val="21"/>
                    </w:rPr>
                    <w:t>B</w:t>
                  </w:r>
                  <w:r>
                    <w:rPr>
                      <w:rFonts w:hint="eastAsia"/>
                      <w:spacing w:val="4"/>
                      <w:szCs w:val="21"/>
                    </w:rPr>
                    <w:t>41/2089</w:t>
                  </w:r>
                  <w:r>
                    <w:rPr>
                      <w:spacing w:val="4"/>
                      <w:szCs w:val="21"/>
                    </w:rPr>
                    <w:t>-20</w:t>
                  </w:r>
                  <w:r>
                    <w:rPr>
                      <w:rFonts w:hint="eastAsia"/>
                      <w:spacing w:val="4"/>
                      <w:szCs w:val="21"/>
                    </w:rPr>
                    <w:t>21</w:t>
                  </w:r>
                  <w:r>
                    <w:rPr>
                      <w:spacing w:val="4"/>
                      <w:szCs w:val="21"/>
                    </w:rPr>
                    <w:t>）</w:t>
                  </w:r>
                </w:p>
              </w:tc>
            </w:tr>
          </w:tbl>
          <w:p w14:paraId="57B5EA60">
            <w:pPr>
              <w:pStyle w:val="102"/>
              <w:spacing w:before="120" w:after="120"/>
              <w:ind w:firstLine="240"/>
            </w:pPr>
            <w:r>
              <w:t>1.4监测要求</w:t>
            </w:r>
          </w:p>
          <w:p w14:paraId="5FBD7742">
            <w:pPr>
              <w:pStyle w:val="100"/>
              <w:snapToGrid w:val="0"/>
              <w:ind w:left="0" w:leftChars="0"/>
            </w:pPr>
            <w:r>
              <w:t>根据《排污单位自行监测技术指南总则》（HJ819-2017）</w:t>
            </w:r>
            <w:r>
              <w:rPr>
                <w:rFonts w:hint="eastAsia"/>
                <w:lang w:eastAsia="zh-CN"/>
              </w:rPr>
              <w:t>、</w:t>
            </w:r>
            <w:r>
              <w:rPr>
                <w:rFonts w:hint="eastAsia"/>
              </w:rPr>
              <w:t>《</w:t>
            </w:r>
            <w:r>
              <w:rPr>
                <w:rFonts w:hint="eastAsia"/>
              </w:rPr>
              <w:fldChar w:fldCharType="begin"/>
            </w:r>
            <w:r>
              <w:rPr>
                <w:rFonts w:hint="eastAsia"/>
              </w:rPr>
              <w:instrText xml:space="preserve"> HYPERLINK "https://www.mee.gov.cn/ywgz/fgbz/bz/bzwb/shjbh/xgbzh/201705/W020170511330877890199.pdf" </w:instrText>
            </w:r>
            <w:r>
              <w:rPr>
                <w:rFonts w:hint="eastAsia"/>
              </w:rPr>
              <w:fldChar w:fldCharType="separate"/>
            </w:r>
            <w:r>
              <w:rPr>
                <w:rFonts w:hint="eastAsia"/>
              </w:rPr>
              <w:t>排污单位自行监测技术指南 火力发电及锅炉</w:t>
            </w:r>
            <w:r>
              <w:rPr>
                <w:rFonts w:hint="eastAsia"/>
              </w:rPr>
              <w:fldChar w:fldCharType="end"/>
            </w:r>
            <w:r>
              <w:rPr>
                <w:rFonts w:hint="eastAsia"/>
              </w:rPr>
              <w:t>》（HJ 820-2017）</w:t>
            </w:r>
            <w:r>
              <w:rPr>
                <w:rFonts w:hint="eastAsia"/>
                <w:lang w:val="en-US" w:eastAsia="zh-CN"/>
              </w:rPr>
              <w:t>及</w:t>
            </w:r>
            <w:r>
              <w:rPr>
                <w:rFonts w:hint="eastAsia"/>
              </w:rPr>
              <w:t>《排污单位自行监测技术指南 食品制造》（HJ 1084—2020）</w:t>
            </w:r>
            <w:r>
              <w:t>，建设单位应开展自行监测活动。根据本项目污染物的产生特点、排放规律及其排放量，营运期大气污染源环境监测计划见下表</w:t>
            </w:r>
            <w:r>
              <w:rPr>
                <w:rFonts w:hint="eastAsia"/>
              </w:rPr>
              <w:t>2</w:t>
            </w:r>
            <w:r>
              <w:rPr>
                <w:rFonts w:hint="eastAsia"/>
                <w:lang w:val="en-US" w:eastAsia="zh-CN"/>
              </w:rPr>
              <w:t>7</w:t>
            </w:r>
            <w:r>
              <w:t>。</w:t>
            </w:r>
            <w:r>
              <w:rPr>
                <w:rFonts w:hint="eastAsia"/>
              </w:rPr>
              <w:t xml:space="preserve"> </w:t>
            </w:r>
          </w:p>
          <w:p w14:paraId="3076D43C">
            <w:pPr>
              <w:pStyle w:val="56"/>
              <w:keepNext w:val="0"/>
              <w:keepLines w:val="0"/>
              <w:pageBreakBefore w:val="0"/>
              <w:widowControl w:val="0"/>
              <w:numPr>
                <w:ilvl w:val="0"/>
                <w:numId w:val="0"/>
              </w:numPr>
              <w:kinsoku/>
              <w:wordWrap/>
              <w:overflowPunct/>
              <w:topLinePunct w:val="0"/>
              <w:autoSpaceDE w:val="0"/>
              <w:autoSpaceDN w:val="0"/>
              <w:bidi w:val="0"/>
              <w:adjustRightInd w:val="0"/>
              <w:snapToGrid/>
              <w:spacing w:before="120"/>
              <w:ind w:left="0" w:leftChars="0"/>
              <w:textAlignment w:val="auto"/>
              <w:rPr>
                <w:rFonts w:hint="eastAsia"/>
                <w:lang w:val="zh-CN" w:eastAsia="zh-CN"/>
              </w:rPr>
            </w:pPr>
            <w:r>
              <w:rPr>
                <w:rFonts w:hint="eastAsia"/>
                <w:lang w:val="en-US" w:eastAsia="zh-CN"/>
              </w:rPr>
              <w:t>表27</w:t>
            </w:r>
            <w:r>
              <w:rPr>
                <w:rFonts w:hint="eastAsia"/>
                <w:lang w:val="zh-CN" w:eastAsia="zh-CN"/>
              </w:rPr>
              <w:t>本项目营运期环境监测计划一览表</w:t>
            </w:r>
          </w:p>
          <w:tbl>
            <w:tblPr>
              <w:tblStyle w:val="4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28" w:type="dxa"/>
                <w:left w:w="108" w:type="dxa"/>
                <w:bottom w:w="28" w:type="dxa"/>
                <w:right w:w="108" w:type="dxa"/>
              </w:tblCellMar>
            </w:tblPr>
            <w:tblGrid>
              <w:gridCol w:w="738"/>
              <w:gridCol w:w="938"/>
              <w:gridCol w:w="1674"/>
              <w:gridCol w:w="3247"/>
              <w:gridCol w:w="1346"/>
            </w:tblGrid>
            <w:tr w14:paraId="3AD994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1676" w:type="dxa"/>
                  <w:gridSpan w:val="2"/>
                  <w:noWrap w:val="0"/>
                  <w:vAlign w:val="center"/>
                </w:tcPr>
                <w:p w14:paraId="4CFF84DC">
                  <w:pPr>
                    <w:adjustRightInd w:val="0"/>
                    <w:snapToGrid w:val="0"/>
                    <w:jc w:val="center"/>
                    <w:rPr>
                      <w:rFonts w:hint="eastAsia" w:ascii="宋体" w:hAnsi="宋体" w:cs="宋体"/>
                      <w:b/>
                    </w:rPr>
                  </w:pPr>
                  <w:r>
                    <w:rPr>
                      <w:rFonts w:hint="eastAsia" w:ascii="宋体" w:hAnsi="宋体" w:cs="宋体"/>
                      <w:b/>
                    </w:rPr>
                    <w:t>类别</w:t>
                  </w:r>
                </w:p>
              </w:tc>
              <w:tc>
                <w:tcPr>
                  <w:tcW w:w="1674" w:type="dxa"/>
                  <w:noWrap w:val="0"/>
                  <w:vAlign w:val="center"/>
                </w:tcPr>
                <w:p w14:paraId="61ABD1E2">
                  <w:pPr>
                    <w:adjustRightInd w:val="0"/>
                    <w:snapToGrid w:val="0"/>
                    <w:jc w:val="center"/>
                    <w:rPr>
                      <w:rFonts w:hint="eastAsia" w:ascii="宋体" w:hAnsi="宋体" w:cs="宋体"/>
                      <w:b/>
                    </w:rPr>
                  </w:pPr>
                  <w:r>
                    <w:rPr>
                      <w:rFonts w:hint="eastAsia" w:ascii="宋体" w:hAnsi="宋体" w:cs="宋体"/>
                      <w:b/>
                    </w:rPr>
                    <w:t>监测点位</w:t>
                  </w:r>
                </w:p>
              </w:tc>
              <w:tc>
                <w:tcPr>
                  <w:tcW w:w="3247" w:type="dxa"/>
                  <w:noWrap w:val="0"/>
                  <w:vAlign w:val="center"/>
                </w:tcPr>
                <w:p w14:paraId="10A89A49">
                  <w:pPr>
                    <w:adjustRightInd w:val="0"/>
                    <w:snapToGrid w:val="0"/>
                    <w:jc w:val="center"/>
                    <w:rPr>
                      <w:rFonts w:hint="eastAsia" w:ascii="宋体" w:hAnsi="宋体" w:cs="宋体"/>
                      <w:b/>
                    </w:rPr>
                  </w:pPr>
                  <w:r>
                    <w:rPr>
                      <w:rFonts w:hint="eastAsia" w:ascii="宋体" w:hAnsi="宋体" w:cs="宋体"/>
                      <w:b/>
                    </w:rPr>
                    <w:t>监测因子</w:t>
                  </w:r>
                </w:p>
              </w:tc>
              <w:tc>
                <w:tcPr>
                  <w:tcW w:w="1346" w:type="dxa"/>
                  <w:noWrap w:val="0"/>
                  <w:vAlign w:val="center"/>
                </w:tcPr>
                <w:p w14:paraId="2A9CE906">
                  <w:pPr>
                    <w:adjustRightInd w:val="0"/>
                    <w:snapToGrid w:val="0"/>
                    <w:jc w:val="center"/>
                    <w:rPr>
                      <w:rFonts w:hint="eastAsia" w:ascii="宋体" w:hAnsi="宋体" w:cs="宋体"/>
                      <w:b/>
                    </w:rPr>
                  </w:pPr>
                  <w:r>
                    <w:rPr>
                      <w:rFonts w:hint="eastAsia" w:ascii="宋体" w:hAnsi="宋体" w:cs="宋体"/>
                      <w:b/>
                    </w:rPr>
                    <w:t>监测频率</w:t>
                  </w:r>
                </w:p>
              </w:tc>
            </w:tr>
            <w:tr w14:paraId="1BE51B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738" w:type="dxa"/>
                  <w:vMerge w:val="restart"/>
                  <w:noWrap w:val="0"/>
                  <w:vAlign w:val="center"/>
                </w:tcPr>
                <w:p w14:paraId="68EF61B5">
                  <w:pPr>
                    <w:adjustRightInd w:val="0"/>
                    <w:snapToGrid w:val="0"/>
                    <w:jc w:val="center"/>
                    <w:rPr>
                      <w:rFonts w:hint="eastAsia" w:ascii="宋体" w:hAnsi="宋体" w:cs="宋体"/>
                    </w:rPr>
                  </w:pPr>
                  <w:r>
                    <w:rPr>
                      <w:rFonts w:hint="eastAsia" w:ascii="宋体" w:hAnsi="宋体" w:cs="宋体"/>
                    </w:rPr>
                    <w:t>废气</w:t>
                  </w:r>
                </w:p>
              </w:tc>
              <w:tc>
                <w:tcPr>
                  <w:tcW w:w="938" w:type="dxa"/>
                  <w:noWrap w:val="0"/>
                  <w:vAlign w:val="center"/>
                </w:tcPr>
                <w:p w14:paraId="5212E47B">
                  <w:pPr>
                    <w:adjustRightInd w:val="0"/>
                    <w:snapToGrid w:val="0"/>
                    <w:jc w:val="center"/>
                    <w:rPr>
                      <w:rFonts w:hint="eastAsia" w:ascii="宋体" w:hAnsi="宋体" w:cs="宋体"/>
                    </w:rPr>
                  </w:pPr>
                  <w:r>
                    <w:rPr>
                      <w:rFonts w:hint="eastAsia" w:ascii="宋体" w:hAnsi="宋体" w:cs="宋体"/>
                    </w:rPr>
                    <w:t>无组织</w:t>
                  </w:r>
                </w:p>
              </w:tc>
              <w:tc>
                <w:tcPr>
                  <w:tcW w:w="1674" w:type="dxa"/>
                  <w:noWrap w:val="0"/>
                  <w:vAlign w:val="center"/>
                </w:tcPr>
                <w:p w14:paraId="16E5B9D5">
                  <w:pPr>
                    <w:adjustRightInd w:val="0"/>
                    <w:snapToGrid w:val="0"/>
                    <w:jc w:val="center"/>
                    <w:rPr>
                      <w:rFonts w:hint="eastAsia" w:ascii="宋体" w:hAnsi="宋体" w:cs="宋体"/>
                    </w:rPr>
                  </w:pPr>
                  <w:r>
                    <w:rPr>
                      <w:rFonts w:hint="eastAsia" w:ascii="宋体" w:hAnsi="宋体" w:cs="宋体"/>
                    </w:rPr>
                    <w:t>无组织排放厂界监控点</w:t>
                  </w:r>
                </w:p>
              </w:tc>
              <w:tc>
                <w:tcPr>
                  <w:tcW w:w="3247" w:type="dxa"/>
                  <w:noWrap w:val="0"/>
                  <w:vAlign w:val="center"/>
                </w:tcPr>
                <w:p w14:paraId="00121388">
                  <w:pPr>
                    <w:adjustRightInd w:val="0"/>
                    <w:snapToGrid w:val="0"/>
                    <w:jc w:val="center"/>
                    <w:rPr>
                      <w:rFonts w:hint="default" w:ascii="宋体" w:hAnsi="宋体" w:eastAsia="宋体" w:cs="宋体"/>
                      <w:lang w:val="en-US" w:eastAsia="zh-CN"/>
                    </w:rPr>
                  </w:pPr>
                  <w:r>
                    <w:rPr>
                      <w:rFonts w:hint="eastAsia" w:ascii="宋体" w:hAnsi="宋体" w:cs="宋体"/>
                      <w:lang w:val="en-US" w:eastAsia="zh-CN"/>
                    </w:rPr>
                    <w:t>臭气浓度、氨、硫化氢</w:t>
                  </w:r>
                </w:p>
              </w:tc>
              <w:tc>
                <w:tcPr>
                  <w:tcW w:w="1346" w:type="dxa"/>
                  <w:noWrap w:val="0"/>
                  <w:vAlign w:val="center"/>
                </w:tcPr>
                <w:p w14:paraId="1F119222">
                  <w:pPr>
                    <w:adjustRightInd w:val="0"/>
                    <w:snapToGrid w:val="0"/>
                    <w:jc w:val="center"/>
                    <w:rPr>
                      <w:rFonts w:hint="eastAsia" w:ascii="宋体" w:hAnsi="宋体" w:cs="宋体"/>
                    </w:rPr>
                  </w:pPr>
                  <w:r>
                    <w:rPr>
                      <w:rFonts w:hint="eastAsia" w:ascii="宋体" w:hAnsi="宋体" w:cs="宋体"/>
                      <w:lang w:val="en-US" w:eastAsia="zh-CN"/>
                    </w:rPr>
                    <w:t>半</w:t>
                  </w:r>
                  <w:r>
                    <w:rPr>
                      <w:rFonts w:hint="eastAsia" w:ascii="宋体" w:hAnsi="宋体" w:cs="宋体"/>
                    </w:rPr>
                    <w:t>年一次</w:t>
                  </w:r>
                </w:p>
              </w:tc>
            </w:tr>
            <w:tr w14:paraId="5F386C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738" w:type="dxa"/>
                  <w:vMerge w:val="continue"/>
                  <w:noWrap w:val="0"/>
                  <w:vAlign w:val="center"/>
                </w:tcPr>
                <w:p w14:paraId="7EA78FF5">
                  <w:pPr>
                    <w:adjustRightInd w:val="0"/>
                    <w:snapToGrid w:val="0"/>
                    <w:jc w:val="center"/>
                    <w:rPr>
                      <w:rFonts w:hint="eastAsia" w:ascii="宋体" w:hAnsi="宋体" w:cs="宋体"/>
                    </w:rPr>
                  </w:pPr>
                </w:p>
              </w:tc>
              <w:tc>
                <w:tcPr>
                  <w:tcW w:w="938" w:type="dxa"/>
                  <w:vMerge w:val="restart"/>
                  <w:noWrap w:val="0"/>
                  <w:vAlign w:val="center"/>
                </w:tcPr>
                <w:p w14:paraId="7E7879CE">
                  <w:pPr>
                    <w:adjustRightInd w:val="0"/>
                    <w:snapToGrid w:val="0"/>
                    <w:jc w:val="center"/>
                    <w:rPr>
                      <w:rFonts w:hint="eastAsia" w:ascii="宋体" w:hAnsi="宋体" w:cs="宋体"/>
                    </w:rPr>
                  </w:pPr>
                  <w:r>
                    <w:rPr>
                      <w:rFonts w:hint="eastAsia" w:ascii="宋体" w:hAnsi="宋体" w:cs="宋体"/>
                    </w:rPr>
                    <w:t>有组织</w:t>
                  </w:r>
                </w:p>
              </w:tc>
              <w:tc>
                <w:tcPr>
                  <w:tcW w:w="1674" w:type="dxa"/>
                  <w:noWrap w:val="0"/>
                  <w:vAlign w:val="center"/>
                </w:tcPr>
                <w:p w14:paraId="1115F337">
                  <w:pPr>
                    <w:adjustRightInd w:val="0"/>
                    <w:snapToGrid w:val="0"/>
                    <w:jc w:val="center"/>
                  </w:pPr>
                  <w:r>
                    <w:rPr>
                      <w:bCs/>
                      <w:szCs w:val="21"/>
                    </w:rPr>
                    <w:t>DA001</w:t>
                  </w:r>
                </w:p>
              </w:tc>
              <w:tc>
                <w:tcPr>
                  <w:tcW w:w="3247" w:type="dxa"/>
                  <w:noWrap w:val="0"/>
                  <w:vAlign w:val="center"/>
                </w:tcPr>
                <w:p w14:paraId="015E19E4">
                  <w:pPr>
                    <w:adjustRightInd w:val="0"/>
                    <w:snapToGrid w:val="0"/>
                    <w:jc w:val="center"/>
                    <w:rPr>
                      <w:rFonts w:hint="default" w:eastAsia="宋体"/>
                      <w:lang w:val="en-US" w:eastAsia="zh-CN"/>
                    </w:rPr>
                  </w:pPr>
                  <w:r>
                    <w:t>颗粒物</w:t>
                  </w:r>
                  <w:r>
                    <w:rPr>
                      <w:rFonts w:hint="eastAsia"/>
                      <w:lang w:eastAsia="zh-CN"/>
                    </w:rPr>
                    <w:t>、</w:t>
                  </w:r>
                  <w:r>
                    <w:rPr>
                      <w:rFonts w:hint="eastAsia"/>
                      <w:lang w:val="en-US" w:eastAsia="zh-CN"/>
                    </w:rPr>
                    <w:t>二氧化硫、氮氧化物、林格曼黑度、油烟</w:t>
                  </w:r>
                </w:p>
              </w:tc>
              <w:tc>
                <w:tcPr>
                  <w:tcW w:w="1346" w:type="dxa"/>
                  <w:noWrap w:val="0"/>
                  <w:vAlign w:val="center"/>
                </w:tcPr>
                <w:p w14:paraId="3B8C2393">
                  <w:pPr>
                    <w:adjustRightInd w:val="0"/>
                    <w:snapToGrid w:val="0"/>
                    <w:jc w:val="center"/>
                    <w:rPr>
                      <w:rFonts w:hint="eastAsia" w:ascii="宋体" w:hAnsi="宋体" w:cs="宋体"/>
                    </w:rPr>
                  </w:pPr>
                  <w:r>
                    <w:rPr>
                      <w:rFonts w:hint="eastAsia" w:ascii="宋体" w:hAnsi="宋体" w:cs="宋体"/>
                      <w:lang w:val="en-US" w:eastAsia="zh-CN"/>
                    </w:rPr>
                    <w:t>半</w:t>
                  </w:r>
                  <w:r>
                    <w:rPr>
                      <w:rFonts w:hint="eastAsia" w:ascii="宋体" w:hAnsi="宋体" w:cs="宋体"/>
                    </w:rPr>
                    <w:t>年一次</w:t>
                  </w:r>
                </w:p>
              </w:tc>
            </w:tr>
            <w:tr w14:paraId="1294F6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738" w:type="dxa"/>
                  <w:vMerge w:val="continue"/>
                  <w:noWrap w:val="0"/>
                  <w:vAlign w:val="center"/>
                </w:tcPr>
                <w:p w14:paraId="1321F925">
                  <w:pPr>
                    <w:adjustRightInd w:val="0"/>
                    <w:snapToGrid w:val="0"/>
                    <w:jc w:val="center"/>
                    <w:rPr>
                      <w:rFonts w:hint="eastAsia" w:ascii="宋体" w:hAnsi="宋体" w:cs="宋体"/>
                    </w:rPr>
                  </w:pPr>
                </w:p>
              </w:tc>
              <w:tc>
                <w:tcPr>
                  <w:tcW w:w="938" w:type="dxa"/>
                  <w:vMerge w:val="continue"/>
                  <w:noWrap w:val="0"/>
                  <w:vAlign w:val="center"/>
                </w:tcPr>
                <w:p w14:paraId="280F704B">
                  <w:pPr>
                    <w:adjustRightInd w:val="0"/>
                    <w:snapToGrid w:val="0"/>
                    <w:jc w:val="center"/>
                    <w:rPr>
                      <w:rFonts w:hint="eastAsia" w:ascii="宋体" w:hAnsi="宋体" w:cs="宋体"/>
                    </w:rPr>
                  </w:pPr>
                </w:p>
              </w:tc>
              <w:tc>
                <w:tcPr>
                  <w:tcW w:w="1674" w:type="dxa"/>
                  <w:noWrap w:val="0"/>
                  <w:vAlign w:val="center"/>
                </w:tcPr>
                <w:p w14:paraId="258652DD">
                  <w:pPr>
                    <w:adjustRightInd w:val="0"/>
                    <w:snapToGrid w:val="0"/>
                    <w:jc w:val="center"/>
                    <w:rPr>
                      <w:rFonts w:hint="default" w:eastAsia="宋体"/>
                      <w:bCs/>
                      <w:szCs w:val="21"/>
                      <w:lang w:val="en-US" w:eastAsia="zh-CN"/>
                    </w:rPr>
                  </w:pPr>
                  <w:r>
                    <w:rPr>
                      <w:rFonts w:hint="eastAsia"/>
                      <w:bCs/>
                      <w:szCs w:val="21"/>
                      <w:lang w:val="en-US" w:eastAsia="zh-CN"/>
                    </w:rPr>
                    <w:t>DA002</w:t>
                  </w:r>
                </w:p>
              </w:tc>
              <w:tc>
                <w:tcPr>
                  <w:tcW w:w="3247" w:type="dxa"/>
                  <w:noWrap w:val="0"/>
                  <w:vAlign w:val="center"/>
                </w:tcPr>
                <w:p w14:paraId="53091B81">
                  <w:pPr>
                    <w:adjustRightInd w:val="0"/>
                    <w:snapToGrid w:val="0"/>
                    <w:jc w:val="center"/>
                  </w:pPr>
                  <w:r>
                    <w:t>颗粒物</w:t>
                  </w:r>
                  <w:r>
                    <w:rPr>
                      <w:rFonts w:hint="eastAsia"/>
                      <w:lang w:eastAsia="zh-CN"/>
                    </w:rPr>
                    <w:t>、</w:t>
                  </w:r>
                  <w:r>
                    <w:rPr>
                      <w:rFonts w:hint="eastAsia"/>
                      <w:lang w:val="en-US" w:eastAsia="zh-CN"/>
                    </w:rPr>
                    <w:t>二氧化硫、林格曼黑度</w:t>
                  </w:r>
                </w:p>
              </w:tc>
              <w:tc>
                <w:tcPr>
                  <w:tcW w:w="1346" w:type="dxa"/>
                  <w:noWrap w:val="0"/>
                  <w:vAlign w:val="center"/>
                </w:tcPr>
                <w:p w14:paraId="603F29E1">
                  <w:pPr>
                    <w:adjustRightInd w:val="0"/>
                    <w:snapToGrid w:val="0"/>
                    <w:jc w:val="center"/>
                    <w:rPr>
                      <w:rFonts w:hint="eastAsia" w:ascii="宋体" w:hAnsi="宋体" w:cs="宋体"/>
                      <w:lang w:val="en-US" w:eastAsia="zh-CN"/>
                    </w:rPr>
                  </w:pPr>
                  <w:r>
                    <w:rPr>
                      <w:rFonts w:hint="eastAsia" w:ascii="宋体" w:hAnsi="宋体" w:cs="宋体"/>
                      <w:lang w:val="en-US" w:eastAsia="zh-CN"/>
                    </w:rPr>
                    <w:t>一</w:t>
                  </w:r>
                  <w:r>
                    <w:rPr>
                      <w:rFonts w:hint="eastAsia" w:ascii="宋体" w:hAnsi="宋体" w:cs="宋体"/>
                    </w:rPr>
                    <w:t>年一次</w:t>
                  </w:r>
                </w:p>
              </w:tc>
            </w:tr>
            <w:tr w14:paraId="21D854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28" w:type="dxa"/>
                  <w:left w:w="108" w:type="dxa"/>
                  <w:bottom w:w="28" w:type="dxa"/>
                  <w:right w:w="108" w:type="dxa"/>
                </w:tblCellMar>
              </w:tblPrEx>
              <w:trPr>
                <w:jc w:val="center"/>
              </w:trPr>
              <w:tc>
                <w:tcPr>
                  <w:tcW w:w="738" w:type="dxa"/>
                  <w:vMerge w:val="continue"/>
                  <w:noWrap w:val="0"/>
                  <w:vAlign w:val="center"/>
                </w:tcPr>
                <w:p w14:paraId="490C31CB">
                  <w:pPr>
                    <w:adjustRightInd w:val="0"/>
                    <w:snapToGrid w:val="0"/>
                    <w:jc w:val="center"/>
                    <w:rPr>
                      <w:rFonts w:hint="eastAsia" w:ascii="宋体" w:hAnsi="宋体" w:cs="宋体"/>
                    </w:rPr>
                  </w:pPr>
                </w:p>
              </w:tc>
              <w:tc>
                <w:tcPr>
                  <w:tcW w:w="938" w:type="dxa"/>
                  <w:vMerge w:val="continue"/>
                  <w:noWrap w:val="0"/>
                  <w:vAlign w:val="center"/>
                </w:tcPr>
                <w:p w14:paraId="6EF1745E">
                  <w:pPr>
                    <w:adjustRightInd w:val="0"/>
                    <w:snapToGrid w:val="0"/>
                    <w:jc w:val="center"/>
                    <w:rPr>
                      <w:rFonts w:hint="eastAsia" w:ascii="宋体" w:hAnsi="宋体" w:cs="宋体"/>
                    </w:rPr>
                  </w:pPr>
                </w:p>
              </w:tc>
              <w:tc>
                <w:tcPr>
                  <w:tcW w:w="1674" w:type="dxa"/>
                  <w:noWrap w:val="0"/>
                  <w:vAlign w:val="center"/>
                </w:tcPr>
                <w:p w14:paraId="098FF997">
                  <w:pPr>
                    <w:adjustRightInd w:val="0"/>
                    <w:snapToGrid w:val="0"/>
                    <w:jc w:val="center"/>
                    <w:rPr>
                      <w:rFonts w:hint="default"/>
                      <w:bCs/>
                      <w:szCs w:val="21"/>
                      <w:lang w:val="en-US" w:eastAsia="zh-CN"/>
                    </w:rPr>
                  </w:pPr>
                  <w:r>
                    <w:rPr>
                      <w:rFonts w:hint="eastAsia"/>
                      <w:bCs/>
                      <w:szCs w:val="21"/>
                      <w:lang w:val="en-US" w:eastAsia="zh-CN"/>
                    </w:rPr>
                    <w:t>DA002</w:t>
                  </w:r>
                </w:p>
              </w:tc>
              <w:tc>
                <w:tcPr>
                  <w:tcW w:w="3247" w:type="dxa"/>
                  <w:noWrap w:val="0"/>
                  <w:vAlign w:val="center"/>
                </w:tcPr>
                <w:p w14:paraId="1D0AD094">
                  <w:pPr>
                    <w:adjustRightInd w:val="0"/>
                    <w:snapToGrid w:val="0"/>
                    <w:jc w:val="center"/>
                  </w:pPr>
                  <w:r>
                    <w:rPr>
                      <w:rFonts w:hint="eastAsia"/>
                      <w:lang w:val="en-US" w:eastAsia="zh-CN"/>
                    </w:rPr>
                    <w:t>氮氧化物</w:t>
                  </w:r>
                </w:p>
              </w:tc>
              <w:tc>
                <w:tcPr>
                  <w:tcW w:w="1346" w:type="dxa"/>
                  <w:noWrap w:val="0"/>
                  <w:vAlign w:val="center"/>
                </w:tcPr>
                <w:p w14:paraId="32AC4A1A">
                  <w:pPr>
                    <w:adjustRightInd w:val="0"/>
                    <w:snapToGrid w:val="0"/>
                    <w:jc w:val="center"/>
                    <w:rPr>
                      <w:rFonts w:hint="default" w:ascii="宋体" w:hAnsi="宋体" w:cs="宋体"/>
                      <w:lang w:val="en-US" w:eastAsia="zh-CN"/>
                    </w:rPr>
                  </w:pPr>
                  <w:r>
                    <w:rPr>
                      <w:rFonts w:hint="eastAsia" w:ascii="宋体" w:hAnsi="宋体" w:cs="宋体"/>
                      <w:lang w:val="en-US" w:eastAsia="zh-CN"/>
                    </w:rPr>
                    <w:t>一月一次</w:t>
                  </w:r>
                </w:p>
              </w:tc>
            </w:tr>
          </w:tbl>
          <w:p w14:paraId="35BDB95E">
            <w:pPr>
              <w:pStyle w:val="102"/>
              <w:spacing w:before="120" w:after="120"/>
              <w:ind w:firstLine="240"/>
            </w:pPr>
            <w:r>
              <w:t>1.5 非正常工况</w:t>
            </w:r>
          </w:p>
          <w:p w14:paraId="3E96602B">
            <w:pPr>
              <w:pStyle w:val="100"/>
              <w:snapToGrid w:val="0"/>
              <w:ind w:left="0" w:leftChars="0"/>
            </w:pPr>
            <w:r>
              <w:t>本项目非正常工况为</w:t>
            </w:r>
            <w:r>
              <w:rPr>
                <w:rFonts w:hint="eastAsia"/>
                <w:lang w:val="en-US" w:eastAsia="zh-CN"/>
              </w:rPr>
              <w:t>油烟净化器故障</w:t>
            </w:r>
            <w:r>
              <w:t>时，非正常工况下污染物排放量核算详见下表</w:t>
            </w:r>
            <w:r>
              <w:rPr>
                <w:rFonts w:hint="eastAsia"/>
              </w:rPr>
              <w:t>2</w:t>
            </w:r>
            <w:r>
              <w:rPr>
                <w:rFonts w:hint="eastAsia"/>
                <w:lang w:val="en-US" w:eastAsia="zh-CN"/>
              </w:rPr>
              <w:t>8</w:t>
            </w:r>
            <w:r>
              <w:rPr>
                <w:rFonts w:hint="eastAsia"/>
              </w:rPr>
              <w:t>。</w:t>
            </w:r>
          </w:p>
          <w:p w14:paraId="10E1D8D2">
            <w:pPr>
              <w:pStyle w:val="56"/>
              <w:numPr>
                <w:ilvl w:val="0"/>
                <w:numId w:val="0"/>
              </w:numPr>
              <w:spacing w:before="120"/>
              <w:ind w:left="3150" w:leftChars="0"/>
              <w:jc w:val="both"/>
              <w:rPr>
                <w:rFonts w:hint="eastAsia"/>
                <w:lang w:val="en-US" w:eastAsia="zh-CN"/>
              </w:rPr>
            </w:pPr>
            <w:r>
              <w:rPr>
                <w:rFonts w:hint="eastAsia"/>
                <w:lang w:val="en-US" w:eastAsia="zh-CN"/>
              </w:rPr>
              <w:t xml:space="preserve">表28 </w:t>
            </w:r>
            <w:r>
              <w:rPr>
                <w:rFonts w:hint="eastAsia"/>
                <w:lang w:val="zh-CN" w:eastAsia="zh-CN"/>
              </w:rPr>
              <w:t>污染源非正常排放量核算表</w:t>
            </w:r>
            <w:r>
              <w:rPr>
                <w:rFonts w:hint="eastAsia"/>
                <w:lang w:val="en-US" w:eastAsia="zh-CN"/>
              </w:rPr>
              <w:t xml:space="preserve"> </w:t>
            </w:r>
          </w:p>
          <w:tbl>
            <w:tblPr>
              <w:tblStyle w:val="4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730"/>
              <w:gridCol w:w="898"/>
              <w:gridCol w:w="809"/>
              <w:gridCol w:w="1382"/>
              <w:gridCol w:w="817"/>
              <w:gridCol w:w="857"/>
              <w:gridCol w:w="2397"/>
            </w:tblGrid>
            <w:tr w14:paraId="4E8B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302" w:type="pct"/>
                  <w:vAlign w:val="center"/>
                </w:tcPr>
                <w:p w14:paraId="4F417248">
                  <w:pPr>
                    <w:pStyle w:val="104"/>
                    <w:spacing w:before="120"/>
                    <w:rPr>
                      <w:rFonts w:hAnsi="Times New Roman"/>
                    </w:rPr>
                  </w:pPr>
                  <w:r>
                    <w:rPr>
                      <w:rFonts w:hAnsi="Times New Roman"/>
                    </w:rPr>
                    <w:t>序号</w:t>
                  </w:r>
                </w:p>
              </w:tc>
              <w:tc>
                <w:tcPr>
                  <w:tcW w:w="434" w:type="pct"/>
                  <w:vAlign w:val="center"/>
                </w:tcPr>
                <w:p w14:paraId="247EA25C">
                  <w:pPr>
                    <w:pStyle w:val="104"/>
                    <w:spacing w:before="120"/>
                    <w:rPr>
                      <w:rFonts w:hAnsi="Times New Roman"/>
                    </w:rPr>
                  </w:pPr>
                  <w:r>
                    <w:rPr>
                      <w:rFonts w:hAnsi="Times New Roman"/>
                    </w:rPr>
                    <w:t>污染源</w:t>
                  </w:r>
                </w:p>
              </w:tc>
              <w:tc>
                <w:tcPr>
                  <w:tcW w:w="534" w:type="pct"/>
                  <w:vAlign w:val="center"/>
                </w:tcPr>
                <w:p w14:paraId="2300B7DD">
                  <w:pPr>
                    <w:pStyle w:val="104"/>
                    <w:spacing w:before="120"/>
                    <w:rPr>
                      <w:rFonts w:hAnsi="Times New Roman"/>
                    </w:rPr>
                  </w:pPr>
                  <w:r>
                    <w:rPr>
                      <w:rFonts w:hAnsi="Times New Roman"/>
                    </w:rPr>
                    <w:t>原因</w:t>
                  </w:r>
                </w:p>
              </w:tc>
              <w:tc>
                <w:tcPr>
                  <w:tcW w:w="481" w:type="pct"/>
                  <w:vAlign w:val="center"/>
                </w:tcPr>
                <w:p w14:paraId="50A581E8">
                  <w:pPr>
                    <w:pStyle w:val="104"/>
                    <w:spacing w:before="120"/>
                    <w:rPr>
                      <w:rFonts w:hAnsi="Times New Roman"/>
                    </w:rPr>
                  </w:pPr>
                  <w:r>
                    <w:rPr>
                      <w:rFonts w:hAnsi="Times New Roman"/>
                    </w:rPr>
                    <w:t>污染物</w:t>
                  </w:r>
                </w:p>
              </w:tc>
              <w:tc>
                <w:tcPr>
                  <w:tcW w:w="822" w:type="pct"/>
                  <w:vAlign w:val="center"/>
                </w:tcPr>
                <w:p w14:paraId="7FC946DC">
                  <w:pPr>
                    <w:pStyle w:val="104"/>
                    <w:spacing w:before="120"/>
                    <w:rPr>
                      <w:rFonts w:hAnsi="Times New Roman"/>
                    </w:rPr>
                  </w:pPr>
                  <w:r>
                    <w:rPr>
                      <w:rFonts w:hAnsi="Times New Roman"/>
                    </w:rPr>
                    <w:t>非正常排放速率（kg/h）</w:t>
                  </w:r>
                </w:p>
              </w:tc>
              <w:tc>
                <w:tcPr>
                  <w:tcW w:w="486" w:type="pct"/>
                  <w:vAlign w:val="center"/>
                </w:tcPr>
                <w:p w14:paraId="3692446C">
                  <w:pPr>
                    <w:pStyle w:val="104"/>
                    <w:spacing w:before="120"/>
                    <w:rPr>
                      <w:rFonts w:hAnsi="Times New Roman"/>
                    </w:rPr>
                  </w:pPr>
                  <w:r>
                    <w:rPr>
                      <w:rFonts w:hAnsi="Times New Roman"/>
                    </w:rPr>
                    <w:t>单次持续时间/h</w:t>
                  </w:r>
                </w:p>
              </w:tc>
              <w:tc>
                <w:tcPr>
                  <w:tcW w:w="510" w:type="pct"/>
                  <w:vAlign w:val="center"/>
                </w:tcPr>
                <w:p w14:paraId="7D3F9821">
                  <w:pPr>
                    <w:pStyle w:val="104"/>
                    <w:spacing w:before="120"/>
                    <w:rPr>
                      <w:rFonts w:hAnsi="Times New Roman"/>
                    </w:rPr>
                  </w:pPr>
                  <w:r>
                    <w:rPr>
                      <w:rFonts w:hAnsi="Times New Roman"/>
                    </w:rPr>
                    <w:t>预计年发生频次/次</w:t>
                  </w:r>
                </w:p>
              </w:tc>
              <w:tc>
                <w:tcPr>
                  <w:tcW w:w="1426" w:type="pct"/>
                  <w:vAlign w:val="center"/>
                </w:tcPr>
                <w:p w14:paraId="1E282373">
                  <w:pPr>
                    <w:pStyle w:val="104"/>
                    <w:spacing w:before="120"/>
                    <w:rPr>
                      <w:rFonts w:hAnsi="Times New Roman"/>
                    </w:rPr>
                  </w:pPr>
                  <w:r>
                    <w:rPr>
                      <w:rFonts w:hint="eastAsia" w:hAnsi="Times New Roman"/>
                    </w:rPr>
                    <w:t>应对措施</w:t>
                  </w:r>
                </w:p>
              </w:tc>
            </w:tr>
            <w:tr w14:paraId="0954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2" w:type="pct"/>
                  <w:vAlign w:val="center"/>
                </w:tcPr>
                <w:p w14:paraId="3521AFF0">
                  <w:pPr>
                    <w:pStyle w:val="104"/>
                    <w:spacing w:before="120"/>
                    <w:rPr>
                      <w:rFonts w:hAnsi="Times New Roman"/>
                      <w:bCs/>
                    </w:rPr>
                  </w:pPr>
                  <w:r>
                    <w:rPr>
                      <w:rFonts w:hAnsi="Times New Roman"/>
                      <w:bCs/>
                    </w:rPr>
                    <w:t>1</w:t>
                  </w:r>
                </w:p>
              </w:tc>
              <w:tc>
                <w:tcPr>
                  <w:tcW w:w="434" w:type="pct"/>
                  <w:vAlign w:val="center"/>
                </w:tcPr>
                <w:p w14:paraId="0C44F59B">
                  <w:pPr>
                    <w:pStyle w:val="104"/>
                    <w:spacing w:before="120"/>
                    <w:rPr>
                      <w:rFonts w:hint="default" w:hAnsi="Times New Roman" w:eastAsia="宋体"/>
                      <w:lang w:val="en-US" w:eastAsia="zh-CN"/>
                    </w:rPr>
                  </w:pPr>
                  <w:r>
                    <w:rPr>
                      <w:rFonts w:hint="eastAsia" w:hAnsi="Times New Roman"/>
                      <w:lang w:val="en-US" w:eastAsia="zh-CN"/>
                    </w:rPr>
                    <w:t>熬制油烟</w:t>
                  </w:r>
                </w:p>
              </w:tc>
              <w:tc>
                <w:tcPr>
                  <w:tcW w:w="534" w:type="pct"/>
                  <w:vAlign w:val="center"/>
                </w:tcPr>
                <w:p w14:paraId="5360AE2A">
                  <w:pPr>
                    <w:pStyle w:val="104"/>
                    <w:spacing w:before="120"/>
                    <w:rPr>
                      <w:rFonts w:hint="default" w:hAnsi="Times New Roman" w:eastAsia="宋体"/>
                      <w:sz w:val="24"/>
                      <w:lang w:val="en-US" w:eastAsia="zh-CN"/>
                    </w:rPr>
                  </w:pPr>
                  <w:r>
                    <w:rPr>
                      <w:rFonts w:hint="eastAsia" w:hAnsi="Times New Roman"/>
                      <w:lang w:val="en-US" w:eastAsia="zh-CN"/>
                    </w:rPr>
                    <w:t>油烟净化器发生故障</w:t>
                  </w:r>
                </w:p>
              </w:tc>
              <w:tc>
                <w:tcPr>
                  <w:tcW w:w="481" w:type="pct"/>
                  <w:vAlign w:val="center"/>
                </w:tcPr>
                <w:p w14:paraId="61F11BBC">
                  <w:pPr>
                    <w:pStyle w:val="104"/>
                    <w:spacing w:before="120"/>
                    <w:rPr>
                      <w:rFonts w:hint="eastAsia" w:eastAsia="宋体"/>
                      <w:szCs w:val="21"/>
                      <w:lang w:eastAsia="zh-CN"/>
                    </w:rPr>
                  </w:pPr>
                  <w:r>
                    <w:rPr>
                      <w:rFonts w:hint="eastAsia" w:hAnsi="Times New Roman"/>
                      <w:lang w:val="en-US" w:eastAsia="zh-CN"/>
                    </w:rPr>
                    <w:t>油烟</w:t>
                  </w:r>
                </w:p>
              </w:tc>
              <w:tc>
                <w:tcPr>
                  <w:tcW w:w="822" w:type="pct"/>
                  <w:vAlign w:val="center"/>
                </w:tcPr>
                <w:p w14:paraId="011E6E4F">
                  <w:pPr>
                    <w:pStyle w:val="104"/>
                    <w:spacing w:before="120"/>
                    <w:rPr>
                      <w:rFonts w:hint="default" w:hAnsi="Times New Roman" w:eastAsia="宋体"/>
                      <w:lang w:val="en-US" w:eastAsia="zh-CN"/>
                    </w:rPr>
                  </w:pPr>
                  <w:r>
                    <w:rPr>
                      <w:rFonts w:hint="eastAsia" w:hAnsi="Times New Roman"/>
                      <w:lang w:val="en-US" w:eastAsia="zh-CN"/>
                    </w:rPr>
                    <w:t>0.25</w:t>
                  </w:r>
                </w:p>
              </w:tc>
              <w:tc>
                <w:tcPr>
                  <w:tcW w:w="486" w:type="pct"/>
                  <w:vAlign w:val="center"/>
                </w:tcPr>
                <w:p w14:paraId="6F3BDDAA">
                  <w:pPr>
                    <w:pStyle w:val="104"/>
                    <w:spacing w:before="120"/>
                    <w:rPr>
                      <w:rFonts w:hint="default" w:hAnsi="Times New Roman" w:eastAsia="宋体"/>
                      <w:bCs/>
                      <w:lang w:val="en-US" w:eastAsia="zh-CN"/>
                    </w:rPr>
                  </w:pPr>
                  <w:r>
                    <w:rPr>
                      <w:rFonts w:hint="eastAsia" w:hAnsi="Times New Roman"/>
                      <w:bCs/>
                      <w:lang w:val="en-US" w:eastAsia="zh-CN"/>
                    </w:rPr>
                    <w:t>0.5</w:t>
                  </w:r>
                </w:p>
              </w:tc>
              <w:tc>
                <w:tcPr>
                  <w:tcW w:w="510" w:type="pct"/>
                  <w:vAlign w:val="center"/>
                </w:tcPr>
                <w:p w14:paraId="6D27CF44">
                  <w:pPr>
                    <w:pStyle w:val="104"/>
                    <w:spacing w:before="120"/>
                    <w:rPr>
                      <w:rFonts w:hAnsi="Times New Roman"/>
                      <w:bCs/>
                    </w:rPr>
                  </w:pPr>
                  <w:r>
                    <w:rPr>
                      <w:rFonts w:hAnsi="Times New Roman"/>
                      <w:bCs/>
                    </w:rPr>
                    <w:t>1</w:t>
                  </w:r>
                </w:p>
              </w:tc>
              <w:tc>
                <w:tcPr>
                  <w:tcW w:w="1426" w:type="pct"/>
                  <w:vAlign w:val="center"/>
                </w:tcPr>
                <w:p w14:paraId="53B5A4E2">
                  <w:pPr>
                    <w:pStyle w:val="104"/>
                    <w:spacing w:before="120"/>
                    <w:rPr>
                      <w:rFonts w:hAnsi="Times New Roman"/>
                      <w:bCs/>
                    </w:rPr>
                  </w:pPr>
                  <w:r>
                    <w:rPr>
                      <w:rFonts w:hAnsi="Times New Roman"/>
                      <w:bCs/>
                    </w:rPr>
                    <w:t>立即关停生产设施，并派专人检查环保设施，待运行正常一段时间后再生产</w:t>
                  </w:r>
                </w:p>
              </w:tc>
            </w:tr>
          </w:tbl>
          <w:p w14:paraId="774C3D23">
            <w:pPr>
              <w:pStyle w:val="102"/>
              <w:spacing w:before="120" w:after="120"/>
              <w:ind w:firstLine="240"/>
            </w:pPr>
            <w:r>
              <w:t>1.</w:t>
            </w:r>
            <w:r>
              <w:rPr>
                <w:rFonts w:hint="eastAsia"/>
              </w:rPr>
              <w:t>6</w:t>
            </w:r>
            <w:r>
              <w:t xml:space="preserve"> </w:t>
            </w:r>
            <w:r>
              <w:rPr>
                <w:rFonts w:hint="eastAsia"/>
              </w:rPr>
              <w:t>环保措施可行性</w:t>
            </w:r>
            <w:r>
              <w:t>分析</w:t>
            </w:r>
          </w:p>
          <w:p w14:paraId="64EF19B3">
            <w:pPr>
              <w:pStyle w:val="100"/>
              <w:rPr>
                <w:rFonts w:hint="default" w:eastAsia="宋体"/>
                <w:b w:val="0"/>
                <w:bCs w:val="0"/>
                <w:u w:val="none"/>
                <w:lang w:val="en-US" w:eastAsia="zh-CN"/>
              </w:rPr>
            </w:pPr>
            <w:r>
              <w:t>经查</w:t>
            </w:r>
            <w:r>
              <w:rPr>
                <w:rFonts w:hint="eastAsia"/>
                <w:color w:val="000000"/>
                <w:lang w:eastAsia="zh-CN"/>
              </w:rPr>
              <w:t>《</w:t>
            </w:r>
            <w:r>
              <w:rPr>
                <w:rFonts w:hint="eastAsia"/>
                <w:color w:val="000000"/>
              </w:rPr>
              <w:t>排污许可证申请与核发技术规范食品制造工业—调味品、发酵制品制造工业</w:t>
            </w:r>
            <w:r>
              <w:rPr>
                <w:rFonts w:hint="eastAsia"/>
                <w:color w:val="000000"/>
                <w:lang w:eastAsia="zh-CN"/>
              </w:rPr>
              <w:t>》（HJ 1030.2—2019）、</w:t>
            </w:r>
            <w:r>
              <w:rPr>
                <w:color w:val="000000"/>
              </w:rPr>
              <w:t>《</w:t>
            </w:r>
            <w:r>
              <w:rPr>
                <w:rFonts w:hint="eastAsia"/>
                <w:color w:val="000000"/>
              </w:rPr>
              <w:t>排污许可证申请与核发技术规范</w:t>
            </w:r>
            <w:r>
              <w:rPr>
                <w:rFonts w:hint="eastAsia"/>
                <w:color w:val="000000"/>
                <w:lang w:val="en-US" w:eastAsia="zh-CN"/>
              </w:rPr>
              <w:t>-工业炉窑</w:t>
            </w:r>
            <w:r>
              <w:rPr>
                <w:rFonts w:hint="eastAsia"/>
                <w:color w:val="000000"/>
              </w:rPr>
              <w:t xml:space="preserve"> </w:t>
            </w:r>
            <w:r>
              <w:rPr>
                <w:color w:val="000000"/>
              </w:rPr>
              <w:t xml:space="preserve">》（HJ </w:t>
            </w:r>
            <w:r>
              <w:rPr>
                <w:rFonts w:hint="eastAsia"/>
                <w:color w:val="000000"/>
                <w:lang w:val="en-US" w:eastAsia="zh-CN"/>
              </w:rPr>
              <w:t>1121</w:t>
            </w:r>
            <w:r>
              <w:rPr>
                <w:color w:val="000000"/>
              </w:rPr>
              <w:t>—20</w:t>
            </w:r>
            <w:r>
              <w:rPr>
                <w:rFonts w:hint="eastAsia"/>
                <w:color w:val="000000"/>
                <w:lang w:val="en-US" w:eastAsia="zh-CN"/>
              </w:rPr>
              <w:t>20</w:t>
            </w:r>
            <w:r>
              <w:rPr>
                <w:color w:val="000000"/>
              </w:rPr>
              <w:t>）</w:t>
            </w:r>
            <w:r>
              <w:rPr>
                <w:rFonts w:hint="eastAsia"/>
                <w:color w:val="000000"/>
                <w:lang w:val="en-US" w:eastAsia="zh-CN"/>
              </w:rPr>
              <w:t>及</w:t>
            </w:r>
            <w:r>
              <w:rPr>
                <w:color w:val="000000"/>
              </w:rPr>
              <w:t>《</w:t>
            </w:r>
            <w:r>
              <w:rPr>
                <w:rFonts w:hint="eastAsia"/>
                <w:color w:val="000000"/>
              </w:rPr>
              <w:t>排污许可证申请与核发技术规范</w:t>
            </w:r>
            <w:r>
              <w:rPr>
                <w:rFonts w:hint="eastAsia"/>
                <w:color w:val="000000"/>
                <w:lang w:val="en-US" w:eastAsia="zh-CN"/>
              </w:rPr>
              <w:t>-锅炉</w:t>
            </w:r>
            <w:r>
              <w:rPr>
                <w:rFonts w:hint="eastAsia"/>
                <w:color w:val="000000"/>
              </w:rPr>
              <w:t xml:space="preserve"> </w:t>
            </w:r>
            <w:r>
              <w:rPr>
                <w:color w:val="000000"/>
              </w:rPr>
              <w:t xml:space="preserve">》（HJ </w:t>
            </w:r>
            <w:r>
              <w:rPr>
                <w:rFonts w:hint="eastAsia"/>
                <w:color w:val="000000"/>
                <w:lang w:val="en-US" w:eastAsia="zh-CN"/>
              </w:rPr>
              <w:t>953</w:t>
            </w:r>
            <w:r>
              <w:rPr>
                <w:color w:val="000000"/>
              </w:rPr>
              <w:t>—20</w:t>
            </w:r>
            <w:r>
              <w:rPr>
                <w:rFonts w:hint="eastAsia"/>
                <w:color w:val="000000"/>
                <w:lang w:val="en-US" w:eastAsia="zh-CN"/>
              </w:rPr>
              <w:t>18</w:t>
            </w:r>
            <w:r>
              <w:rPr>
                <w:color w:val="000000"/>
              </w:rPr>
              <w:t>）</w:t>
            </w:r>
            <w:r>
              <w:rPr>
                <w:rFonts w:hint="eastAsia" w:cs="Times New Roman"/>
                <w:sz w:val="24"/>
                <w:lang w:val="en-US" w:eastAsia="zh-CN"/>
              </w:rPr>
              <w:t>，</w:t>
            </w:r>
            <w:r>
              <w:rPr>
                <w:rFonts w:hint="eastAsia"/>
                <w:b w:val="0"/>
                <w:bCs w:val="0"/>
                <w:u w:val="none"/>
                <w:lang w:val="en-US" w:eastAsia="zh-CN"/>
              </w:rPr>
              <w:t>污水处理站废气</w:t>
            </w:r>
            <w:r>
              <w:rPr>
                <w:b w:val="0"/>
                <w:bCs w:val="0"/>
                <w:u w:val="none"/>
              </w:rPr>
              <w:t>污染防治可行技术</w:t>
            </w:r>
            <w:r>
              <w:rPr>
                <w:rFonts w:hint="eastAsia"/>
                <w:b w:val="0"/>
                <w:bCs w:val="0"/>
                <w:u w:val="none"/>
                <w:lang w:eastAsia="zh-CN"/>
              </w:rPr>
              <w:t>是</w:t>
            </w:r>
            <w:r>
              <w:rPr>
                <w:rFonts w:hint="eastAsia"/>
                <w:b w:val="0"/>
                <w:bCs w:val="0"/>
                <w:u w:val="none"/>
              </w:rPr>
              <w:t>产生恶臭区域加罩或加盖</w:t>
            </w:r>
            <w:r>
              <w:rPr>
                <w:rFonts w:hint="eastAsia"/>
                <w:b w:val="0"/>
                <w:bCs w:val="0"/>
                <w:u w:val="none"/>
                <w:lang w:eastAsia="zh-CN"/>
              </w:rPr>
              <w:t>；</w:t>
            </w:r>
            <w:r>
              <w:rPr>
                <w:rFonts w:hint="eastAsia"/>
                <w:b w:val="0"/>
                <w:bCs w:val="0"/>
                <w:u w:val="none"/>
              </w:rPr>
              <w:t>投放除臭剂</w:t>
            </w:r>
            <w:r>
              <w:rPr>
                <w:rFonts w:hint="eastAsia"/>
                <w:b w:val="0"/>
                <w:bCs w:val="0"/>
                <w:u w:val="none"/>
                <w:lang w:val="en-US" w:eastAsia="zh-CN"/>
              </w:rPr>
              <w:t>等</w:t>
            </w:r>
            <w:r>
              <w:rPr>
                <w:b w:val="0"/>
                <w:bCs w:val="0"/>
                <w:u w:val="none"/>
              </w:rPr>
              <w:t>，</w:t>
            </w:r>
            <w:r>
              <w:rPr>
                <w:rFonts w:hint="eastAsia"/>
                <w:b w:val="0"/>
                <w:bCs w:val="0"/>
                <w:u w:val="none"/>
                <w:lang w:val="en-US" w:eastAsia="zh-CN"/>
              </w:rPr>
              <w:t>本项目污水处理站恶臭废气采取密闭、定期投加除臭剂</w:t>
            </w:r>
            <w:r>
              <w:rPr>
                <w:b w:val="0"/>
                <w:bCs w:val="0"/>
                <w:u w:val="none"/>
              </w:rPr>
              <w:t>是可行技术</w:t>
            </w:r>
            <w:r>
              <w:rPr>
                <w:rFonts w:hint="eastAsia"/>
                <w:b w:val="0"/>
                <w:bCs w:val="0"/>
                <w:u w:val="none"/>
                <w:lang w:eastAsia="zh-CN"/>
              </w:rPr>
              <w:t>；</w:t>
            </w:r>
            <w:r>
              <w:rPr>
                <w:rFonts w:hint="eastAsia"/>
                <w:b w:val="0"/>
                <w:bCs w:val="0"/>
                <w:u w:val="none"/>
                <w:lang w:val="en-US" w:eastAsia="zh-CN"/>
              </w:rPr>
              <w:t>蒸汽发生器安装低氮燃烧是可行技术。</w:t>
            </w:r>
          </w:p>
          <w:p w14:paraId="666F3E83">
            <w:pPr>
              <w:pStyle w:val="102"/>
              <w:spacing w:before="120" w:after="120"/>
              <w:ind w:firstLine="240"/>
            </w:pPr>
            <w:r>
              <w:t>1.</w:t>
            </w:r>
            <w:r>
              <w:rPr>
                <w:rFonts w:hint="eastAsia"/>
              </w:rPr>
              <w:t>7</w:t>
            </w:r>
            <w:r>
              <w:t xml:space="preserve"> 大气环境影响分析</w:t>
            </w:r>
          </w:p>
          <w:p w14:paraId="353C3430">
            <w:pPr>
              <w:pStyle w:val="144"/>
            </w:pPr>
            <w:r>
              <w:rPr>
                <w:lang w:bidi="ar"/>
              </w:rPr>
              <w:t>综上，本工程大气污染物满足相应标准要求，在采取评价要求的措施后，本项目运营期废气均能达标排放，废气对周围大气环境影响不大。</w:t>
            </w:r>
          </w:p>
          <w:p w14:paraId="093B4863">
            <w:pPr>
              <w:pStyle w:val="259"/>
              <w:spacing w:before="120" w:after="120"/>
              <w:rPr>
                <w:lang w:bidi="ar"/>
              </w:rPr>
            </w:pPr>
            <w:bookmarkStart w:id="39" w:name="_Toc197848440"/>
            <w:r>
              <w:rPr>
                <w:lang w:bidi="ar"/>
              </w:rPr>
              <w:t>2、废水</w:t>
            </w:r>
            <w:bookmarkEnd w:id="39"/>
          </w:p>
          <w:p w14:paraId="0CE0086F">
            <w:pPr>
              <w:pStyle w:val="261"/>
              <w:ind w:firstLine="240"/>
              <w:rPr>
                <w:lang w:bidi="ar"/>
              </w:rPr>
            </w:pPr>
            <w:r>
              <w:rPr>
                <w:lang w:bidi="ar"/>
              </w:rPr>
              <w:t>2.1源强核定及达标分析</w:t>
            </w:r>
          </w:p>
          <w:p w14:paraId="37297421">
            <w:pPr>
              <w:pStyle w:val="98"/>
              <w:spacing w:before="0" w:beforeLines="0" w:after="0" w:afterLines="0" w:line="360" w:lineRule="auto"/>
              <w:ind w:firstLine="480" w:firstLineChars="200"/>
              <w:rPr>
                <w:rFonts w:ascii="Times New Roman" w:hAnsi="Times New Roman" w:eastAsia="宋体"/>
                <w:b w:val="0"/>
                <w:bCs w:val="0"/>
                <w:szCs w:val="24"/>
              </w:rPr>
            </w:pPr>
            <w:r>
              <w:rPr>
                <w:rFonts w:hint="eastAsia" w:ascii="Times New Roman" w:hAnsi="Times New Roman" w:eastAsia="宋体"/>
                <w:b w:val="0"/>
                <w:bCs w:val="0"/>
                <w:szCs w:val="24"/>
                <w:lang w:val="en-US" w:eastAsia="zh-CN"/>
              </w:rPr>
              <w:t>本项目废水主要是大豆清洗废水、煮豆废水、洗瓶废水、设备清洗废水、车间地面清洗废水、制纯水废水及生活污水</w:t>
            </w:r>
            <w:r>
              <w:rPr>
                <w:rFonts w:hint="eastAsia" w:ascii="Times New Roman" w:hAnsi="Times New Roman" w:eastAsia="宋体"/>
                <w:b w:val="0"/>
                <w:bCs w:val="0"/>
                <w:szCs w:val="24"/>
              </w:rPr>
              <w:t>。</w:t>
            </w:r>
          </w:p>
          <w:p w14:paraId="19769E21">
            <w:pPr>
              <w:spacing w:line="360" w:lineRule="auto"/>
              <w:ind w:firstLine="482" w:firstLineChars="200"/>
              <w:rPr>
                <w:b/>
                <w:bCs/>
                <w:sz w:val="24"/>
              </w:rPr>
            </w:pPr>
            <w:r>
              <w:rPr>
                <w:b/>
                <w:bCs/>
                <w:sz w:val="24"/>
              </w:rPr>
              <w:t>（1）生产废水（W1-W</w:t>
            </w:r>
            <w:r>
              <w:rPr>
                <w:rFonts w:hint="eastAsia"/>
                <w:b/>
                <w:bCs/>
                <w:sz w:val="24"/>
                <w:lang w:val="en-US" w:eastAsia="zh-CN"/>
              </w:rPr>
              <w:t>6</w:t>
            </w:r>
            <w:r>
              <w:rPr>
                <w:b/>
                <w:bCs/>
                <w:sz w:val="24"/>
              </w:rPr>
              <w:t>）</w:t>
            </w:r>
          </w:p>
          <w:p w14:paraId="0C6B0B65">
            <w:pPr>
              <w:keepNext w:val="0"/>
              <w:keepLines w:val="0"/>
              <w:pageBreakBefore w:val="0"/>
              <w:kinsoku/>
              <w:wordWrap/>
              <w:overflowPunct/>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项目生产用水主要包括：</w:t>
            </w:r>
            <w:r>
              <w:rPr>
                <w:rFonts w:hint="eastAsia" w:cs="Times New Roman"/>
                <w:color w:val="auto"/>
                <w:sz w:val="24"/>
                <w:szCs w:val="24"/>
                <w:highlight w:val="none"/>
                <w:lang w:val="en-US" w:eastAsia="zh-CN"/>
              </w:rPr>
              <w:t>大豆清洗</w:t>
            </w:r>
            <w:r>
              <w:rPr>
                <w:rFonts w:hint="eastAsia" w:ascii="Times New Roman" w:hAnsi="Times New Roman" w:eastAsia="宋体" w:cs="Times New Roman"/>
                <w:color w:val="auto"/>
                <w:sz w:val="24"/>
                <w:szCs w:val="24"/>
                <w:highlight w:val="none"/>
                <w:lang w:val="en-US" w:eastAsia="zh-CN"/>
              </w:rPr>
              <w:t>用水、</w:t>
            </w:r>
            <w:r>
              <w:rPr>
                <w:rFonts w:hint="eastAsia" w:cs="Times New Roman"/>
                <w:color w:val="auto"/>
                <w:sz w:val="24"/>
                <w:szCs w:val="24"/>
                <w:highlight w:val="none"/>
                <w:lang w:val="en-US" w:eastAsia="zh-CN"/>
              </w:rPr>
              <w:t>煮锅用水、洗瓶用水、豆腐清洗用水、蒸锅用水、</w:t>
            </w:r>
            <w:r>
              <w:rPr>
                <w:rFonts w:hint="eastAsia" w:ascii="Times New Roman" w:hAnsi="Times New Roman" w:eastAsia="宋体" w:cs="Times New Roman"/>
                <w:color w:val="auto"/>
                <w:sz w:val="24"/>
                <w:szCs w:val="24"/>
                <w:highlight w:val="none"/>
                <w:lang w:val="en-US" w:eastAsia="zh-CN"/>
              </w:rPr>
              <w:t>设备清洗水、车间清洁用水</w:t>
            </w:r>
            <w:r>
              <w:rPr>
                <w:rFonts w:hint="eastAsia" w:cs="Times New Roman"/>
                <w:color w:val="auto"/>
                <w:sz w:val="24"/>
                <w:szCs w:val="24"/>
                <w:highlight w:val="none"/>
                <w:lang w:val="en-US" w:eastAsia="zh-CN"/>
              </w:rPr>
              <w:t>、制纯水废水</w:t>
            </w:r>
            <w:r>
              <w:rPr>
                <w:rFonts w:hint="eastAsia" w:ascii="Times New Roman" w:hAnsi="Times New Roman" w:eastAsia="宋体" w:cs="Times New Roman"/>
                <w:color w:val="auto"/>
                <w:sz w:val="24"/>
                <w:szCs w:val="24"/>
                <w:highlight w:val="none"/>
                <w:lang w:val="en-US" w:eastAsia="zh-CN"/>
              </w:rPr>
              <w:t>。</w:t>
            </w:r>
          </w:p>
          <w:p w14:paraId="048D08D9">
            <w:pPr>
              <w:pStyle w:val="144"/>
              <w:rPr>
                <w:rFonts w:hint="default" w:ascii="宋体" w:hAnsi="宋体" w:cs="宋体"/>
                <w:lang w:val="en-US" w:eastAsia="zh-CN"/>
              </w:rPr>
            </w:pPr>
            <w:r>
              <w:rPr>
                <w:rFonts w:hint="eastAsia" w:ascii="宋体" w:hAnsi="宋体" w:cs="宋体"/>
              </w:rPr>
              <w:t>①</w:t>
            </w:r>
            <w:r>
              <w:rPr>
                <w:rFonts w:hint="eastAsia" w:ascii="宋体" w:hAnsi="宋体" w:cs="宋体"/>
                <w:lang w:val="en-US" w:eastAsia="zh-CN"/>
              </w:rPr>
              <w:t>大豆清洗废水：本项目外购大豆需人工筛选后清洗浸泡一下，</w:t>
            </w:r>
            <w:r>
              <w:rPr>
                <w:rFonts w:hint="default" w:ascii="Times New Roman" w:hAnsi="Times New Roman" w:eastAsia="宋体" w:cs="Times New Roman"/>
                <w:b w:val="0"/>
                <w:bCs/>
                <w:color w:val="auto"/>
                <w:kern w:val="2"/>
                <w:sz w:val="24"/>
                <w:szCs w:val="24"/>
                <w:lang w:val="en-US" w:eastAsia="zh-CN" w:bidi="ar"/>
              </w:rPr>
              <w:t>大豆清洗</w:t>
            </w:r>
            <w:r>
              <w:rPr>
                <w:rFonts w:hint="eastAsia" w:cs="Times New Roman"/>
                <w:b w:val="0"/>
                <w:bCs/>
                <w:color w:val="auto"/>
                <w:kern w:val="2"/>
                <w:sz w:val="24"/>
                <w:szCs w:val="24"/>
                <w:lang w:val="en-US" w:eastAsia="zh-CN" w:bidi="ar"/>
              </w:rPr>
              <w:t>浸泡</w:t>
            </w:r>
            <w:r>
              <w:rPr>
                <w:rFonts w:hint="default" w:ascii="Times New Roman" w:hAnsi="Times New Roman" w:eastAsia="宋体" w:cs="Times New Roman"/>
                <w:b w:val="0"/>
                <w:bCs/>
                <w:color w:val="auto"/>
                <w:kern w:val="2"/>
                <w:sz w:val="24"/>
                <w:szCs w:val="24"/>
                <w:lang w:val="en-US" w:eastAsia="zh-CN" w:bidi="ar"/>
              </w:rPr>
              <w:t>用水与大豆添加量为1:1</w:t>
            </w:r>
            <w:r>
              <w:rPr>
                <w:rFonts w:hint="eastAsia" w:cs="Times New Roman"/>
                <w:b w:val="0"/>
                <w:bCs/>
                <w:color w:val="auto"/>
                <w:kern w:val="2"/>
                <w:sz w:val="24"/>
                <w:szCs w:val="24"/>
                <w:lang w:val="en-US" w:eastAsia="zh-CN" w:bidi="ar"/>
              </w:rPr>
              <w:t>.8，有40%水被大豆吸走。</w:t>
            </w:r>
            <w:r>
              <w:rPr>
                <w:rFonts w:hint="eastAsia" w:ascii="Times New Roman" w:hAnsi="Times New Roman" w:eastAsia="宋体" w:cs="Times New Roman"/>
                <w:b w:val="0"/>
                <w:bCs/>
                <w:color w:val="auto"/>
                <w:kern w:val="2"/>
                <w:sz w:val="24"/>
                <w:szCs w:val="24"/>
                <w:lang w:val="en-US" w:eastAsia="zh-CN" w:bidi="ar"/>
              </w:rPr>
              <w:t>本项目大豆用量为312t，则清洗</w:t>
            </w:r>
            <w:r>
              <w:rPr>
                <w:rFonts w:hint="eastAsia" w:cs="Times New Roman"/>
                <w:b w:val="0"/>
                <w:bCs/>
                <w:color w:val="auto"/>
                <w:kern w:val="2"/>
                <w:sz w:val="24"/>
                <w:szCs w:val="24"/>
                <w:lang w:val="en-US" w:eastAsia="zh-CN" w:bidi="ar"/>
              </w:rPr>
              <w:t>浸泡</w:t>
            </w:r>
            <w:r>
              <w:rPr>
                <w:rFonts w:hint="eastAsia" w:ascii="Times New Roman" w:hAnsi="Times New Roman" w:eastAsia="宋体" w:cs="Times New Roman"/>
                <w:b w:val="0"/>
                <w:bCs/>
                <w:color w:val="auto"/>
                <w:kern w:val="2"/>
                <w:sz w:val="24"/>
                <w:szCs w:val="24"/>
                <w:lang w:val="en-US" w:eastAsia="zh-CN" w:bidi="ar"/>
              </w:rPr>
              <w:t>用水为</w:t>
            </w:r>
            <w:r>
              <w:rPr>
                <w:rFonts w:hint="eastAsia" w:cs="Times New Roman"/>
                <w:b w:val="0"/>
                <w:bCs/>
                <w:color w:val="auto"/>
                <w:kern w:val="2"/>
                <w:sz w:val="24"/>
                <w:szCs w:val="24"/>
                <w:lang w:val="en-US" w:eastAsia="zh-CN" w:bidi="ar"/>
              </w:rPr>
              <w:t>561.6</w:t>
            </w:r>
            <w:r>
              <w:rPr>
                <w:rFonts w:hint="eastAsia" w:ascii="Times New Roman" w:hAnsi="Times New Roman" w:eastAsia="宋体" w:cs="Times New Roman"/>
                <w:b w:val="0"/>
                <w:bCs/>
                <w:color w:val="auto"/>
                <w:kern w:val="2"/>
                <w:sz w:val="24"/>
                <w:szCs w:val="24"/>
                <w:lang w:val="en-US" w:eastAsia="zh-CN" w:bidi="ar"/>
              </w:rPr>
              <w:t>t，</w:t>
            </w:r>
            <w:r>
              <w:rPr>
                <w:rFonts w:hint="default" w:ascii="Times New Roman" w:hAnsi="Times New Roman" w:eastAsia="宋体" w:cs="Times New Roman"/>
                <w:b w:val="0"/>
                <w:bCs/>
                <w:color w:val="auto"/>
                <w:kern w:val="2"/>
                <w:sz w:val="24"/>
                <w:szCs w:val="24"/>
                <w:lang w:val="en-US" w:eastAsia="zh-CN" w:bidi="ar"/>
              </w:rPr>
              <w:t>污水产生系数取</w:t>
            </w:r>
            <w:r>
              <w:rPr>
                <w:rFonts w:hint="eastAsia" w:cs="Times New Roman"/>
                <w:b w:val="0"/>
                <w:bCs/>
                <w:color w:val="auto"/>
                <w:kern w:val="2"/>
                <w:sz w:val="24"/>
                <w:szCs w:val="24"/>
                <w:lang w:val="en-US" w:eastAsia="zh-CN" w:bidi="ar"/>
              </w:rPr>
              <w:t>6</w:t>
            </w:r>
            <w:r>
              <w:rPr>
                <w:rFonts w:hint="default" w:ascii="Times New Roman" w:hAnsi="Times New Roman" w:eastAsia="宋体" w:cs="Times New Roman"/>
                <w:b w:val="0"/>
                <w:bCs/>
                <w:color w:val="auto"/>
                <w:kern w:val="2"/>
                <w:sz w:val="24"/>
                <w:szCs w:val="24"/>
                <w:lang w:val="en-US" w:eastAsia="zh-CN" w:bidi="ar"/>
              </w:rPr>
              <w:t>0％，则清洗废水产生量为</w:t>
            </w:r>
            <w:r>
              <w:rPr>
                <w:rFonts w:hint="eastAsia" w:cs="Times New Roman"/>
                <w:b w:val="0"/>
                <w:bCs/>
                <w:color w:val="auto"/>
                <w:kern w:val="2"/>
                <w:sz w:val="24"/>
                <w:szCs w:val="24"/>
                <w:lang w:val="en-US" w:eastAsia="zh-CN" w:bidi="ar"/>
              </w:rPr>
              <w:t>336.96</w:t>
            </w:r>
            <w:r>
              <w:rPr>
                <w:rFonts w:hint="default" w:ascii="Times New Roman" w:hAnsi="Times New Roman" w:eastAsia="宋体" w:cs="Times New Roman"/>
                <w:b w:val="0"/>
                <w:bCs/>
                <w:color w:val="auto"/>
                <w:kern w:val="2"/>
                <w:sz w:val="24"/>
                <w:szCs w:val="24"/>
                <w:lang w:val="en-US" w:eastAsia="zh-CN" w:bidi="ar"/>
              </w:rPr>
              <w:t>m</w:t>
            </w:r>
            <w:r>
              <w:rPr>
                <w:rFonts w:hint="default" w:ascii="Times New Roman" w:hAnsi="Times New Roman" w:eastAsia="宋体" w:cs="Times New Roman"/>
                <w:b w:val="0"/>
                <w:bCs/>
                <w:color w:val="auto"/>
                <w:kern w:val="2"/>
                <w:sz w:val="24"/>
                <w:szCs w:val="24"/>
                <w:vertAlign w:val="superscript"/>
                <w:lang w:val="en-US" w:eastAsia="zh-CN" w:bidi="ar"/>
              </w:rPr>
              <w:t>3</w:t>
            </w:r>
            <w:r>
              <w:rPr>
                <w:rFonts w:hint="default" w:ascii="Times New Roman" w:hAnsi="Times New Roman" w:eastAsia="宋体" w:cs="Times New Roman"/>
                <w:b w:val="0"/>
                <w:bCs/>
                <w:color w:val="auto"/>
                <w:kern w:val="2"/>
                <w:sz w:val="24"/>
                <w:szCs w:val="24"/>
                <w:lang w:val="en-US" w:eastAsia="zh-CN" w:bidi="ar"/>
              </w:rPr>
              <w:t>/a（</w:t>
            </w:r>
            <w:r>
              <w:rPr>
                <w:rFonts w:hint="eastAsia" w:cs="Times New Roman"/>
                <w:b w:val="0"/>
                <w:bCs/>
                <w:color w:val="auto"/>
                <w:kern w:val="2"/>
                <w:sz w:val="24"/>
                <w:szCs w:val="24"/>
                <w:lang w:val="en-US" w:eastAsia="zh-CN" w:bidi="ar"/>
              </w:rPr>
              <w:t>1.12</w:t>
            </w:r>
            <w:r>
              <w:rPr>
                <w:rFonts w:hint="default" w:ascii="Times New Roman" w:hAnsi="Times New Roman" w:eastAsia="宋体" w:cs="Times New Roman"/>
                <w:b w:val="0"/>
                <w:bCs/>
                <w:color w:val="auto"/>
                <w:kern w:val="2"/>
                <w:sz w:val="24"/>
                <w:szCs w:val="24"/>
                <w:lang w:val="en-US" w:eastAsia="zh-CN" w:bidi="ar"/>
              </w:rPr>
              <w:t>m</w:t>
            </w:r>
            <w:r>
              <w:rPr>
                <w:rFonts w:hint="default" w:ascii="Times New Roman" w:hAnsi="Times New Roman" w:eastAsia="宋体" w:cs="Times New Roman"/>
                <w:b w:val="0"/>
                <w:bCs/>
                <w:color w:val="auto"/>
                <w:kern w:val="2"/>
                <w:sz w:val="24"/>
                <w:szCs w:val="24"/>
                <w:vertAlign w:val="superscript"/>
                <w:lang w:val="en-US" w:eastAsia="zh-CN" w:bidi="ar"/>
              </w:rPr>
              <w:t>3</w:t>
            </w:r>
            <w:r>
              <w:rPr>
                <w:rFonts w:hint="default" w:ascii="Times New Roman" w:hAnsi="Times New Roman" w:eastAsia="宋体" w:cs="Times New Roman"/>
                <w:b w:val="0"/>
                <w:bCs/>
                <w:color w:val="auto"/>
                <w:kern w:val="2"/>
                <w:sz w:val="24"/>
                <w:szCs w:val="24"/>
                <w:lang w:val="en-US" w:eastAsia="zh-CN" w:bidi="ar"/>
              </w:rPr>
              <w:t>/d）</w:t>
            </w:r>
            <w:r>
              <w:rPr>
                <w:rFonts w:hint="eastAsia" w:ascii="Times New Roman" w:hAnsi="Times New Roman" w:eastAsia="宋体" w:cs="Times New Roman"/>
                <w:b w:val="0"/>
                <w:bCs/>
                <w:color w:val="auto"/>
                <w:kern w:val="2"/>
                <w:sz w:val="24"/>
                <w:szCs w:val="24"/>
                <w:lang w:val="en-US" w:eastAsia="zh-CN" w:bidi="ar"/>
              </w:rPr>
              <w:t>。</w:t>
            </w:r>
          </w:p>
          <w:p w14:paraId="71964785">
            <w:pPr>
              <w:pStyle w:val="144"/>
              <w:rPr>
                <w:rFonts w:hint="default" w:ascii="宋体" w:hAnsi="宋体" w:cs="宋体"/>
                <w:lang w:val="en-US" w:eastAsia="zh-CN"/>
              </w:rPr>
            </w:pPr>
            <w:r>
              <w:rPr>
                <w:rFonts w:hint="eastAsia" w:ascii="宋体" w:hAnsi="宋体" w:cs="宋体"/>
                <w:sz w:val="24"/>
              </w:rPr>
              <w:t>②</w:t>
            </w:r>
            <w:r>
              <w:rPr>
                <w:rFonts w:hint="eastAsia" w:ascii="宋体" w:hAnsi="宋体" w:cs="宋体"/>
                <w:lang w:val="en-US" w:eastAsia="zh-CN"/>
              </w:rPr>
              <w:t>煮豆废水：本项目大豆炒制前需煮熟，煮锅内的水一天一换，根据建设单位提供的资料，蒸锅每天可产生</w:t>
            </w:r>
            <w:r>
              <w:rPr>
                <w:rFonts w:hint="default" w:ascii="Times New Roman" w:hAnsi="Times New Roman" w:cs="Times New Roman"/>
                <w:lang w:val="en-US" w:eastAsia="zh-CN"/>
              </w:rPr>
              <w:t>0.1t废水，合30t/a。</w:t>
            </w:r>
          </w:p>
          <w:p w14:paraId="67B86B81">
            <w:pPr>
              <w:pStyle w:val="144"/>
            </w:pPr>
            <w:r>
              <w:rPr>
                <w:rFonts w:hint="default" w:ascii="Calibri" w:hAnsi="Calibri" w:cs="Calibri"/>
              </w:rPr>
              <w:t>③</w:t>
            </w:r>
            <w:r>
              <w:rPr>
                <w:rFonts w:hint="eastAsia"/>
              </w:rPr>
              <w:t>设备清洗废水：为保证产品质量和卫生安全，项目每天对生产过程中使用到的</w:t>
            </w:r>
            <w:r>
              <w:t>生产设备</w:t>
            </w:r>
            <w:r>
              <w:rPr>
                <w:rFonts w:hint="eastAsia"/>
              </w:rPr>
              <w:t>等工具设备进行清洗，清洗频次为1次/天，清洗方式为人工进行冲洗。根据建设方提供经验数据</w:t>
            </w:r>
            <w:r>
              <w:t>，项目设备清洗水的用量为</w:t>
            </w:r>
            <w:r>
              <w:rPr>
                <w:rFonts w:hint="eastAsia"/>
              </w:rPr>
              <w:t>2</w:t>
            </w:r>
            <w:r>
              <w:t>m</w:t>
            </w:r>
            <w:r>
              <w:rPr>
                <w:vertAlign w:val="superscript"/>
              </w:rPr>
              <w:t>3</w:t>
            </w:r>
            <w:r>
              <w:t>/d（</w:t>
            </w:r>
            <w:r>
              <w:rPr>
                <w:rFonts w:hint="eastAsia"/>
              </w:rPr>
              <w:t>600</w:t>
            </w:r>
            <w:r>
              <w:t>m</w:t>
            </w:r>
            <w:r>
              <w:rPr>
                <w:vertAlign w:val="superscript"/>
              </w:rPr>
              <w:t>3</w:t>
            </w:r>
            <w:r>
              <w:t>/a），</w:t>
            </w:r>
            <w:r>
              <w:rPr>
                <w:rFonts w:hint="eastAsia"/>
              </w:rPr>
              <w:t>产</w:t>
            </w:r>
            <w:r>
              <w:t>污系数按90%计</w:t>
            </w:r>
            <w:r>
              <w:rPr>
                <w:rFonts w:hint="eastAsia"/>
              </w:rPr>
              <w:t>，则</w:t>
            </w:r>
            <w:r>
              <w:t>设备清洗废水产生量</w:t>
            </w:r>
            <w:r>
              <w:rPr>
                <w:rFonts w:hint="eastAsia"/>
              </w:rPr>
              <w:t>约540</w:t>
            </w:r>
            <w:r>
              <w:t>m</w:t>
            </w:r>
            <w:r>
              <w:rPr>
                <w:vertAlign w:val="superscript"/>
              </w:rPr>
              <w:t>3</w:t>
            </w:r>
            <w:r>
              <w:t>/a（</w:t>
            </w:r>
            <w:r>
              <w:rPr>
                <w:rFonts w:hint="eastAsia"/>
              </w:rPr>
              <w:t>1.8</w:t>
            </w:r>
            <w:r>
              <w:t>m</w:t>
            </w:r>
            <w:r>
              <w:rPr>
                <w:vertAlign w:val="superscript"/>
              </w:rPr>
              <w:t>3</w:t>
            </w:r>
            <w:r>
              <w:t>/d）</w:t>
            </w:r>
            <w:r>
              <w:rPr>
                <w:rFonts w:hint="eastAsia"/>
              </w:rPr>
              <w:t>。</w:t>
            </w:r>
          </w:p>
          <w:p w14:paraId="27B80C4A">
            <w:pPr>
              <w:pStyle w:val="144"/>
            </w:pPr>
            <w:r>
              <w:fldChar w:fldCharType="begin"/>
            </w:r>
            <w:r>
              <w:instrText xml:space="preserve"> = 4 \* GB3 \* MERGEFORMAT </w:instrText>
            </w:r>
            <w:r>
              <w:fldChar w:fldCharType="separate"/>
            </w:r>
            <w:r>
              <w:t>④</w:t>
            </w:r>
            <w:r>
              <w:fldChar w:fldCharType="end"/>
            </w:r>
            <w:r>
              <w:t>地面</w:t>
            </w:r>
            <w:r>
              <w:rPr>
                <w:rFonts w:hint="eastAsia"/>
              </w:rPr>
              <w:t>清洗</w:t>
            </w:r>
            <w:r>
              <w:t>废水：本项目为</w:t>
            </w:r>
            <w:r>
              <w:rPr>
                <w:rFonts w:hint="eastAsia"/>
                <w:lang w:val="en-US" w:eastAsia="zh-CN"/>
              </w:rPr>
              <w:t>豆制品</w:t>
            </w:r>
            <w:r>
              <w:t>生产项目，属于食品加工企业，对卫生有明确要求，需对项目生产过程中的车间进行清洁，仅对生产厂房的主要生产区域采用拖布进行清洗，每日清洗一次，根据《建筑物给水排水设计规范》（GB50015-2019）中地面冲洗水用量为2~3L/m</w:t>
            </w:r>
            <w:r>
              <w:rPr>
                <w:vertAlign w:val="superscript"/>
              </w:rPr>
              <w:t>2</w:t>
            </w:r>
            <w:r>
              <w:t>，项目取值为2.5L/m</w:t>
            </w:r>
            <w:r>
              <w:rPr>
                <w:vertAlign w:val="superscript"/>
              </w:rPr>
              <w:t>2</w:t>
            </w:r>
            <w:r>
              <w:t>，项目车间需清洁的主要生产区域约</w:t>
            </w:r>
            <w:r>
              <w:rPr>
                <w:rFonts w:hint="eastAsia"/>
                <w:lang w:val="en-US" w:eastAsia="zh-CN"/>
              </w:rPr>
              <w:t>2</w:t>
            </w:r>
            <w:r>
              <w:t>00m</w:t>
            </w:r>
            <w:r>
              <w:rPr>
                <w:vertAlign w:val="superscript"/>
              </w:rPr>
              <w:t>2</w:t>
            </w:r>
            <w:r>
              <w:t>，则地面清洁用水量为</w:t>
            </w:r>
            <w:r>
              <w:rPr>
                <w:rFonts w:hint="eastAsia"/>
                <w:lang w:val="en-US" w:eastAsia="zh-CN"/>
              </w:rPr>
              <w:t>0.5</w:t>
            </w:r>
            <w:r>
              <w:t>t/d（</w:t>
            </w:r>
            <w:r>
              <w:rPr>
                <w:rFonts w:hint="eastAsia"/>
                <w:lang w:val="en-US" w:eastAsia="zh-CN"/>
              </w:rPr>
              <w:t>150</w:t>
            </w:r>
            <w:r>
              <w:t>t/a），地面清洁废水</w:t>
            </w:r>
            <w:r>
              <w:rPr>
                <w:rFonts w:hint="eastAsia"/>
              </w:rPr>
              <w:t>产</w:t>
            </w:r>
            <w:r>
              <w:t>污系数按80%计，则地面车间清洁污水产生量为0.</w:t>
            </w:r>
            <w:r>
              <w:rPr>
                <w:rFonts w:hint="eastAsia"/>
                <w:lang w:val="en-US" w:eastAsia="zh-CN"/>
              </w:rPr>
              <w:t>4</w:t>
            </w:r>
            <w:r>
              <w:t>t/d（</w:t>
            </w:r>
            <w:r>
              <w:rPr>
                <w:rFonts w:hint="eastAsia"/>
                <w:lang w:val="en-US" w:eastAsia="zh-CN"/>
              </w:rPr>
              <w:t>12</w:t>
            </w:r>
            <w:r>
              <w:t>0t/a）。</w:t>
            </w:r>
          </w:p>
          <w:p w14:paraId="3D08AD49">
            <w:pPr>
              <w:pStyle w:val="144"/>
              <w:rPr>
                <w:rFonts w:hint="eastAsia"/>
                <w:lang w:val="en-US" w:eastAsia="zh-CN"/>
              </w:rPr>
            </w:pPr>
            <w:r>
              <w:fldChar w:fldCharType="begin"/>
            </w:r>
            <w:r>
              <w:instrText xml:space="preserve"> = 5 \* GB3 \* MERGEFORMAT </w:instrText>
            </w:r>
            <w:r>
              <w:fldChar w:fldCharType="separate"/>
            </w:r>
            <w:r>
              <w:t>⑤</w:t>
            </w:r>
            <w:r>
              <w:fldChar w:fldCharType="end"/>
            </w:r>
            <w:r>
              <w:rPr>
                <w:rFonts w:hint="eastAsia"/>
                <w:lang w:val="en-US" w:eastAsia="zh-CN"/>
              </w:rPr>
              <w:t>洗瓶废水：本项目黄豆酱包装时玻璃瓶需提前里外清洗烘干，玻璃瓶年用量为100万个，根据企业提供的数据，每清洗5000个瓶子需要1吨水，污水排放量按照使用量的80%计算，则废水产生量约为160t/a（0.53t/d）。</w:t>
            </w:r>
          </w:p>
          <w:p w14:paraId="33469BD2">
            <w:pPr>
              <w:pStyle w:val="144"/>
              <w:rPr>
                <w:rFonts w:hint="default" w:ascii="Times New Roman" w:hAnsi="Times New Roman" w:eastAsia="宋体" w:cs="Times New Roman"/>
                <w:lang w:val="en-US" w:eastAsia="zh-CN"/>
              </w:rPr>
            </w:pP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 6 \* GB3 \* MERGEFORMAT </w:instrText>
            </w:r>
            <w:r>
              <w:rPr>
                <w:rFonts w:hint="default" w:ascii="Times New Roman" w:hAnsi="Times New Roman" w:cs="Times New Roman"/>
                <w:lang w:val="en-US" w:eastAsia="zh-CN"/>
              </w:rPr>
              <w:fldChar w:fldCharType="separate"/>
            </w:r>
            <w:r>
              <w:t>⑥</w:t>
            </w:r>
            <w:r>
              <w:rPr>
                <w:rFonts w:hint="default" w:ascii="Times New Roman" w:hAnsi="Times New Roman" w:cs="Times New Roman"/>
                <w:lang w:val="en-US" w:eastAsia="zh-CN"/>
              </w:rPr>
              <w:fldChar w:fldCharType="end"/>
            </w:r>
            <w:r>
              <w:rPr>
                <w:rFonts w:hint="eastAsia" w:ascii="Times New Roman" w:hAnsi="Times New Roman" w:cs="Times New Roman"/>
                <w:lang w:val="en-US" w:eastAsia="zh-CN"/>
              </w:rPr>
              <w:t>制纯水用水：本项目蒸汽发生炉需将纯水加热到85-95℃注入水浴杀菌机，水浴杀菌机内可容纳</w:t>
            </w:r>
            <w:r>
              <w:rPr>
                <w:rFonts w:hint="eastAsia" w:cs="Times New Roman"/>
                <w:lang w:val="en-US" w:eastAsia="zh-CN"/>
              </w:rPr>
              <w:t>2</w:t>
            </w:r>
            <w:r>
              <w:rPr>
                <w:rFonts w:hint="eastAsia" w:ascii="Times New Roman" w:hAnsi="Times New Roman" w:cs="Times New Roman"/>
                <w:lang w:val="en-US" w:eastAsia="zh-CN"/>
              </w:rPr>
              <w:t>t纯水，该水可循环使用，</w:t>
            </w:r>
            <w:r>
              <w:rPr>
                <w:rFonts w:hint="eastAsia" w:cs="Times New Roman"/>
                <w:lang w:val="en-US" w:eastAsia="zh-CN"/>
              </w:rPr>
              <w:t>1</w:t>
            </w:r>
            <w:r>
              <w:rPr>
                <w:rFonts w:hint="eastAsia" w:ascii="Times New Roman" w:hAnsi="Times New Roman" w:cs="Times New Roman"/>
                <w:lang w:val="en-US" w:eastAsia="zh-CN"/>
              </w:rPr>
              <w:t>天更换一次，则纯水的用量为</w:t>
            </w:r>
            <w:r>
              <w:rPr>
                <w:rFonts w:hint="eastAsia" w:cs="Times New Roman"/>
                <w:lang w:val="en-US" w:eastAsia="zh-CN"/>
              </w:rPr>
              <w:t>2</w:t>
            </w:r>
            <w:r>
              <w:rPr>
                <w:rFonts w:hint="eastAsia" w:ascii="Times New Roman" w:hAnsi="Times New Roman" w:cs="Times New Roman"/>
                <w:lang w:val="en-US" w:eastAsia="zh-CN"/>
              </w:rPr>
              <w:t>t/d，软水制备过程排污水取20%。则本项目软水制备废水产生量为0.</w:t>
            </w:r>
            <w:r>
              <w:rPr>
                <w:rFonts w:hint="eastAsia" w:cs="Times New Roman"/>
                <w:lang w:val="en-US" w:eastAsia="zh-CN"/>
              </w:rPr>
              <w:t>5</w:t>
            </w:r>
            <w:r>
              <w:rPr>
                <w:rFonts w:hint="eastAsia" w:ascii="Times New Roman" w:hAnsi="Times New Roman" w:cs="Times New Roman"/>
                <w:lang w:val="en-US" w:eastAsia="zh-CN"/>
              </w:rPr>
              <w:t>t/d(</w:t>
            </w:r>
            <w:r>
              <w:rPr>
                <w:rFonts w:hint="eastAsia" w:cs="Times New Roman"/>
                <w:lang w:val="en-US" w:eastAsia="zh-CN"/>
              </w:rPr>
              <w:t>150</w:t>
            </w:r>
            <w:r>
              <w:rPr>
                <w:rFonts w:hint="eastAsia" w:ascii="Times New Roman" w:hAnsi="Times New Roman" w:cs="Times New Roman"/>
                <w:lang w:val="en-US" w:eastAsia="zh-CN"/>
              </w:rPr>
              <w:t>t/a)。水浴杀菌机内的纯水</w:t>
            </w:r>
            <w:r>
              <w:rPr>
                <w:rFonts w:hint="eastAsia" w:cs="Times New Roman"/>
                <w:lang w:val="en-US" w:eastAsia="zh-CN"/>
              </w:rPr>
              <w:t>1</w:t>
            </w:r>
            <w:r>
              <w:rPr>
                <w:rFonts w:hint="eastAsia" w:ascii="Times New Roman" w:hAnsi="Times New Roman" w:cs="Times New Roman"/>
                <w:lang w:val="en-US" w:eastAsia="zh-CN"/>
              </w:rPr>
              <w:t>天一换，则排放的废水量为</w:t>
            </w:r>
            <w:r>
              <w:rPr>
                <w:rFonts w:hint="eastAsia" w:cs="Times New Roman"/>
                <w:lang w:val="en-US" w:eastAsia="zh-CN"/>
              </w:rPr>
              <w:t>2</w:t>
            </w:r>
            <w:r>
              <w:rPr>
                <w:rFonts w:hint="eastAsia" w:ascii="Times New Roman" w:hAnsi="Times New Roman" w:cs="Times New Roman"/>
                <w:lang w:val="en-US" w:eastAsia="zh-CN"/>
              </w:rPr>
              <w:t>t/d（</w:t>
            </w:r>
            <w:r>
              <w:rPr>
                <w:rFonts w:hint="eastAsia" w:cs="Times New Roman"/>
                <w:lang w:val="en-US" w:eastAsia="zh-CN"/>
              </w:rPr>
              <w:t>6</w:t>
            </w:r>
            <w:r>
              <w:rPr>
                <w:rFonts w:hint="eastAsia" w:ascii="Times New Roman" w:hAnsi="Times New Roman" w:cs="Times New Roman"/>
                <w:lang w:val="en-US" w:eastAsia="zh-CN"/>
              </w:rPr>
              <w:t>00t/a）。</w:t>
            </w:r>
            <w:r>
              <w:rPr>
                <w:rFonts w:hint="eastAsia" w:ascii="Times New Roman" w:hAnsi="Times New Roman" w:eastAsia="宋体"/>
                <w:b w:val="0"/>
                <w:bCs w:val="0"/>
                <w:sz w:val="24"/>
                <w:szCs w:val="24"/>
              </w:rPr>
              <w:t>类比安阳岷山环能热电有限公司委托岷山环能高科股份有限公司对水处理站浓水的监测报告，COD：54mg/L，氨氮：6.1mg/L，总磷：0.85mg/L</w:t>
            </w:r>
            <w:r>
              <w:rPr>
                <w:rFonts w:hint="eastAsia" w:ascii="Times New Roman" w:hAnsi="Times New Roman" w:eastAsia="宋体"/>
                <w:b w:val="0"/>
                <w:bCs w:val="0"/>
                <w:sz w:val="24"/>
                <w:szCs w:val="24"/>
                <w:lang w:eastAsia="zh-CN"/>
              </w:rPr>
              <w:t>。</w:t>
            </w:r>
            <w:r>
              <w:rPr>
                <w:rFonts w:hint="eastAsia"/>
                <w:b w:val="0"/>
                <w:bCs w:val="0"/>
                <w:sz w:val="24"/>
                <w:szCs w:val="24"/>
                <w:lang w:val="en-US" w:eastAsia="zh-CN"/>
              </w:rPr>
              <w:t>该部分废水直接通过污水管网排放。</w:t>
            </w:r>
          </w:p>
          <w:p w14:paraId="6E269E5C">
            <w:pPr>
              <w:keepNext w:val="0"/>
              <w:keepLines w:val="0"/>
              <w:pageBreakBefore w:val="0"/>
              <w:widowControl w:val="0"/>
              <w:kinsoku/>
              <w:wordWrap/>
              <w:overflowPunct/>
              <w:topLinePunct w:val="0"/>
              <w:autoSpaceDE/>
              <w:autoSpaceDN/>
              <w:bidi w:val="0"/>
              <w:adjustRightInd w:val="0"/>
              <w:snapToGrid w:val="0"/>
              <w:spacing w:line="360" w:lineRule="auto"/>
              <w:ind w:firstLine="505"/>
              <w:textAlignment w:val="center"/>
              <w:rPr>
                <w:rFonts w:hint="eastAsia" w:cs="Times New Roman"/>
                <w:b w:val="0"/>
                <w:bCs w:val="0"/>
                <w:color w:val="auto"/>
                <w:sz w:val="24"/>
                <w:szCs w:val="24"/>
                <w:highlight w:val="none"/>
                <w:u w:val="none" w:color="auto"/>
                <w:lang w:val="en-US" w:eastAsia="zh-CN"/>
              </w:rPr>
            </w:pPr>
            <w:r>
              <w:rPr>
                <w:rFonts w:hint="default" w:ascii="Times New Roman" w:hAnsi="Times New Roman" w:eastAsia="宋体" w:cs="Times New Roman"/>
                <w:b/>
                <w:bCs/>
                <w:color w:val="auto"/>
                <w:sz w:val="24"/>
                <w:szCs w:val="24"/>
                <w:highlight w:val="none"/>
                <w:u w:val="single" w:color="auto"/>
                <w:lang w:val="en-US" w:eastAsia="zh-CN"/>
              </w:rPr>
              <w:t>本项目</w:t>
            </w:r>
            <w:r>
              <w:rPr>
                <w:rFonts w:hint="eastAsia" w:cs="Times New Roman"/>
                <w:b/>
                <w:bCs/>
                <w:color w:val="auto"/>
                <w:sz w:val="24"/>
                <w:szCs w:val="24"/>
                <w:highlight w:val="none"/>
                <w:u w:val="single" w:color="auto"/>
                <w:lang w:val="en-US" w:eastAsia="zh-CN"/>
              </w:rPr>
              <w:t>生产</w:t>
            </w:r>
            <w:r>
              <w:rPr>
                <w:rFonts w:hint="default" w:ascii="Times New Roman" w:hAnsi="Times New Roman" w:eastAsia="宋体" w:cs="Times New Roman"/>
                <w:b/>
                <w:bCs/>
                <w:color w:val="auto"/>
                <w:sz w:val="24"/>
                <w:szCs w:val="24"/>
                <w:highlight w:val="none"/>
                <w:u w:val="single" w:color="auto"/>
                <w:lang w:val="en-US" w:eastAsia="zh-CN"/>
              </w:rPr>
              <w:t>废水</w:t>
            </w:r>
            <w:r>
              <w:rPr>
                <w:rFonts w:hint="eastAsia" w:cs="Times New Roman"/>
                <w:b/>
                <w:bCs/>
                <w:color w:val="auto"/>
                <w:sz w:val="24"/>
                <w:szCs w:val="24"/>
                <w:highlight w:val="none"/>
                <w:u w:val="single" w:color="auto"/>
                <w:lang w:val="en-US" w:eastAsia="zh-CN"/>
              </w:rPr>
              <w:t>产生源强采用</w:t>
            </w:r>
            <w:r>
              <w:rPr>
                <w:rFonts w:hint="default" w:ascii="Times New Roman" w:hAnsi="Times New Roman" w:eastAsia="宋体" w:cs="Times New Roman"/>
                <w:b/>
                <w:bCs/>
                <w:color w:val="auto"/>
                <w:sz w:val="24"/>
                <w:szCs w:val="24"/>
                <w:highlight w:val="none"/>
                <w:u w:val="single" w:color="auto"/>
                <w:lang w:val="en-US" w:eastAsia="zh-CN"/>
              </w:rPr>
              <w:t>《</w:t>
            </w:r>
            <w:r>
              <w:rPr>
                <w:rFonts w:hint="default" w:ascii="Times New Roman" w:hAnsi="Times New Roman" w:eastAsia="宋体" w:cs="Times New Roman"/>
                <w:b/>
                <w:bCs/>
                <w:color w:val="auto"/>
                <w:sz w:val="24"/>
                <w:szCs w:val="24"/>
                <w:highlight w:val="none"/>
                <w:u w:val="single" w:color="auto"/>
                <w:lang w:val="en-US" w:eastAsia="zh-CN"/>
              </w:rPr>
              <w:fldChar w:fldCharType="begin"/>
            </w:r>
            <w:r>
              <w:rPr>
                <w:rFonts w:hint="default" w:ascii="Times New Roman" w:hAnsi="Times New Roman" w:eastAsia="宋体" w:cs="Times New Roman"/>
                <w:b/>
                <w:bCs/>
                <w:color w:val="auto"/>
                <w:sz w:val="24"/>
                <w:szCs w:val="24"/>
                <w:highlight w:val="none"/>
                <w:u w:val="single" w:color="auto"/>
                <w:lang w:val="en-US" w:eastAsia="zh-CN"/>
              </w:rPr>
              <w:instrText xml:space="preserve"> HYPERLINK "https://www.mee.gov.cn/xxgk2018/xxgk/xxgk01/202106/W020210624327149500026.pdf" </w:instrText>
            </w:r>
            <w:r>
              <w:rPr>
                <w:rFonts w:hint="default" w:ascii="Times New Roman" w:hAnsi="Times New Roman" w:eastAsia="宋体" w:cs="Times New Roman"/>
                <w:b/>
                <w:bCs/>
                <w:color w:val="auto"/>
                <w:sz w:val="24"/>
                <w:szCs w:val="24"/>
                <w:highlight w:val="none"/>
                <w:u w:val="single" w:color="auto"/>
                <w:lang w:val="en-US" w:eastAsia="zh-CN"/>
              </w:rPr>
              <w:fldChar w:fldCharType="separate"/>
            </w:r>
            <w:r>
              <w:rPr>
                <w:rFonts w:hint="default" w:ascii="Times New Roman" w:hAnsi="Times New Roman" w:eastAsia="宋体" w:cs="Times New Roman"/>
                <w:b/>
                <w:bCs/>
                <w:color w:val="auto"/>
                <w:sz w:val="24"/>
                <w:szCs w:val="24"/>
                <w:highlight w:val="none"/>
                <w:u w:val="single" w:color="auto"/>
                <w:lang w:val="en-US" w:eastAsia="zh-CN"/>
              </w:rPr>
              <w:t>排放源统计调查产排污核算方法和系数手册</w:t>
            </w:r>
            <w:r>
              <w:rPr>
                <w:rFonts w:hint="default" w:ascii="Times New Roman" w:hAnsi="Times New Roman" w:eastAsia="宋体" w:cs="Times New Roman"/>
                <w:b/>
                <w:bCs/>
                <w:color w:val="auto"/>
                <w:sz w:val="24"/>
                <w:szCs w:val="24"/>
                <w:highlight w:val="none"/>
                <w:u w:val="single" w:color="auto"/>
                <w:lang w:val="en-US" w:eastAsia="zh-CN"/>
              </w:rPr>
              <w:fldChar w:fldCharType="end"/>
            </w:r>
            <w:r>
              <w:rPr>
                <w:rFonts w:hint="default" w:ascii="Times New Roman" w:hAnsi="Times New Roman" w:eastAsia="宋体" w:cs="Times New Roman"/>
                <w:b/>
                <w:bCs/>
                <w:color w:val="auto"/>
                <w:sz w:val="24"/>
                <w:szCs w:val="24"/>
                <w:highlight w:val="none"/>
                <w:u w:val="single" w:color="auto"/>
                <w:lang w:val="en-US" w:eastAsia="zh-CN"/>
              </w:rPr>
              <w:t>》</w:t>
            </w:r>
            <w:r>
              <w:rPr>
                <w:rFonts w:hint="eastAsia" w:cs="Times New Roman"/>
                <w:b/>
                <w:bCs/>
                <w:color w:val="auto"/>
                <w:sz w:val="24"/>
                <w:szCs w:val="24"/>
                <w:highlight w:val="none"/>
                <w:u w:val="single" w:color="auto"/>
                <w:lang w:val="en-US" w:eastAsia="zh-CN"/>
              </w:rPr>
              <w:t>1469</w:t>
            </w:r>
            <w:r>
              <w:rPr>
                <w:rFonts w:ascii="宋体" w:hAnsi="宋体" w:eastAsia="宋体" w:cs="宋体"/>
                <w:b/>
                <w:bCs/>
                <w:sz w:val="24"/>
                <w:szCs w:val="24"/>
                <w:u w:val="single" w:color="auto"/>
              </w:rPr>
              <w:t>其他调味品、发酵制品制造行业系数表</w:t>
            </w:r>
            <w:r>
              <w:rPr>
                <w:rFonts w:hint="eastAsia" w:cs="Times New Roman"/>
                <w:b/>
                <w:bCs/>
                <w:color w:val="auto"/>
                <w:sz w:val="24"/>
                <w:szCs w:val="24"/>
                <w:highlight w:val="none"/>
                <w:u w:val="single" w:color="auto"/>
                <w:lang w:val="en-US" w:eastAsia="zh-CN"/>
              </w:rPr>
              <w:t>（调味酱）产污系数，污水处理方法采用物理法+厌氧/好氧组合法+化学法</w:t>
            </w:r>
            <w:r>
              <w:rPr>
                <w:rFonts w:hint="default" w:ascii="Times New Roman" w:hAnsi="Times New Roman" w:eastAsia="宋体" w:cs="Times New Roman"/>
                <w:b/>
                <w:bCs/>
                <w:color w:val="auto"/>
                <w:sz w:val="24"/>
                <w:szCs w:val="24"/>
                <w:highlight w:val="none"/>
                <w:u w:val="single" w:color="auto"/>
                <w:lang w:val="en-US" w:eastAsia="zh-CN"/>
              </w:rPr>
              <w:t>。</w:t>
            </w:r>
            <w:r>
              <w:rPr>
                <w:rFonts w:hint="default" w:ascii="Times New Roman" w:hAnsi="Times New Roman" w:eastAsia="宋体" w:cs="Times New Roman"/>
                <w:b w:val="0"/>
                <w:bCs w:val="0"/>
                <w:color w:val="auto"/>
                <w:sz w:val="24"/>
                <w:szCs w:val="24"/>
                <w:highlight w:val="none"/>
                <w:u w:val="none" w:color="auto"/>
                <w:lang w:val="en-US" w:eastAsia="zh-CN"/>
              </w:rPr>
              <w:t>本项目废水污染物产生浓度</w:t>
            </w:r>
            <w:r>
              <w:rPr>
                <w:rFonts w:hint="eastAsia" w:cs="Times New Roman"/>
                <w:b w:val="0"/>
                <w:bCs w:val="0"/>
                <w:color w:val="auto"/>
                <w:sz w:val="24"/>
                <w:szCs w:val="24"/>
                <w:highlight w:val="none"/>
                <w:u w:val="none" w:color="auto"/>
                <w:lang w:val="en-US" w:eastAsia="zh-CN"/>
              </w:rPr>
              <w:t>及排放浓度</w:t>
            </w:r>
            <w:r>
              <w:rPr>
                <w:rFonts w:hint="default" w:ascii="Times New Roman" w:hAnsi="Times New Roman" w:eastAsia="宋体" w:cs="Times New Roman"/>
                <w:b w:val="0"/>
                <w:bCs w:val="0"/>
                <w:color w:val="auto"/>
                <w:sz w:val="24"/>
                <w:szCs w:val="24"/>
                <w:highlight w:val="none"/>
                <w:u w:val="none" w:color="auto"/>
                <w:lang w:val="en-US" w:eastAsia="zh-CN"/>
              </w:rPr>
              <w:t>见下表</w:t>
            </w:r>
            <w:r>
              <w:rPr>
                <w:rFonts w:hint="eastAsia" w:cs="Times New Roman"/>
                <w:b w:val="0"/>
                <w:bCs w:val="0"/>
                <w:color w:val="auto"/>
                <w:sz w:val="24"/>
                <w:szCs w:val="24"/>
                <w:highlight w:val="none"/>
                <w:u w:val="none" w:color="auto"/>
                <w:lang w:val="en-US" w:eastAsia="zh-CN"/>
              </w:rPr>
              <w:t>。</w:t>
            </w:r>
          </w:p>
          <w:p w14:paraId="00F01F55">
            <w:pPr>
              <w:pStyle w:val="56"/>
              <w:keepNext w:val="0"/>
              <w:keepLines w:val="0"/>
              <w:pageBreakBefore w:val="0"/>
              <w:widowControl w:val="0"/>
              <w:numPr>
                <w:ilvl w:val="0"/>
                <w:numId w:val="0"/>
              </w:numPr>
              <w:kinsoku/>
              <w:wordWrap/>
              <w:overflowPunct/>
              <w:topLinePunct w:val="0"/>
              <w:autoSpaceDE w:val="0"/>
              <w:autoSpaceDN w:val="0"/>
              <w:bidi w:val="0"/>
              <w:adjustRightInd w:val="0"/>
              <w:snapToGrid w:val="0"/>
              <w:spacing w:before="0"/>
              <w:ind w:left="210" w:leftChars="0" w:firstLine="442" w:firstLineChars="200"/>
              <w:jc w:val="both"/>
              <w:textAlignment w:val="auto"/>
              <w:rPr>
                <w:rFonts w:hint="eastAsia"/>
                <w:lang w:val="en-US" w:eastAsia="zh-CN"/>
              </w:rPr>
            </w:pPr>
            <w:r>
              <w:rPr>
                <w:rFonts w:hint="eastAsia"/>
                <w:lang w:val="en-US" w:eastAsia="zh-CN"/>
              </w:rPr>
              <w:t xml:space="preserve">表29    废水污染因子产生浓度一栏表   </w:t>
            </w:r>
            <w:r>
              <w:rPr>
                <w:rFonts w:hint="eastAsia"/>
                <w:sz w:val="18"/>
                <w:szCs w:val="18"/>
                <w:lang w:val="en-US" w:eastAsia="zh-CN"/>
              </w:rPr>
              <w:t>单位：mg/L、pH除外</w:t>
            </w:r>
          </w:p>
          <w:tbl>
            <w:tblPr>
              <w:tblStyle w:val="48"/>
              <w:tblW w:w="8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31"/>
              <w:gridCol w:w="1256"/>
              <w:gridCol w:w="1016"/>
              <w:gridCol w:w="776"/>
              <w:gridCol w:w="1136"/>
              <w:gridCol w:w="1136"/>
              <w:gridCol w:w="1016"/>
            </w:tblGrid>
            <w:tr w14:paraId="1E038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38EC28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项目</w:t>
                  </w:r>
                </w:p>
              </w:tc>
              <w:tc>
                <w:tcPr>
                  <w:tcW w:w="731" w:type="dxa"/>
                  <w:vAlign w:val="center"/>
                </w:tcPr>
                <w:p w14:paraId="6222CA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pH</w:t>
                  </w:r>
                </w:p>
              </w:tc>
              <w:tc>
                <w:tcPr>
                  <w:tcW w:w="1256" w:type="dxa"/>
                  <w:vAlign w:val="center"/>
                </w:tcPr>
                <w:p w14:paraId="363CE6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COD</w:t>
                  </w:r>
                </w:p>
              </w:tc>
              <w:tc>
                <w:tcPr>
                  <w:tcW w:w="1016" w:type="dxa"/>
                  <w:vAlign w:val="center"/>
                </w:tcPr>
                <w:p w14:paraId="4BBF6F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BOD</w:t>
                  </w:r>
                  <w:r>
                    <w:rPr>
                      <w:rFonts w:hint="eastAsia" w:cs="Times New Roman"/>
                      <w:b w:val="0"/>
                      <w:bCs w:val="0"/>
                      <w:color w:val="auto"/>
                      <w:sz w:val="21"/>
                      <w:szCs w:val="21"/>
                      <w:highlight w:val="none"/>
                      <w:u w:val="none" w:color="auto"/>
                      <w:vertAlign w:val="subscript"/>
                      <w:lang w:val="en-US" w:eastAsia="zh-CN"/>
                    </w:rPr>
                    <w:t>5</w:t>
                  </w:r>
                </w:p>
              </w:tc>
              <w:tc>
                <w:tcPr>
                  <w:tcW w:w="776" w:type="dxa"/>
                  <w:vAlign w:val="center"/>
                </w:tcPr>
                <w:p w14:paraId="462033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SS</w:t>
                  </w:r>
                </w:p>
              </w:tc>
              <w:tc>
                <w:tcPr>
                  <w:tcW w:w="1136" w:type="dxa"/>
                  <w:vAlign w:val="center"/>
                </w:tcPr>
                <w:p w14:paraId="38B36B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氨氮</w:t>
                  </w:r>
                </w:p>
              </w:tc>
              <w:tc>
                <w:tcPr>
                  <w:tcW w:w="1136" w:type="dxa"/>
                  <w:vAlign w:val="center"/>
                </w:tcPr>
                <w:p w14:paraId="6B2739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TN</w:t>
                  </w:r>
                </w:p>
              </w:tc>
              <w:tc>
                <w:tcPr>
                  <w:tcW w:w="1016" w:type="dxa"/>
                  <w:vAlign w:val="center"/>
                </w:tcPr>
                <w:p w14:paraId="33F415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TP</w:t>
                  </w:r>
                </w:p>
              </w:tc>
            </w:tr>
            <w:tr w14:paraId="211C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21" w:type="dxa"/>
                  <w:vAlign w:val="center"/>
                </w:tcPr>
                <w:p w14:paraId="508E8A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产生浓度</w:t>
                  </w:r>
                </w:p>
              </w:tc>
              <w:tc>
                <w:tcPr>
                  <w:tcW w:w="731" w:type="dxa"/>
                  <w:vAlign w:val="center"/>
                </w:tcPr>
                <w:p w14:paraId="33663E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6-9</w:t>
                  </w:r>
                </w:p>
              </w:tc>
              <w:tc>
                <w:tcPr>
                  <w:tcW w:w="1256" w:type="dxa"/>
                  <w:vAlign w:val="center"/>
                </w:tcPr>
                <w:p w14:paraId="6A4D4A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1500</w:t>
                  </w:r>
                </w:p>
              </w:tc>
              <w:tc>
                <w:tcPr>
                  <w:tcW w:w="1016" w:type="dxa"/>
                  <w:vAlign w:val="center"/>
                </w:tcPr>
                <w:p w14:paraId="2657EB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1000</w:t>
                  </w:r>
                </w:p>
              </w:tc>
              <w:tc>
                <w:tcPr>
                  <w:tcW w:w="776" w:type="dxa"/>
                  <w:vAlign w:val="center"/>
                </w:tcPr>
                <w:p w14:paraId="78D7F9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350</w:t>
                  </w:r>
                </w:p>
              </w:tc>
              <w:tc>
                <w:tcPr>
                  <w:tcW w:w="1136" w:type="dxa"/>
                  <w:vAlign w:val="center"/>
                </w:tcPr>
                <w:p w14:paraId="204AAA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150</w:t>
                  </w:r>
                </w:p>
              </w:tc>
              <w:tc>
                <w:tcPr>
                  <w:tcW w:w="1136" w:type="dxa"/>
                  <w:vAlign w:val="center"/>
                </w:tcPr>
                <w:p w14:paraId="707359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416</w:t>
                  </w:r>
                </w:p>
              </w:tc>
              <w:tc>
                <w:tcPr>
                  <w:tcW w:w="1016" w:type="dxa"/>
                  <w:vAlign w:val="center"/>
                </w:tcPr>
                <w:p w14:paraId="745AD3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35</w:t>
                  </w:r>
                </w:p>
              </w:tc>
            </w:tr>
            <w:tr w14:paraId="59B4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421" w:type="dxa"/>
                  <w:vAlign w:val="center"/>
                </w:tcPr>
                <w:p w14:paraId="0D2F66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排放浓度</w:t>
                  </w:r>
                </w:p>
              </w:tc>
              <w:tc>
                <w:tcPr>
                  <w:tcW w:w="731" w:type="dxa"/>
                  <w:vAlign w:val="center"/>
                </w:tcPr>
                <w:p w14:paraId="115596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6-9</w:t>
                  </w:r>
                </w:p>
              </w:tc>
              <w:tc>
                <w:tcPr>
                  <w:tcW w:w="1256" w:type="dxa"/>
                  <w:vAlign w:val="center"/>
                </w:tcPr>
                <w:p w14:paraId="14FFE9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450</w:t>
                  </w:r>
                </w:p>
              </w:tc>
              <w:tc>
                <w:tcPr>
                  <w:tcW w:w="1016" w:type="dxa"/>
                  <w:vAlign w:val="center"/>
                </w:tcPr>
                <w:p w14:paraId="2A8FCA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300</w:t>
                  </w:r>
                </w:p>
              </w:tc>
              <w:tc>
                <w:tcPr>
                  <w:tcW w:w="776" w:type="dxa"/>
                  <w:vAlign w:val="center"/>
                </w:tcPr>
                <w:p w14:paraId="506037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105</w:t>
                  </w:r>
                </w:p>
              </w:tc>
              <w:tc>
                <w:tcPr>
                  <w:tcW w:w="1136" w:type="dxa"/>
                  <w:vAlign w:val="center"/>
                </w:tcPr>
                <w:p w14:paraId="45382A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45</w:t>
                  </w:r>
                </w:p>
              </w:tc>
              <w:tc>
                <w:tcPr>
                  <w:tcW w:w="1136" w:type="dxa"/>
                  <w:vAlign w:val="center"/>
                </w:tcPr>
                <w:p w14:paraId="495C68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70.8</w:t>
                  </w:r>
                </w:p>
              </w:tc>
              <w:tc>
                <w:tcPr>
                  <w:tcW w:w="1016" w:type="dxa"/>
                  <w:vAlign w:val="center"/>
                </w:tcPr>
                <w:p w14:paraId="0F42F2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0000FF"/>
                      <w:sz w:val="21"/>
                      <w:szCs w:val="21"/>
                      <w:highlight w:val="none"/>
                      <w:u w:val="none" w:color="auto"/>
                      <w:vertAlign w:val="baseline"/>
                      <w:lang w:val="en-US" w:eastAsia="zh-CN"/>
                    </w:rPr>
                  </w:pPr>
                  <w:r>
                    <w:rPr>
                      <w:rFonts w:hint="eastAsia" w:cs="Times New Roman"/>
                      <w:b w:val="0"/>
                      <w:bCs w:val="0"/>
                      <w:color w:val="0000FF"/>
                      <w:sz w:val="21"/>
                      <w:szCs w:val="21"/>
                      <w:highlight w:val="none"/>
                      <w:u w:val="none" w:color="auto"/>
                      <w:vertAlign w:val="baseline"/>
                      <w:lang w:val="en-US" w:eastAsia="zh-CN"/>
                    </w:rPr>
                    <w:t>8</w:t>
                  </w:r>
                </w:p>
              </w:tc>
            </w:tr>
            <w:tr w14:paraId="17B3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14:paraId="329BBD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处理效率</w:t>
                  </w:r>
                </w:p>
              </w:tc>
              <w:tc>
                <w:tcPr>
                  <w:tcW w:w="731" w:type="dxa"/>
                  <w:vAlign w:val="center"/>
                </w:tcPr>
                <w:p w14:paraId="737892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w:t>
                  </w:r>
                </w:p>
              </w:tc>
              <w:tc>
                <w:tcPr>
                  <w:tcW w:w="1256" w:type="dxa"/>
                  <w:vAlign w:val="center"/>
                </w:tcPr>
                <w:p w14:paraId="32E88E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70</w:t>
                  </w:r>
                </w:p>
              </w:tc>
              <w:tc>
                <w:tcPr>
                  <w:tcW w:w="1016" w:type="dxa"/>
                  <w:vAlign w:val="center"/>
                </w:tcPr>
                <w:p w14:paraId="6DD677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70</w:t>
                  </w:r>
                </w:p>
              </w:tc>
              <w:tc>
                <w:tcPr>
                  <w:tcW w:w="776" w:type="dxa"/>
                  <w:vAlign w:val="center"/>
                </w:tcPr>
                <w:p w14:paraId="27C5BD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70</w:t>
                  </w:r>
                </w:p>
              </w:tc>
              <w:tc>
                <w:tcPr>
                  <w:tcW w:w="1136" w:type="dxa"/>
                  <w:vAlign w:val="center"/>
                </w:tcPr>
                <w:p w14:paraId="4F1FB7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70</w:t>
                  </w:r>
                </w:p>
              </w:tc>
              <w:tc>
                <w:tcPr>
                  <w:tcW w:w="1136" w:type="dxa"/>
                  <w:vAlign w:val="center"/>
                </w:tcPr>
                <w:p w14:paraId="4D217F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83</w:t>
                  </w:r>
                </w:p>
              </w:tc>
              <w:tc>
                <w:tcPr>
                  <w:tcW w:w="1016" w:type="dxa"/>
                  <w:vAlign w:val="center"/>
                </w:tcPr>
                <w:p w14:paraId="00B29B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rFonts w:hint="default" w:cs="Times New Roman"/>
                      <w:b w:val="0"/>
                      <w:bCs w:val="0"/>
                      <w:color w:val="auto"/>
                      <w:sz w:val="21"/>
                      <w:szCs w:val="21"/>
                      <w:highlight w:val="none"/>
                      <w:u w:val="none" w:color="auto"/>
                      <w:vertAlign w:val="baseline"/>
                      <w:lang w:val="en-US" w:eastAsia="zh-CN"/>
                    </w:rPr>
                  </w:pPr>
                  <w:r>
                    <w:rPr>
                      <w:rFonts w:hint="eastAsia" w:cs="Times New Roman"/>
                      <w:b w:val="0"/>
                      <w:bCs w:val="0"/>
                      <w:color w:val="auto"/>
                      <w:sz w:val="21"/>
                      <w:szCs w:val="21"/>
                      <w:highlight w:val="none"/>
                      <w:u w:val="none" w:color="auto"/>
                      <w:vertAlign w:val="baseline"/>
                      <w:lang w:val="en-US" w:eastAsia="zh-CN"/>
                    </w:rPr>
                    <w:t>77</w:t>
                  </w:r>
                </w:p>
              </w:tc>
            </w:tr>
          </w:tbl>
          <w:p w14:paraId="259C3278">
            <w:pPr>
              <w:pStyle w:val="256"/>
              <w:ind w:firstLine="240"/>
              <w:rPr>
                <w:rFonts w:hint="default" w:eastAsia="黑体"/>
                <w:lang w:val="en-US" w:eastAsia="zh-CN"/>
              </w:rPr>
            </w:pPr>
            <w:r>
              <w:rPr>
                <w:rFonts w:hint="eastAsia"/>
                <w:lang w:val="en-US" w:eastAsia="zh-CN"/>
              </w:rPr>
              <w:t>备注：因灰培豆腐卤制过程有炒锅清洗废水产生，参照黄豆酱工序产污系数。</w:t>
            </w:r>
          </w:p>
          <w:p w14:paraId="187F5B32">
            <w:pPr>
              <w:pStyle w:val="256"/>
              <w:ind w:firstLine="240"/>
            </w:pPr>
            <w:r>
              <w:rPr>
                <w:rFonts w:hint="eastAsia"/>
              </w:rPr>
              <w:t>（</w:t>
            </w:r>
            <w:r>
              <w:t>2</w:t>
            </w:r>
            <w:r>
              <w:rPr>
                <w:rFonts w:hint="eastAsia"/>
              </w:rPr>
              <w:t>）生活</w:t>
            </w:r>
            <w:r>
              <w:t>污水</w:t>
            </w:r>
          </w:p>
          <w:p w14:paraId="61ADAF32">
            <w:pPr>
              <w:pStyle w:val="144"/>
            </w:pPr>
            <w:r>
              <w:t>项目新增劳动定员</w:t>
            </w:r>
            <w:r>
              <w:rPr>
                <w:rFonts w:hint="eastAsia"/>
                <w:lang w:val="en-US" w:eastAsia="zh-CN"/>
              </w:rPr>
              <w:t>10</w:t>
            </w:r>
            <w:r>
              <w:t>人</w:t>
            </w:r>
            <w:r>
              <w:rPr>
                <w:rFonts w:hint="eastAsia"/>
              </w:rPr>
              <w:t>，均不</w:t>
            </w:r>
            <w:r>
              <w:t>在</w:t>
            </w:r>
            <w:r>
              <w:rPr>
                <w:rFonts w:hint="eastAsia"/>
                <w:lang w:val="en-US" w:eastAsia="zh-CN"/>
              </w:rPr>
              <w:t>厂区</w:t>
            </w:r>
            <w:r>
              <w:rPr>
                <w:rFonts w:hint="eastAsia"/>
              </w:rPr>
              <w:t>内</w:t>
            </w:r>
            <w:r>
              <w:t>食宿</w:t>
            </w:r>
            <w:r>
              <w:rPr>
                <w:rFonts w:hint="eastAsia"/>
              </w:rPr>
              <w:t>。</w:t>
            </w:r>
            <w:r>
              <w:rPr>
                <w:b w:val="0"/>
                <w:bCs w:val="0"/>
                <w:u w:val="none"/>
              </w:rPr>
              <w:t>根据</w:t>
            </w:r>
            <w:r>
              <w:rPr>
                <w:sz w:val="24"/>
                <w:szCs w:val="24"/>
                <w:lang w:bidi="ar"/>
              </w:rPr>
              <w:t>河南省地方标准《工业与城镇生活用水定额》（DB41/T385-202</w:t>
            </w:r>
            <w:r>
              <w:rPr>
                <w:rFonts w:hint="eastAsia"/>
                <w:sz w:val="24"/>
                <w:szCs w:val="24"/>
                <w:lang w:val="en-US" w:eastAsia="zh-CN" w:bidi="ar"/>
              </w:rPr>
              <w:t>5</w:t>
            </w:r>
            <w:r>
              <w:rPr>
                <w:sz w:val="24"/>
                <w:szCs w:val="24"/>
                <w:lang w:bidi="ar"/>
              </w:rPr>
              <w:t>）</w:t>
            </w:r>
            <w:r>
              <w:rPr>
                <w:rFonts w:hint="eastAsia"/>
                <w:sz w:val="24"/>
                <w:szCs w:val="24"/>
                <w:lang w:val="en-US" w:eastAsia="zh-CN" w:bidi="ar"/>
              </w:rPr>
              <w:t>及</w:t>
            </w:r>
            <w:r>
              <w:rPr>
                <w:rFonts w:hint="eastAsia"/>
                <w:b w:val="0"/>
                <w:bCs w:val="0"/>
                <w:u w:val="none"/>
              </w:rPr>
              <w:t>《</w:t>
            </w:r>
            <w:r>
              <w:rPr>
                <w:rFonts w:hint="eastAsia"/>
                <w:b w:val="0"/>
                <w:bCs w:val="0"/>
                <w:u w:val="none"/>
                <w:lang w:val="en-US" w:eastAsia="zh-CN"/>
              </w:rPr>
              <w:t>安阳市用水定额</w:t>
            </w:r>
            <w:r>
              <w:rPr>
                <w:rFonts w:hint="eastAsia"/>
                <w:b w:val="0"/>
                <w:bCs w:val="0"/>
                <w:u w:val="none"/>
              </w:rPr>
              <w:t>》</w:t>
            </w:r>
            <w:r>
              <w:rPr>
                <w:rFonts w:hint="eastAsia"/>
                <w:b w:val="0"/>
                <w:bCs w:val="0"/>
                <w:u w:val="none"/>
                <w:lang w:val="en-US" w:eastAsia="zh-CN"/>
              </w:rPr>
              <w:t>办公楼</w:t>
            </w:r>
            <w:r>
              <w:rPr>
                <w:b w:val="0"/>
                <w:bCs w:val="0"/>
                <w:u w:val="none"/>
              </w:rPr>
              <w:t>中</w:t>
            </w:r>
            <w:r>
              <w:rPr>
                <w:rFonts w:hint="eastAsia"/>
                <w:b w:val="0"/>
                <w:bCs w:val="0"/>
                <w:u w:val="none"/>
                <w:lang w:val="en-US" w:eastAsia="zh-CN"/>
              </w:rPr>
              <w:t>“集中上下水、有公共卫生间”</w:t>
            </w:r>
            <w:r>
              <w:rPr>
                <w:rFonts w:hint="eastAsia"/>
                <w:b w:val="0"/>
                <w:bCs w:val="0"/>
                <w:u w:val="none"/>
              </w:rPr>
              <w:t>，人均用水量为60L/人·d</w:t>
            </w:r>
            <w:r>
              <w:rPr>
                <w:rFonts w:hint="eastAsia"/>
                <w:b w:val="0"/>
                <w:bCs w:val="0"/>
                <w:u w:val="none"/>
                <w:lang w:eastAsia="zh-CN"/>
              </w:rPr>
              <w:t>，</w:t>
            </w:r>
            <w:r>
              <w:rPr>
                <w:rFonts w:hint="eastAsia"/>
                <w:b w:val="0"/>
                <w:bCs w:val="0"/>
                <w:u w:val="none"/>
              </w:rPr>
              <w:t>年工作300天，</w:t>
            </w:r>
            <w:r>
              <w:rPr>
                <w:b w:val="0"/>
                <w:bCs w:val="0"/>
                <w:u w:val="none"/>
              </w:rPr>
              <w:t>则员工生活用水量为0.</w:t>
            </w:r>
            <w:r>
              <w:rPr>
                <w:rFonts w:hint="eastAsia"/>
                <w:b w:val="0"/>
                <w:bCs w:val="0"/>
                <w:u w:val="none"/>
                <w:lang w:val="en-US" w:eastAsia="zh-CN"/>
              </w:rPr>
              <w:t>6</w:t>
            </w:r>
            <w:r>
              <w:rPr>
                <w:rFonts w:hint="eastAsia"/>
                <w:b w:val="0"/>
                <w:bCs w:val="0"/>
                <w:u w:val="none"/>
              </w:rPr>
              <w:t>t/d、</w:t>
            </w:r>
            <w:r>
              <w:rPr>
                <w:rFonts w:hint="eastAsia"/>
                <w:b w:val="0"/>
                <w:bCs w:val="0"/>
                <w:u w:val="none"/>
                <w:lang w:val="en-US" w:eastAsia="zh-CN"/>
              </w:rPr>
              <w:t>180</w:t>
            </w:r>
            <w:r>
              <w:rPr>
                <w:rFonts w:hint="eastAsia"/>
                <w:b w:val="0"/>
                <w:bCs w:val="0"/>
                <w:u w:val="none"/>
              </w:rPr>
              <w:t>t/a。</w:t>
            </w:r>
            <w:r>
              <w:rPr>
                <w:rFonts w:hint="eastAsia"/>
              </w:rPr>
              <w:t>生活污水产污系数取值0.8，则职工生活污水产生量为</w:t>
            </w:r>
            <w:r>
              <w:t>0.</w:t>
            </w:r>
            <w:r>
              <w:rPr>
                <w:rFonts w:hint="eastAsia"/>
                <w:lang w:val="en-US" w:eastAsia="zh-CN"/>
              </w:rPr>
              <w:t>48</w:t>
            </w:r>
            <w:r>
              <w:rPr>
                <w:rFonts w:hint="eastAsia"/>
              </w:rPr>
              <w:t>t/d、</w:t>
            </w:r>
            <w:r>
              <w:rPr>
                <w:rFonts w:hint="eastAsia"/>
                <w:lang w:val="en-US" w:eastAsia="zh-CN"/>
              </w:rPr>
              <w:t>144</w:t>
            </w:r>
            <w:r>
              <w:rPr>
                <w:rFonts w:hint="eastAsia"/>
              </w:rPr>
              <w:t>t/a。</w:t>
            </w:r>
            <w:r>
              <w:rPr>
                <w:rFonts w:hint="eastAsia"/>
                <w:lang w:val="en-US" w:eastAsia="zh-CN"/>
              </w:rPr>
              <w:t>生活污水水质参考《生活源产排污系数及使用说明》中的生活源水污染物产污系数及使用说明，城镇生活污水中污染物浓度一般为</w:t>
            </w:r>
            <w:r>
              <w:t>COD</w:t>
            </w:r>
            <w:r>
              <w:rPr>
                <w:rFonts w:hint="eastAsia"/>
              </w:rPr>
              <w:t xml:space="preserve"> 3</w:t>
            </w:r>
            <w:r>
              <w:rPr>
                <w:rFonts w:hint="eastAsia"/>
                <w:lang w:val="en-US" w:eastAsia="zh-CN"/>
              </w:rPr>
              <w:t>5</w:t>
            </w:r>
            <w:r>
              <w:t>0mg/L</w:t>
            </w:r>
            <w:r>
              <w:rPr>
                <w:rFonts w:hint="eastAsia"/>
                <w:lang w:eastAsia="zh-CN"/>
              </w:rPr>
              <w:t>、</w:t>
            </w:r>
            <w:r>
              <w:t>氨氮</w:t>
            </w:r>
            <w:r>
              <w:rPr>
                <w:rFonts w:hint="eastAsia"/>
                <w:lang w:val="en-US" w:eastAsia="zh-CN"/>
              </w:rPr>
              <w:t>25</w:t>
            </w:r>
            <w:r>
              <w:rPr>
                <w:rFonts w:hint="eastAsia"/>
              </w:rPr>
              <w:t>mg/L</w:t>
            </w:r>
            <w:r>
              <w:rPr>
                <w:rFonts w:hint="eastAsia"/>
                <w:lang w:eastAsia="zh-CN"/>
              </w:rPr>
              <w:t>、</w:t>
            </w:r>
            <w:r>
              <w:t>SS 2</w:t>
            </w:r>
            <w:r>
              <w:rPr>
                <w:rFonts w:hint="eastAsia"/>
                <w:lang w:val="en-US" w:eastAsia="zh-CN"/>
              </w:rPr>
              <w:t>0</w:t>
            </w:r>
            <w:r>
              <w:t>0mg/L</w:t>
            </w:r>
            <w:r>
              <w:rPr>
                <w:rFonts w:hint="eastAsia"/>
                <w:lang w:eastAsia="zh-CN"/>
              </w:rPr>
              <w:t>、</w:t>
            </w:r>
            <w:r>
              <w:t>BOD</w:t>
            </w:r>
            <w:r>
              <w:rPr>
                <w:vertAlign w:val="subscript"/>
              </w:rPr>
              <w:t>5</w:t>
            </w:r>
            <w:r>
              <w:t xml:space="preserve"> </w:t>
            </w:r>
            <w:r>
              <w:rPr>
                <w:rFonts w:hint="eastAsia"/>
                <w:lang w:val="en-US" w:eastAsia="zh-CN"/>
              </w:rPr>
              <w:t>17</w:t>
            </w:r>
            <w:r>
              <w:t>0mg/L</w:t>
            </w:r>
            <w:r>
              <w:rPr>
                <w:rFonts w:hint="eastAsia"/>
                <w:lang w:eastAsia="zh-CN"/>
              </w:rPr>
              <w:t>、</w:t>
            </w:r>
            <w:r>
              <w:rPr>
                <w:rFonts w:hint="eastAsia"/>
                <w:lang w:val="en-US" w:eastAsia="zh-CN"/>
              </w:rPr>
              <w:t>总磷6mg/L</w:t>
            </w:r>
            <w:r>
              <w:t>。</w:t>
            </w:r>
            <w:r>
              <w:rPr>
                <w:rFonts w:hint="eastAsia"/>
              </w:rPr>
              <w:t>生活污水经化粪池预处理后经污水管网排入</w:t>
            </w:r>
            <w:r>
              <w:rPr>
                <w:rFonts w:hint="eastAsia" w:ascii="Times New Roman" w:hAnsi="Times New Roman" w:eastAsia="Times New Roman" w:cs="Times New Roman"/>
                <w:color w:val="000000" w:themeColor="text1"/>
                <w:kern w:val="0"/>
                <w:szCs w:val="21"/>
                <w:highlight w:val="none"/>
                <w:lang w:eastAsia="zh-CN"/>
                <w14:textFill>
                  <w14:solidFill>
                    <w14:schemeClr w14:val="tx1"/>
                  </w14:solidFill>
                </w14:textFill>
              </w:rPr>
              <w:t>汤阴固现污水处理有限公司</w:t>
            </w:r>
            <w:r>
              <w:rPr>
                <w:rFonts w:hint="eastAsia"/>
              </w:rPr>
              <w:t>进行深度处理。</w:t>
            </w:r>
          </w:p>
          <w:p w14:paraId="376156FB">
            <w:pPr>
              <w:adjustRightInd w:val="0"/>
              <w:spacing w:line="500" w:lineRule="exact"/>
              <w:ind w:firstLine="505"/>
              <w:textAlignment w:val="center"/>
              <w:rPr>
                <w:rFonts w:hint="default" w:ascii="Times New Roman" w:hAnsi="Times New Roman" w:eastAsia="宋体" w:cs="Times New Roman"/>
                <w:b/>
                <w:bCs/>
                <w:color w:val="auto"/>
                <w:sz w:val="24"/>
                <w:szCs w:val="24"/>
                <w:u w:val="none" w:color="auto"/>
                <w:lang w:val="en-US" w:eastAsia="zh-CN"/>
              </w:rPr>
            </w:pPr>
            <w:r>
              <w:rPr>
                <w:rFonts w:hint="eastAsia"/>
                <w:b/>
                <w:bCs/>
                <w:sz w:val="24"/>
                <w:szCs w:val="24"/>
                <w:lang w:val="en-US" w:eastAsia="zh-CN" w:bidi="ar"/>
              </w:rPr>
              <w:t>2.2</w:t>
            </w:r>
            <w:r>
              <w:rPr>
                <w:rFonts w:hint="default" w:ascii="Times New Roman" w:hAnsi="Times New Roman" w:eastAsia="宋体" w:cs="Times New Roman"/>
                <w:b/>
                <w:bCs/>
                <w:color w:val="auto"/>
                <w:sz w:val="24"/>
                <w:szCs w:val="24"/>
                <w:u w:val="none" w:color="auto"/>
                <w:lang w:val="en-US" w:eastAsia="zh-CN"/>
              </w:rPr>
              <w:t>污水处理站处理工艺</w:t>
            </w:r>
          </w:p>
          <w:p w14:paraId="4C0813BB">
            <w:pPr>
              <w:numPr>
                <w:ilvl w:val="0"/>
                <w:numId w:val="0"/>
              </w:numPr>
              <w:adjustRightInd w:val="0"/>
              <w:spacing w:line="500" w:lineRule="exact"/>
              <w:ind w:firstLine="480" w:firstLineChars="200"/>
              <w:textAlignment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2.2.1</w:t>
            </w:r>
            <w:r>
              <w:rPr>
                <w:rFonts w:hint="default" w:ascii="Times New Roman" w:hAnsi="Times New Roman" w:eastAsia="宋体" w:cs="Times New Roman"/>
                <w:color w:val="auto"/>
                <w:sz w:val="24"/>
                <w:szCs w:val="24"/>
                <w:u w:val="none" w:color="auto"/>
                <w:lang w:val="en-US" w:eastAsia="zh-CN"/>
              </w:rPr>
              <w:t>处理工艺流程</w:t>
            </w:r>
          </w:p>
          <w:p w14:paraId="764A0890">
            <w:pPr>
              <w:pStyle w:val="16"/>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项目污水处理站采</w:t>
            </w:r>
            <w:r>
              <w:rPr>
                <w:rFonts w:hint="eastAsia" w:ascii="Times New Roman" w:hAnsi="Times New Roman" w:eastAsia="宋体" w:cs="Times New Roman"/>
                <w:color w:val="auto"/>
                <w:sz w:val="24"/>
                <w:szCs w:val="24"/>
                <w:u w:val="none" w:color="auto"/>
                <w:lang w:val="en-US" w:eastAsia="zh-CN"/>
              </w:rPr>
              <w:t>用“</w:t>
            </w:r>
            <w:r>
              <w:rPr>
                <w:rFonts w:hint="eastAsia" w:cs="Times New Roman"/>
                <w:b/>
                <w:bCs/>
                <w:color w:val="auto"/>
                <w:sz w:val="24"/>
                <w:szCs w:val="24"/>
                <w:highlight w:val="none"/>
                <w:u w:val="single" w:color="auto"/>
                <w:lang w:val="en-US" w:eastAsia="zh-CN"/>
              </w:rPr>
              <w:t>物理法+厌氧/好氧组合法+化学法</w:t>
            </w:r>
            <w:r>
              <w:rPr>
                <w:rFonts w:hint="eastAsia" w:ascii="Times New Roman" w:hAnsi="Times New Roman" w:eastAsia="宋体" w:cs="Times New Roman"/>
                <w:color w:val="auto"/>
                <w:sz w:val="24"/>
                <w:szCs w:val="24"/>
                <w:u w:val="none" w:color="auto"/>
                <w:lang w:val="en-US" w:eastAsia="zh-CN"/>
              </w:rPr>
              <w:t>”处理工艺</w:t>
            </w:r>
            <w:r>
              <w:rPr>
                <w:rFonts w:hint="default" w:ascii="Times New Roman" w:hAnsi="Times New Roman" w:eastAsia="宋体" w:cs="Times New Roman"/>
                <w:color w:val="auto"/>
                <w:sz w:val="24"/>
                <w:szCs w:val="24"/>
                <w:u w:val="none" w:color="auto"/>
                <w:lang w:val="en-US" w:eastAsia="zh-CN"/>
              </w:rPr>
              <w:t>，设计规模为</w:t>
            </w:r>
            <w:r>
              <w:rPr>
                <w:rFonts w:hint="eastAsia" w:cs="Times New Roman"/>
                <w:color w:val="auto"/>
                <w:sz w:val="24"/>
                <w:szCs w:val="24"/>
                <w:u w:val="none" w:color="auto"/>
                <w:lang w:val="en-US" w:eastAsia="zh-CN"/>
              </w:rPr>
              <w:t>6</w:t>
            </w:r>
            <w:r>
              <w:rPr>
                <w:rFonts w:hint="eastAsia" w:ascii="Times New Roman" w:hAnsi="Times New Roman" w:eastAsia="宋体" w:cs="Times New Roman"/>
                <w:color w:val="auto"/>
                <w:sz w:val="24"/>
                <w:szCs w:val="24"/>
                <w:u w:val="none" w:color="auto"/>
                <w:lang w:val="en-US" w:eastAsia="zh-CN"/>
              </w:rPr>
              <w:t>m</w:t>
            </w:r>
            <w:r>
              <w:rPr>
                <w:rFonts w:hint="eastAsia" w:ascii="Times New Roman" w:hAnsi="Times New Roman" w:eastAsia="宋体" w:cs="Times New Roman"/>
                <w:color w:val="auto"/>
                <w:sz w:val="24"/>
                <w:szCs w:val="24"/>
                <w:u w:val="none" w:color="auto"/>
                <w:vertAlign w:val="superscript"/>
                <w:lang w:val="en-US" w:eastAsia="zh-CN"/>
              </w:rPr>
              <w:t>3</w:t>
            </w:r>
            <w:r>
              <w:rPr>
                <w:rFonts w:hint="default" w:ascii="Times New Roman" w:hAnsi="Times New Roman" w:eastAsia="宋体" w:cs="Times New Roman"/>
                <w:color w:val="auto"/>
                <w:sz w:val="24"/>
                <w:szCs w:val="24"/>
                <w:u w:val="none" w:color="auto"/>
                <w:lang w:val="en-US" w:eastAsia="zh-CN"/>
              </w:rPr>
              <w:t>/d，处理工艺流程图如下</w:t>
            </w:r>
            <w:r>
              <w:rPr>
                <w:rFonts w:hint="eastAsia" w:ascii="Times New Roman" w:hAnsi="Times New Roman" w:eastAsia="宋体" w:cs="Times New Roman"/>
                <w:color w:val="auto"/>
                <w:sz w:val="24"/>
                <w:szCs w:val="24"/>
                <w:u w:val="none" w:color="auto"/>
                <w:lang w:val="en-US" w:eastAsia="zh-CN"/>
              </w:rPr>
              <w:t>：</w:t>
            </w:r>
          </w:p>
          <w:p w14:paraId="0E884B24">
            <w:pPr>
              <w:adjustRightInd w:val="0"/>
              <w:spacing w:line="500" w:lineRule="exact"/>
              <w:ind w:firstLine="505"/>
              <w:textAlignment w:val="center"/>
              <w:rPr>
                <w:rFonts w:hint="default" w:ascii="Times New Roman" w:hAnsi="Times New Roman" w:eastAsia="宋体" w:cs="Times New Roman"/>
                <w:color w:val="auto"/>
                <w:sz w:val="24"/>
                <w:szCs w:val="24"/>
                <w:u w:val="none" w:color="auto"/>
                <w:lang w:val="en-US" w:eastAsia="zh-CN"/>
              </w:rPr>
            </w:pPr>
            <w:r>
              <w:rPr>
                <w:rFonts w:hint="default"/>
                <w:sz w:val="24"/>
                <w:szCs w:val="24"/>
                <w:lang w:val="en-US"/>
              </w:rPr>
              <mc:AlternateContent>
                <mc:Choice Requires="wpc">
                  <w:drawing>
                    <wp:anchor distT="0" distB="0" distL="114300" distR="114300" simplePos="0" relativeHeight="251659264" behindDoc="0" locked="0" layoutInCell="1" allowOverlap="1">
                      <wp:simplePos x="0" y="0"/>
                      <wp:positionH relativeFrom="column">
                        <wp:posOffset>-68580</wp:posOffset>
                      </wp:positionH>
                      <wp:positionV relativeFrom="paragraph">
                        <wp:posOffset>15875</wp:posOffset>
                      </wp:positionV>
                      <wp:extent cx="5123180" cy="3828415"/>
                      <wp:effectExtent l="0" t="0" r="0" b="635"/>
                      <wp:wrapSquare wrapText="bothSides"/>
                      <wp:docPr id="24" name="画布 24"/>
                      <wp:cNvGraphicFramePr/>
                      <a:graphic xmlns:a="http://schemas.openxmlformats.org/drawingml/2006/main">
                        <a:graphicData uri="http://schemas.microsoft.com/office/word/2010/wordprocessingCanvas">
                          <wpc:wpc>
                            <wpc:bg>
                              <a:noFill/>
                            </wpc:bg>
                            <wpc:whole>
                              <a:ln>
                                <a:noFill/>
                              </a:ln>
                            </wpc:whole>
                            <wps:wsp>
                              <wps:cNvPr id="3" name="矩形 3"/>
                              <wps:cNvSpPr/>
                              <wps:spPr>
                                <a:xfrm>
                                  <a:off x="1904365" y="285750"/>
                                  <a:ext cx="924560" cy="2940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196E63">
                                    <w:pPr>
                                      <w:jc w:val="center"/>
                                    </w:pPr>
                                    <w:r>
                                      <w:t>废水</w:t>
                                    </w:r>
                                  </w:p>
                                </w:txbxContent>
                              </wps:txbx>
                              <wps:bodyPr upright="1"/>
                            </wps:wsp>
                            <wps:wsp>
                              <wps:cNvPr id="4" name="矩形 4"/>
                              <wps:cNvSpPr/>
                              <wps:spPr>
                                <a:xfrm>
                                  <a:off x="1898650" y="819422"/>
                                  <a:ext cx="924560" cy="29346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C01217">
                                    <w:pPr>
                                      <w:jc w:val="center"/>
                                      <w:rPr>
                                        <w:rFonts w:hint="default" w:eastAsia="宋体"/>
                                        <w:lang w:val="en-US" w:eastAsia="zh-CN"/>
                                      </w:rPr>
                                    </w:pPr>
                                    <w:r>
                                      <w:rPr>
                                        <w:rFonts w:hint="eastAsia"/>
                                        <w:lang w:val="en-US" w:eastAsia="zh-CN"/>
                                      </w:rPr>
                                      <w:t>调节池</w:t>
                                    </w:r>
                                  </w:p>
                                </w:txbxContent>
                              </wps:txbx>
                              <wps:bodyPr upright="1"/>
                            </wps:wsp>
                            <wps:wsp>
                              <wps:cNvPr id="5" name="矩形 5"/>
                              <wps:cNvSpPr/>
                              <wps:spPr>
                                <a:xfrm>
                                  <a:off x="1898650" y="1314887"/>
                                  <a:ext cx="924560" cy="29727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16CF22">
                                    <w:pPr>
                                      <w:jc w:val="center"/>
                                      <w:rPr>
                                        <w:rFonts w:hint="default" w:eastAsia="宋体"/>
                                        <w:lang w:val="en-US" w:eastAsia="zh-CN"/>
                                      </w:rPr>
                                    </w:pPr>
                                    <w:r>
                                      <w:rPr>
                                        <w:rFonts w:hint="eastAsia"/>
                                        <w:lang w:val="en-US" w:eastAsia="zh-CN"/>
                                      </w:rPr>
                                      <w:t>絮凝沉淀</w:t>
                                    </w:r>
                                  </w:p>
                                </w:txbxContent>
                              </wps:txbx>
                              <wps:bodyPr upright="1"/>
                            </wps:wsp>
                            <wps:wsp>
                              <wps:cNvPr id="6" name="直接箭头连接符 6"/>
                              <wps:cNvCnPr/>
                              <wps:spPr>
                                <a:xfrm>
                                  <a:off x="2362200" y="597733"/>
                                  <a:ext cx="635" cy="215972"/>
                                </a:xfrm>
                                <a:prstGeom prst="straightConnector1">
                                  <a:avLst/>
                                </a:prstGeom>
                                <a:ln w="9525" cap="flat" cmpd="sng">
                                  <a:solidFill>
                                    <a:srgbClr val="000000"/>
                                  </a:solidFill>
                                  <a:prstDash val="solid"/>
                                  <a:headEnd type="none" w="med" len="med"/>
                                  <a:tailEnd type="triangle" w="med" len="med"/>
                                </a:ln>
                              </wps:spPr>
                              <wps:bodyPr/>
                            </wps:wsp>
                            <wps:wsp>
                              <wps:cNvPr id="7" name="直接箭头连接符 7"/>
                              <wps:cNvCnPr/>
                              <wps:spPr>
                                <a:xfrm>
                                  <a:off x="2362835" y="1102726"/>
                                  <a:ext cx="635" cy="215972"/>
                                </a:xfrm>
                                <a:prstGeom prst="straightConnector1">
                                  <a:avLst/>
                                </a:prstGeom>
                                <a:ln w="9525" cap="flat" cmpd="sng">
                                  <a:solidFill>
                                    <a:srgbClr val="000000"/>
                                  </a:solidFill>
                                  <a:prstDash val="solid"/>
                                  <a:headEnd type="none" w="med" len="med"/>
                                  <a:tailEnd type="triangle" w="med" len="med"/>
                                </a:ln>
                              </wps:spPr>
                              <wps:bodyPr/>
                            </wps:wsp>
                            <wps:wsp>
                              <wps:cNvPr id="8" name="矩形 8"/>
                              <wps:cNvSpPr/>
                              <wps:spPr>
                                <a:xfrm>
                                  <a:off x="1889125" y="1819879"/>
                                  <a:ext cx="924560" cy="3004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3BEC91">
                                    <w:pPr>
                                      <w:jc w:val="center"/>
                                    </w:pPr>
                                    <w:r>
                                      <w:rPr>
                                        <w:rFonts w:hint="eastAsia"/>
                                      </w:rPr>
                                      <w:t>A级生物池</w:t>
                                    </w:r>
                                  </w:p>
                                </w:txbxContent>
                              </wps:txbx>
                              <wps:bodyPr upright="1"/>
                            </wps:wsp>
                            <wps:wsp>
                              <wps:cNvPr id="9" name="直接箭头连接符 9"/>
                              <wps:cNvCnPr/>
                              <wps:spPr>
                                <a:xfrm>
                                  <a:off x="2353310" y="1607719"/>
                                  <a:ext cx="635" cy="215972"/>
                                </a:xfrm>
                                <a:prstGeom prst="straightConnector1">
                                  <a:avLst/>
                                </a:prstGeom>
                                <a:ln w="9525" cap="flat" cmpd="sng">
                                  <a:solidFill>
                                    <a:srgbClr val="000000"/>
                                  </a:solidFill>
                                  <a:prstDash val="solid"/>
                                  <a:headEnd type="none" w="med" len="med"/>
                                  <a:tailEnd type="triangle" w="med" len="med"/>
                                </a:ln>
                              </wps:spPr>
                              <wps:bodyPr/>
                            </wps:wsp>
                            <wps:wsp>
                              <wps:cNvPr id="10" name="肘形连接符 10"/>
                              <wps:cNvCnPr/>
                              <wps:spPr>
                                <a:xfrm flipV="1">
                                  <a:off x="2804160" y="1970424"/>
                                  <a:ext cx="9525" cy="1025230"/>
                                </a:xfrm>
                                <a:prstGeom prst="bentConnector3">
                                  <a:avLst>
                                    <a:gd name="adj1" fmla="val 2500000"/>
                                  </a:avLst>
                                </a:prstGeom>
                                <a:ln w="9525" cap="flat" cmpd="sng">
                                  <a:solidFill>
                                    <a:srgbClr val="000000"/>
                                  </a:solidFill>
                                  <a:prstDash val="solid"/>
                                  <a:miter/>
                                  <a:headEnd type="none" w="med" len="med"/>
                                  <a:tailEnd type="triangle" w="med" len="med"/>
                                </a:ln>
                              </wps:spPr>
                              <wps:bodyPr/>
                            </wps:wsp>
                            <wps:wsp>
                              <wps:cNvPr id="11" name="矩形 11"/>
                              <wps:cNvSpPr/>
                              <wps:spPr>
                                <a:xfrm>
                                  <a:off x="2901315" y="2007902"/>
                                  <a:ext cx="489585" cy="757171"/>
                                </a:xfrm>
                                <a:prstGeom prst="rect">
                                  <a:avLst/>
                                </a:prstGeom>
                                <a:noFill/>
                                <a:ln>
                                  <a:noFill/>
                                </a:ln>
                              </wps:spPr>
                              <wps:txbx>
                                <w:txbxContent>
                                  <w:p w14:paraId="6EA76F01">
                                    <w:r>
                                      <w:rPr>
                                        <w:rFonts w:hint="eastAsia"/>
                                        <w:szCs w:val="23"/>
                                      </w:rPr>
                                      <w:t>回流污泥</w:t>
                                    </w:r>
                                  </w:p>
                                </w:txbxContent>
                              </wps:txbx>
                              <wps:bodyPr upright="1"/>
                            </wps:wsp>
                            <wps:wsp>
                              <wps:cNvPr id="12" name="矩形 12"/>
                              <wps:cNvSpPr/>
                              <wps:spPr>
                                <a:xfrm>
                                  <a:off x="1879600" y="2332494"/>
                                  <a:ext cx="924560" cy="3004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5035F4">
                                    <w:pPr>
                                      <w:jc w:val="center"/>
                                    </w:pPr>
                                    <w:r>
                                      <w:t>O</w:t>
                                    </w:r>
                                    <w:r>
                                      <w:rPr>
                                        <w:rFonts w:hint="eastAsia"/>
                                      </w:rPr>
                                      <w:t>级生物池</w:t>
                                    </w:r>
                                  </w:p>
                                </w:txbxContent>
                              </wps:txbx>
                              <wps:bodyPr upright="1"/>
                            </wps:wsp>
                            <wps:wsp>
                              <wps:cNvPr id="13" name="直接箭头连接符 13"/>
                              <wps:cNvCnPr/>
                              <wps:spPr>
                                <a:xfrm>
                                  <a:off x="2343785" y="2120334"/>
                                  <a:ext cx="635" cy="215972"/>
                                </a:xfrm>
                                <a:prstGeom prst="straightConnector1">
                                  <a:avLst/>
                                </a:prstGeom>
                                <a:ln w="9525" cap="flat" cmpd="sng">
                                  <a:solidFill>
                                    <a:srgbClr val="000000"/>
                                  </a:solidFill>
                                  <a:prstDash val="solid"/>
                                  <a:headEnd type="none" w="med" len="med"/>
                                  <a:tailEnd type="triangle" w="med" len="med"/>
                                </a:ln>
                              </wps:spPr>
                              <wps:bodyPr/>
                            </wps:wsp>
                            <wps:wsp>
                              <wps:cNvPr id="14" name="直接箭头连接符 14"/>
                              <wps:cNvCnPr/>
                              <wps:spPr>
                                <a:xfrm>
                                  <a:off x="2343785" y="2632949"/>
                                  <a:ext cx="635" cy="215972"/>
                                </a:xfrm>
                                <a:prstGeom prst="straightConnector1">
                                  <a:avLst/>
                                </a:prstGeom>
                                <a:ln w="9525" cap="flat" cmpd="sng">
                                  <a:solidFill>
                                    <a:srgbClr val="000000"/>
                                  </a:solidFill>
                                  <a:prstDash val="solid"/>
                                  <a:headEnd type="none" w="med" len="med"/>
                                  <a:tailEnd type="triangle" w="med" len="med"/>
                                </a:ln>
                              </wps:spPr>
                              <wps:bodyPr/>
                            </wps:wsp>
                            <wps:wsp>
                              <wps:cNvPr id="16" name="矩形 16"/>
                              <wps:cNvSpPr/>
                              <wps:spPr>
                                <a:xfrm>
                                  <a:off x="1917700" y="2843204"/>
                                  <a:ext cx="924560" cy="3004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49E7DB">
                                    <w:pPr>
                                      <w:jc w:val="center"/>
                                    </w:pPr>
                                    <w:r>
                                      <w:rPr>
                                        <w:rFonts w:hint="eastAsia"/>
                                      </w:rPr>
                                      <w:t>沉淀池</w:t>
                                    </w:r>
                                  </w:p>
                                </w:txbxContent>
                              </wps:txbx>
                              <wps:bodyPr upright="1"/>
                            </wps:wsp>
                            <wps:wsp>
                              <wps:cNvPr id="17" name="矩形 17"/>
                              <wps:cNvSpPr/>
                              <wps:spPr>
                                <a:xfrm>
                                  <a:off x="1917700" y="3385674"/>
                                  <a:ext cx="924560" cy="3004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3F5348">
                                    <w:pPr>
                                      <w:jc w:val="center"/>
                                    </w:pPr>
                                    <w:r>
                                      <w:rPr>
                                        <w:rFonts w:hint="eastAsia"/>
                                      </w:rPr>
                                      <w:t>清水池</w:t>
                                    </w:r>
                                  </w:p>
                                </w:txbxContent>
                              </wps:txbx>
                              <wps:bodyPr upright="1"/>
                            </wps:wsp>
                            <wps:wsp>
                              <wps:cNvPr id="18" name="直接箭头连接符 18"/>
                              <wps:cNvCnPr/>
                              <wps:spPr>
                                <a:xfrm>
                                  <a:off x="2372360" y="3163985"/>
                                  <a:ext cx="635" cy="215972"/>
                                </a:xfrm>
                                <a:prstGeom prst="straightConnector1">
                                  <a:avLst/>
                                </a:prstGeom>
                                <a:ln w="9525" cap="flat" cmpd="sng">
                                  <a:solidFill>
                                    <a:srgbClr val="000000"/>
                                  </a:solidFill>
                                  <a:prstDash val="solid"/>
                                  <a:headEnd type="none" w="med" len="med"/>
                                  <a:tailEnd type="triangle" w="med" len="med"/>
                                </a:ln>
                              </wps:spPr>
                              <wps:bodyPr/>
                            </wps:wsp>
                            <wps:wsp>
                              <wps:cNvPr id="19" name="矩形 19"/>
                              <wps:cNvSpPr/>
                              <wps:spPr>
                                <a:xfrm>
                                  <a:off x="1755140" y="1700460"/>
                                  <a:ext cx="2889250" cy="2105089"/>
                                </a:xfrm>
                                <a:prstGeom prst="rect">
                                  <a:avLst/>
                                </a:prstGeom>
                                <a:noFill/>
                                <a:ln w="12700" cap="flat" cmpd="sng">
                                  <a:solidFill>
                                    <a:srgbClr val="000000"/>
                                  </a:solidFill>
                                  <a:prstDash val="dash"/>
                                  <a:miter/>
                                  <a:headEnd type="none" w="med" len="med"/>
                                  <a:tailEnd type="none" w="med" len="med"/>
                                </a:ln>
                              </wps:spPr>
                              <wps:bodyPr upright="1"/>
                            </wps:wsp>
                            <wps:wsp>
                              <wps:cNvPr id="20" name="线形标注 2 20"/>
                              <wps:cNvSpPr/>
                              <wps:spPr>
                                <a:xfrm>
                                  <a:off x="3936365" y="1314887"/>
                                  <a:ext cx="792480" cy="260436"/>
                                </a:xfrm>
                                <a:prstGeom prst="borderCallout2">
                                  <a:avLst>
                                    <a:gd name="adj1" fmla="val 43903"/>
                                    <a:gd name="adj2" fmla="val -9616"/>
                                    <a:gd name="adj3" fmla="val 43903"/>
                                    <a:gd name="adj4" fmla="val -22597"/>
                                    <a:gd name="adj5" fmla="val 147315"/>
                                    <a:gd name="adj6" fmla="val -35819"/>
                                  </a:avLst>
                                </a:prstGeom>
                                <a:noFill/>
                                <a:ln w="9525" cap="flat" cmpd="sng">
                                  <a:solidFill>
                                    <a:srgbClr val="000000"/>
                                  </a:solidFill>
                                  <a:prstDash val="sysDot"/>
                                  <a:miter/>
                                  <a:headEnd type="none" w="med" len="med"/>
                                  <a:tailEnd type="none" w="med" len="med"/>
                                </a:ln>
                              </wps:spPr>
                              <wps:txbx>
                                <w:txbxContent>
                                  <w:p w14:paraId="23C8937E">
                                    <w:pPr>
                                      <w:rPr>
                                        <w:sz w:val="18"/>
                                        <w:szCs w:val="18"/>
                                      </w:rPr>
                                    </w:pPr>
                                    <w:r>
                                      <w:rPr>
                                        <w:rFonts w:hint="eastAsia"/>
                                        <w:sz w:val="18"/>
                                        <w:szCs w:val="18"/>
                                      </w:rPr>
                                      <w:t>一体化设备</w:t>
                                    </w:r>
                                  </w:p>
                                </w:txbxContent>
                              </wps:txbx>
                              <wps:bodyPr upright="1"/>
                            </wps:wsp>
                            <wps:wsp>
                              <wps:cNvPr id="21" name="矩形 21"/>
                              <wps:cNvSpPr/>
                              <wps:spPr>
                                <a:xfrm>
                                  <a:off x="3286125" y="2961988"/>
                                  <a:ext cx="647700" cy="29537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4EF637">
                                    <w:pPr>
                                      <w:rPr>
                                        <w:rFonts w:hint="default" w:eastAsia="宋体"/>
                                        <w:lang w:val="en-US" w:eastAsia="zh-CN"/>
                                      </w:rPr>
                                    </w:pPr>
                                    <w:r>
                                      <w:rPr>
                                        <w:rFonts w:hint="eastAsia"/>
                                        <w:lang w:val="en-US" w:eastAsia="zh-CN"/>
                                      </w:rPr>
                                      <w:t>污泥池</w:t>
                                    </w:r>
                                  </w:p>
                                </w:txbxContent>
                              </wps:txbx>
                              <wps:bodyPr upright="1"/>
                            </wps:wsp>
                            <wps:wsp>
                              <wps:cNvPr id="23" name="矩形 23"/>
                              <wps:cNvSpPr/>
                              <wps:spPr>
                                <a:xfrm>
                                  <a:off x="2675255" y="3036943"/>
                                  <a:ext cx="806450" cy="244556"/>
                                </a:xfrm>
                                <a:prstGeom prst="rect">
                                  <a:avLst/>
                                </a:prstGeom>
                                <a:noFill/>
                                <a:ln>
                                  <a:noFill/>
                                </a:ln>
                              </wps:spPr>
                              <wps:txbx>
                                <w:txbxContent>
                                  <w:p w14:paraId="1AFC93B6">
                                    <w:r>
                                      <w:rPr>
                                        <w:rFonts w:hint="eastAsia"/>
                                        <w:szCs w:val="23"/>
                                        <w:lang w:val="en-US" w:eastAsia="zh-CN"/>
                                      </w:rPr>
                                      <w:t>剩余</w:t>
                                    </w:r>
                                    <w:r>
                                      <w:rPr>
                                        <w:rFonts w:hint="eastAsia"/>
                                        <w:szCs w:val="23"/>
                                      </w:rPr>
                                      <w:t>污泥</w:t>
                                    </w:r>
                                  </w:p>
                                </w:txbxContent>
                              </wps:txbx>
                              <wps:bodyPr upright="1"/>
                            </wps:wsp>
                          </wpc:wpc>
                        </a:graphicData>
                      </a:graphic>
                    </wp:anchor>
                  </w:drawing>
                </mc:Choice>
                <mc:Fallback>
                  <w:pict>
                    <v:group id="_x0000_s1026" o:spid="_x0000_s1026" o:spt="203" style="position:absolute;left:0pt;margin-left:-5.4pt;margin-top:1.25pt;height:301.45pt;width:403.4pt;mso-wrap-distance-bottom:0pt;mso-wrap-distance-left:9pt;mso-wrap-distance-right:9pt;mso-wrap-distance-top:0pt;z-index:251659264;mso-width-relative:page;mso-height-relative:page;" coordsize="5123180,3828415" editas="canvas" o:gfxdata="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">
                      <o:lock v:ext="edit" aspectratio="f"/>
                      <v:shape id="_x0000_s1026" o:spid="_x0000_s1026" style="position:absolute;left:0;top:0;height:3828415;width:5123180;" filled="f" stroked="f" coordsize="21600,21600" o:gfxdata="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">
                        <v:fill on="f" focussize="0,0"/>
                        <v:stroke on="f"/>
                        <v:imagedata o:title=""/>
                        <o:lock v:ext="edit" aspectratio="f"/>
                      </v:shape>
                      <v:rect id="_x0000_s1026" o:spid="_x0000_s1026" o:spt="1" style="position:absolute;left:1904365;top:285750;height:294005;width:924560;" fillcolor="#FFFFFF" filled="t" stroked="t" coordsize="21600,21600" o:gfxdata="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RJdstgAAAAJAQAADwAAAAAAAAABACAAAAAi&#10;AAAAZHJzL2Rvd25yZXYueG1sUEsBAhQAFAAAAAgAh07iQH9nTq0KAgAAMwQAAA4AAAAAAAAAAQAg&#10;AAAAJwEAAGRycy9lMm9Eb2MueG1sUEsFBgAAAAAGAAYAWQEAAKMFAAAAAA==&#10;">
                        <v:fill on="t" focussize="0,0"/>
                        <v:stroke color="#000000" joinstyle="miter"/>
                        <v:imagedata o:title=""/>
                        <o:lock v:ext="edit" aspectratio="f"/>
                        <v:textbox>
                          <w:txbxContent>
                            <w:p w14:paraId="59196E63">
                              <w:pPr>
                                <w:jc w:val="center"/>
                              </w:pPr>
                              <w:r>
                                <w:t>废水</w:t>
                              </w:r>
                            </w:p>
                          </w:txbxContent>
                        </v:textbox>
                      </v:rect>
                      <v:rect id="_x0000_s1026" o:spid="_x0000_s1026" o:spt="1" style="position:absolute;left:1898650;top:819422;height:293467;width:924560;" fillcolor="#FFFFFF" filled="t" stroked="t" coordsize="21600,21600" o:gfxdata="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0SXbLYAAAACQEAAA8AAAAAAAAAAQAgAAAA&#10;IgAAAGRycy9kb3ducmV2LnhtbFBLAQIUABQAAAAIAIdO4kCvhNXsCwIAADMEAAAOAAAAAAAAAAEA&#10;IAAAACcBAABkcnMvZTJvRG9jLnhtbFBLBQYAAAAABgAGAFkBAACkBQAAAAA=&#10;">
                        <v:fill on="t" focussize="0,0"/>
                        <v:stroke color="#000000" joinstyle="miter"/>
                        <v:imagedata o:title=""/>
                        <o:lock v:ext="edit" aspectratio="f"/>
                        <v:textbox>
                          <w:txbxContent>
                            <w:p w14:paraId="7FC01217">
                              <w:pPr>
                                <w:jc w:val="center"/>
                                <w:rPr>
                                  <w:rFonts w:hint="default" w:eastAsia="宋体"/>
                                  <w:lang w:val="en-US" w:eastAsia="zh-CN"/>
                                </w:rPr>
                              </w:pPr>
                              <w:r>
                                <w:rPr>
                                  <w:rFonts w:hint="eastAsia"/>
                                  <w:lang w:val="en-US" w:eastAsia="zh-CN"/>
                                </w:rPr>
                                <w:t>调节池</w:t>
                              </w:r>
                            </w:p>
                          </w:txbxContent>
                        </v:textbox>
                      </v:rect>
                      <v:rect id="_x0000_s1026" o:spid="_x0000_s1026" o:spt="1" style="position:absolute;left:1898650;top:1314887;height:297279;width:924560;" fillcolor="#FFFFFF" filled="t" stroked="t" coordsize="21600,21600" o:gfxdata="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dEl2y2AAAAAkBAAAPAAAAAAAAAAEAIAAA&#10;ACIAAABkcnMvZG93bnJldi54bWxQSwECFAAUAAAACACHTuJAXU5ufQwCAAA0BAAADgAAAAAAAAAB&#10;ACAAAAAnAQAAZHJzL2Uyb0RvYy54bWxQSwUGAAAAAAYABgBZAQAApQUAAAAA&#10;">
                        <v:fill on="t" focussize="0,0"/>
                        <v:stroke color="#000000" joinstyle="miter"/>
                        <v:imagedata o:title=""/>
                        <o:lock v:ext="edit" aspectratio="f"/>
                        <v:textbox>
                          <w:txbxContent>
                            <w:p w14:paraId="6516CF22">
                              <w:pPr>
                                <w:jc w:val="center"/>
                                <w:rPr>
                                  <w:rFonts w:hint="default" w:eastAsia="宋体"/>
                                  <w:lang w:val="en-US" w:eastAsia="zh-CN"/>
                                </w:rPr>
                              </w:pPr>
                              <w:r>
                                <w:rPr>
                                  <w:rFonts w:hint="eastAsia"/>
                                  <w:lang w:val="en-US" w:eastAsia="zh-CN"/>
                                </w:rPr>
                                <w:t>絮凝沉淀</w:t>
                              </w:r>
                            </w:p>
                          </w:txbxContent>
                        </v:textbox>
                      </v:rect>
                      <v:shape id="_x0000_s1026" o:spid="_x0000_s1026" o:spt="32" type="#_x0000_t32" style="position:absolute;left:2362200;top:597733;height:215972;width:635;" filled="f" stroked="t" coordsize="21600,21600" o:gfxdata="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QpvjLZAAAACQEAAA8AAAAAAAAA&#10;AQAgAAAAIgAAAGRycy9kb3ducmV2LnhtbFBLAQIUABQAAAAIAIdO4kBciCq3EAIAAPwDAAAOAAAA&#10;AAAAAAEAIAAAACgBAABkcnMvZTJvRG9jLnhtbFBLBQYAAAAABgAGAFkBAACqBQAAAAA=&#10;">
                        <v:fill on="f" focussize="0,0"/>
                        <v:stroke color="#000000" joinstyle="round" endarrow="block"/>
                        <v:imagedata o:title=""/>
                        <o:lock v:ext="edit" aspectratio="f"/>
                      </v:shape>
                      <v:shape id="_x0000_s1026" o:spid="_x0000_s1026" o:spt="32" type="#_x0000_t32" style="position:absolute;left:2362835;top:1102726;height:215972;width:635;" filled="f" stroked="t" coordsize="21600,21600" o:gfxdata="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EKb4y2QAAAAkBAAAPAAAAAAAA&#10;AAEAIAAAACIAAABkcnMvZG93bnJldi54bWxQSwECFAAUAAAACACHTuJAbAcGnRECAAD9AwAADgAA&#10;AAAAAAABACAAAAAoAQAAZHJzL2Uyb0RvYy54bWxQSwUGAAAAAAYABgBZAQAAqwUAAAAA&#10;">
                        <v:fill on="f" focussize="0,0"/>
                        <v:stroke color="#000000" joinstyle="round" endarrow="block"/>
                        <v:imagedata o:title=""/>
                        <o:lock v:ext="edit" aspectratio="f"/>
                      </v:shape>
                      <v:rect id="_x0000_s1026" o:spid="_x0000_s1026" o:spt="1" style="position:absolute;left:1889125;top:1819879;height:300455;width:924560;" fillcolor="#FFFFFF" filled="t" stroked="t" coordsize="21600,21600" o:gfxdata="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RJdstgAAAAJAQAADwAAAAAAAAABACAAAAAi&#10;AAAAZHJzL2Rvd25yZXYueG1sUEsBAhQAFAAAAAgAh07iQO6GEC4KAgAANAQAAA4AAAAAAAAAAQAg&#10;AAAAJwEAAGRycy9lMm9Eb2MueG1sUEsFBgAAAAAGAAYAWQEAAKMFAAAAAA==&#10;">
                        <v:fill on="t" focussize="0,0"/>
                        <v:stroke color="#000000" joinstyle="miter"/>
                        <v:imagedata o:title=""/>
                        <o:lock v:ext="edit" aspectratio="f"/>
                        <v:textbox>
                          <w:txbxContent>
                            <w:p w14:paraId="063BEC91">
                              <w:pPr>
                                <w:jc w:val="center"/>
                              </w:pPr>
                              <w:r>
                                <w:rPr>
                                  <w:rFonts w:hint="eastAsia"/>
                                </w:rPr>
                                <w:t>A级生物池</w:t>
                              </w:r>
                            </w:p>
                          </w:txbxContent>
                        </v:textbox>
                      </v:rect>
                      <v:shape id="_x0000_s1026" o:spid="_x0000_s1026" o:spt="32" type="#_x0000_t32" style="position:absolute;left:2353310;top:1607719;height:215972;width:635;" filled="f" stroked="t" coordsize="21600,21600" o:gfxdata="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EKb4y2QAAAAkBAAAPAAAAAAAA&#10;AAEAIAAAACIAAABkcnMvZG93bnJldi54bWxQSwECFAAUAAAACACHTuJAngp07xECAAD9AwAADgAA&#10;AAAAAAABACAAAAAoAQAAZHJzL2Uyb0RvYy54bWxQSwUGAAAAAAYABgBZAQAAqwUAAAAA&#10;">
                        <v:fill on="f" focussize="0,0"/>
                        <v:stroke color="#000000" joinstyle="round" endarrow="block"/>
                        <v:imagedata o:title=""/>
                        <o:lock v:ext="edit" aspectratio="f"/>
                      </v:shape>
                      <v:shape id="_x0000_s1026" o:spid="_x0000_s1026" o:spt="34" type="#_x0000_t34" style="position:absolute;left:2804160;top:1970424;flip:y;height:1025230;width:9525;" filled="f" stroked="t" coordsize="21600,21600" o:gfxdata="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iR+YdkAAAAJAQAADwAAAAAAAAABACAAAAAiAAAAZHJzL2Rvd25yZXYueG1sUEsB&#10;AhQAFAAAAAgAh07iQOn4OvktAgAAOgQAAA4AAAAAAAAAAQAgAAAAKAEAAGRycy9lMm9Eb2MueG1s&#10;UEsFBgAAAAAGAAYAWQEAAMcFAAAAAA==&#10;" adj="540000">
                        <v:fill on="f" focussize="0,0"/>
                        <v:stroke color="#000000" joinstyle="miter" endarrow="block"/>
                        <v:imagedata o:title=""/>
                        <o:lock v:ext="edit" aspectratio="f"/>
                      </v:shape>
                      <v:rect id="_x0000_s1026" o:spid="_x0000_s1026" o:spt="1" style="position:absolute;left:2901315;top:2007902;height:757171;width:489585;" filled="f" stroked="f" coordsize="21600,21600" o:gfxdata="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kb&#10;jf3aAAAACQEAAA8AAAAAAAAAAQAgAAAAIgAAAGRycy9kb3ducmV2LnhtbFBLAQIUABQAAAAIAIdO&#10;4kAkjwGNrwEAAE4DAAAOAAAAAAAAAAEAIAAAACkBAABkcnMvZTJvRG9jLnhtbFBLBQYAAAAABgAG&#10;AFkBAABKBQAAAAA=&#10;">
                        <v:fill on="f" focussize="0,0"/>
                        <v:stroke on="f"/>
                        <v:imagedata o:title=""/>
                        <o:lock v:ext="edit" aspectratio="f"/>
                        <v:textbox>
                          <w:txbxContent>
                            <w:p w14:paraId="6EA76F01">
                              <w:r>
                                <w:rPr>
                                  <w:rFonts w:hint="eastAsia"/>
                                  <w:szCs w:val="23"/>
                                </w:rPr>
                                <w:t>回流污泥</w:t>
                              </w:r>
                            </w:p>
                          </w:txbxContent>
                        </v:textbox>
                      </v:rect>
                      <v:rect id="_x0000_s1026" o:spid="_x0000_s1026" o:spt="1" style="position:absolute;left:1879600;top:2332494;height:300455;width:924560;" fillcolor="#FFFFFF" filled="t" stroked="t" coordsize="21600,21600" o:gfxdata="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0SXbLYAAAACQEAAA8AAAAAAAAAAQAg&#10;AAAAIgAAAGRycy9kb3ducmV2LnhtbFBLAQIUABQAAAAIAIdO4kBRuww2DgIAADYEAAAOAAAAAAAA&#10;AAEAIAAAACcBAABkcnMvZTJvRG9jLnhtbFBLBQYAAAAABgAGAFkBAACnBQAAAAA=&#10;">
                        <v:fill on="t" focussize="0,0"/>
                        <v:stroke color="#000000" joinstyle="miter"/>
                        <v:imagedata o:title=""/>
                        <o:lock v:ext="edit" aspectratio="f"/>
                        <v:textbox>
                          <w:txbxContent>
                            <w:p w14:paraId="575035F4">
                              <w:pPr>
                                <w:jc w:val="center"/>
                              </w:pPr>
                              <w:r>
                                <w:t>O</w:t>
                              </w:r>
                              <w:r>
                                <w:rPr>
                                  <w:rFonts w:hint="eastAsia"/>
                                </w:rPr>
                                <w:t>级生物池</w:t>
                              </w:r>
                            </w:p>
                          </w:txbxContent>
                        </v:textbox>
                      </v:rect>
                      <v:shape id="_x0000_s1026" o:spid="_x0000_s1026" o:spt="32" type="#_x0000_t32" style="position:absolute;left:2343785;top:2120334;height:215972;width:635;" filled="f" stroked="t" coordsize="21600,21600" o:gfxdata="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Cm+MtkAAAAJAQAADwAAAAAA&#10;AAABACAAAAAiAAAAZHJzL2Rvd25yZXYueG1sUEsBAhQAFAAAAAgAh07iQMOrE50SAgAA/wMAAA4A&#10;AAAAAAAAAQAgAAAAKAEAAGRycy9lMm9Eb2MueG1sUEsFBgAAAAAGAAYAWQEAAKwFAAAAAA==&#10;">
                        <v:fill on="f" focussize="0,0"/>
                        <v:stroke color="#000000" joinstyle="round" endarrow="block"/>
                        <v:imagedata o:title=""/>
                        <o:lock v:ext="edit" aspectratio="f"/>
                      </v:shape>
                      <v:shape id="_x0000_s1026" o:spid="_x0000_s1026" o:spt="32" type="#_x0000_t32" style="position:absolute;left:2343785;top:2632949;height:215972;width:635;" filled="f" stroked="t" coordsize="21600,21600" o:gfxdata="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QpvjLZAAAACQEAAA8AAAAA&#10;AAAAAQAgAAAAIgAAAGRycy9kb3ducmV2LnhtbFBLAQIUABQAAAAIAIdO4kBx1fzREwIAAP8DAAAO&#10;AAAAAAAAAAEAIAAAACgBAABkcnMvZTJvRG9jLnhtbFBLBQYAAAAABgAGAFkBAACtBQAAAAA=&#10;">
                        <v:fill on="f" focussize="0,0"/>
                        <v:stroke color="#000000" joinstyle="round" endarrow="block"/>
                        <v:imagedata o:title=""/>
                        <o:lock v:ext="edit" aspectratio="f"/>
                      </v:shape>
                      <v:rect id="_x0000_s1026" o:spid="_x0000_s1026" o:spt="1" style="position:absolute;left:1917700;top:2843204;height:300455;width:924560;" fillcolor="#FFFFFF" filled="t" stroked="t" coordsize="21600,21600" o:gfxdata="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RJdstgAAAAJAQAADwAAAAAAAAABACAA&#10;AAAiAAAAZHJzL2Rvd25yZXYueG1sUEsBAhQAFAAAAAgAh07iQD61AukNAgAANgQAAA4AAAAAAAAA&#10;AQAgAAAAJwEAAGRycy9lMm9Eb2MueG1sUEsFBgAAAAAGAAYAWQEAAKYFAAAAAA==&#10;">
                        <v:fill on="t" focussize="0,0"/>
                        <v:stroke color="#000000" joinstyle="miter"/>
                        <v:imagedata o:title=""/>
                        <o:lock v:ext="edit" aspectratio="f"/>
                        <v:textbox>
                          <w:txbxContent>
                            <w:p w14:paraId="2149E7DB">
                              <w:pPr>
                                <w:jc w:val="center"/>
                              </w:pPr>
                              <w:r>
                                <w:rPr>
                                  <w:rFonts w:hint="eastAsia"/>
                                </w:rPr>
                                <w:t>沉淀池</w:t>
                              </w:r>
                            </w:p>
                          </w:txbxContent>
                        </v:textbox>
                      </v:rect>
                      <v:rect id="_x0000_s1026" o:spid="_x0000_s1026" o:spt="1" style="position:absolute;left:1917700;top:3385674;height:300455;width:924560;" fillcolor="#FFFFFF" filled="t" stroked="t" coordsize="21600,21600" o:gfxdata="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RJdstgAAAAJAQAADwAAAAAAAAABACAA&#10;AAAiAAAAZHJzL2Rvd25yZXYueG1sUEsBAhQAFAAAAAgAh07iQGJgnnINAgAANgQAAA4AAAAAAAAA&#10;AQAgAAAAJwEAAGRycy9lMm9Eb2MueG1sUEsFBgAAAAAGAAYAWQEAAKYFAAAAAA==&#10;">
                        <v:fill on="t" focussize="0,0"/>
                        <v:stroke color="#000000" joinstyle="miter"/>
                        <v:imagedata o:title=""/>
                        <o:lock v:ext="edit" aspectratio="f"/>
                        <v:textbox>
                          <w:txbxContent>
                            <w:p w14:paraId="533F5348">
                              <w:pPr>
                                <w:jc w:val="center"/>
                              </w:pPr>
                              <w:r>
                                <w:rPr>
                                  <w:rFonts w:hint="eastAsia"/>
                                </w:rPr>
                                <w:t>清水池</w:t>
                              </w:r>
                            </w:p>
                          </w:txbxContent>
                        </v:textbox>
                      </v:rect>
                      <v:shape id="_x0000_s1026" o:spid="_x0000_s1026" o:spt="32" type="#_x0000_t32" style="position:absolute;left:2372360;top:3163985;height:215972;width:635;" filled="f" stroked="t" coordsize="21600,21600" o:gfxdata="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EKb4y2QAAAAkBAAAPAAAA&#10;AAAAAAEAIAAAACIAAABkcnMvZG93bnJldi54bWxQSwECFAAUAAAACACHTuJAAqrVvhQCAAD/AwAA&#10;DgAAAAAAAAABACAAAAAoAQAAZHJzL2Uyb0RvYy54bWxQSwUGAAAAAAYABgBZAQAArgUAAAAA&#10;">
                        <v:fill on="f" focussize="0,0"/>
                        <v:stroke color="#000000" joinstyle="round" endarrow="block"/>
                        <v:imagedata o:title=""/>
                        <o:lock v:ext="edit" aspectratio="f"/>
                      </v:shape>
                      <v:rect id="_x0000_s1026" o:spid="_x0000_s1026" o:spt="1" style="position:absolute;left:1755140;top:1700460;height:2105089;width:2889250;" filled="f" stroked="t" coordsize="21600,21600" o:gfxdata="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z5rj9cAAAAJAQAADwAAAAAAAAABACAAAAAiAAAAZHJzL2Rv&#10;d25yZXYueG1sUEsBAhQAFAAAAAgAh07iQOcvDGkCAgAABAQAAA4AAAAAAAAAAQAgAAAAJgEAAGRy&#10;cy9lMm9Eb2MueG1sUEsFBgAAAAAGAAYAWQEAAJoFAAAAAA==&#10;">
                        <v:fill on="f" focussize="0,0"/>
                        <v:stroke weight="1pt" color="#000000" joinstyle="miter" dashstyle="dash"/>
                        <v:imagedata o:title=""/>
                        <o:lock v:ext="edit" aspectratio="f"/>
                      </v:rect>
                      <v:shape id="_x0000_s1026" o:spid="_x0000_s1026" o:spt="48" type="#_x0000_t48" style="position:absolute;left:3936365;top:1314887;height:260436;width:792480;" filled="f" stroked="t" coordsize="21600,21600" o:gfxdata="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kNbe5dgAAAAJAQAADwAAAAAAAAABACAAAAAiAAAAZHJzL2Rvd25y&#10;ZXYueG1sUEsBAhQAFAAAAAgAh07iQHUxIg1wAgAABAUAAA4AAAAAAAAAAQAgAAAAJwEAAGRycy9l&#10;Mm9Eb2MueG1sUEsFBgAAAAAGAAYAWQEAAAkGAAAAAA==&#10;" adj="-7737,31820,-4881,9483,-2077,9483">
                        <v:fill on="f" focussize="0,0"/>
                        <v:stroke color="#000000" joinstyle="miter" dashstyle="1 1"/>
                        <v:imagedata o:title=""/>
                        <o:lock v:ext="edit" aspectratio="f"/>
                        <v:textbox>
                          <w:txbxContent>
                            <w:p w14:paraId="23C8937E">
                              <w:pPr>
                                <w:rPr>
                                  <w:sz w:val="18"/>
                                  <w:szCs w:val="18"/>
                                </w:rPr>
                              </w:pPr>
                              <w:r>
                                <w:rPr>
                                  <w:rFonts w:hint="eastAsia"/>
                                  <w:sz w:val="18"/>
                                  <w:szCs w:val="18"/>
                                </w:rPr>
                                <w:t>一体化设备</w:t>
                              </w:r>
                            </w:p>
                          </w:txbxContent>
                        </v:textbox>
                      </v:shape>
                      <v:rect id="_x0000_s1026" o:spid="_x0000_s1026" o:spt="1" style="position:absolute;left:3286125;top:2961988;height:295373;width:647700;" fillcolor="#FFFFFF" filled="t" stroked="t" coordsize="21600,21600" o:gfxdata="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0SXbLYAAAACQEAAA8AAAAAAAAAAQAgAAAA&#10;IgAAAGRycy9kb3ducmV2LnhtbFBLAQIUABQAAAAIAIdO4kBGTwmUCwIAADYEAAAOAAAAAAAAAAEA&#10;IAAAACcBAABkcnMvZTJvRG9jLnhtbFBLBQYAAAAABgAGAFkBAACkBQAAAAA=&#10;">
                        <v:fill on="t" focussize="0,0"/>
                        <v:stroke color="#000000" joinstyle="miter"/>
                        <v:imagedata o:title=""/>
                        <o:lock v:ext="edit" aspectratio="f"/>
                        <v:textbox>
                          <w:txbxContent>
                            <w:p w14:paraId="2D4EF637">
                              <w:pPr>
                                <w:rPr>
                                  <w:rFonts w:hint="default" w:eastAsia="宋体"/>
                                  <w:lang w:val="en-US" w:eastAsia="zh-CN"/>
                                </w:rPr>
                              </w:pPr>
                              <w:r>
                                <w:rPr>
                                  <w:rFonts w:hint="eastAsia"/>
                                  <w:lang w:val="en-US" w:eastAsia="zh-CN"/>
                                </w:rPr>
                                <w:t>污泥池</w:t>
                              </w:r>
                            </w:p>
                          </w:txbxContent>
                        </v:textbox>
                      </v:rect>
                      <v:rect id="_x0000_s1026" o:spid="_x0000_s1026" o:spt="1" style="position:absolute;left:2675255;top:3036943;height:244556;width:806450;" filled="f" stroked="f" coordsize="21600,21600" o:gfxdata="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kbjf3aAAAACQEAAA8AAAAAAAAAAQAgAAAAIgAAAGRycy9kb3ducmV2LnhtbFBLAQIUABQAAAAI&#10;AIdO4kCT9ozasgEAAE4DAAAOAAAAAAAAAAEAIAAAACkBAABkcnMvZTJvRG9jLnhtbFBLBQYAAAAA&#10;BgAGAFkBAABNBQAAAAA=&#10;">
                        <v:fill on="f" focussize="0,0"/>
                        <v:stroke on="f"/>
                        <v:imagedata o:title=""/>
                        <o:lock v:ext="edit" aspectratio="f"/>
                        <v:textbox>
                          <w:txbxContent>
                            <w:p w14:paraId="1AFC93B6">
                              <w:r>
                                <w:rPr>
                                  <w:rFonts w:hint="eastAsia"/>
                                  <w:szCs w:val="23"/>
                                  <w:lang w:val="en-US" w:eastAsia="zh-CN"/>
                                </w:rPr>
                                <w:t>剩余</w:t>
                              </w:r>
                              <w:r>
                                <w:rPr>
                                  <w:rFonts w:hint="eastAsia"/>
                                  <w:szCs w:val="23"/>
                                </w:rPr>
                                <w:t>污泥</w:t>
                              </w:r>
                            </w:p>
                          </w:txbxContent>
                        </v:textbox>
                      </v:rect>
                      <w10:wrap type="square"/>
                    </v:group>
                  </w:pict>
                </mc:Fallback>
              </mc:AlternateContent>
            </w:r>
            <w:r>
              <w:rPr>
                <w:rFonts w:hint="default"/>
                <w:sz w:val="24"/>
                <w:lang w:val="en-US"/>
              </w:rPr>
              <mc:AlternateContent>
                <mc:Choice Requires="wps">
                  <w:drawing>
                    <wp:anchor distT="0" distB="0" distL="114300" distR="114300" simplePos="0" relativeHeight="251660288" behindDoc="0" locked="0" layoutInCell="1" allowOverlap="1">
                      <wp:simplePos x="0" y="0"/>
                      <wp:positionH relativeFrom="column">
                        <wp:posOffset>2769870</wp:posOffset>
                      </wp:positionH>
                      <wp:positionV relativeFrom="paragraph">
                        <wp:posOffset>3110865</wp:posOffset>
                      </wp:positionV>
                      <wp:extent cx="409575" cy="635"/>
                      <wp:effectExtent l="0" t="48895" r="9525" b="64770"/>
                      <wp:wrapNone/>
                      <wp:docPr id="2" name="直接连接符 2"/>
                      <wp:cNvGraphicFramePr/>
                      <a:graphic xmlns:a="http://schemas.openxmlformats.org/drawingml/2006/main">
                        <a:graphicData uri="http://schemas.microsoft.com/office/word/2010/wordprocessingShape">
                          <wps:wsp>
                            <wps:cNvCnPr/>
                            <wps:spPr>
                              <a:xfrm>
                                <a:off x="0" y="0"/>
                                <a:ext cx="40957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18.1pt;margin-top:244.95pt;height:0.05pt;width:32.25pt;z-index:251660288;mso-width-relative:page;mso-height-relative:page;" filled="f" stroked="t" coordsize="21600,21600" o:gfxdata="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morfJ2wAAAAsBAAAPAAAAAAAAAAEAIAAAACIAAABkcnMvZG93bnJl&#10;di54bWxQSwECFAAUAAAACACHTuJAPsHt6/oBAADmAwAADgAAAAAAAAABACAAAAAqAQAAZHJzL2Uy&#10;b0RvYy54bWxQSwUGAAAAAAYABgBZAQAAlgUAAAAA&#10;">
                      <v:fill on="f" focussize="0,0"/>
                      <v:stroke color="#000000" joinstyle="round" endarrow="open"/>
                      <v:imagedata o:title=""/>
                      <o:lock v:ext="edit" aspectratio="f"/>
                    </v:line>
                  </w:pict>
                </mc:Fallback>
              </mc:AlternateContent>
            </w:r>
            <w:r>
              <w:rPr>
                <w:rFonts w:hint="eastAsia"/>
                <w:sz w:val="24"/>
                <w:szCs w:val="24"/>
                <w:lang w:val="en-US" w:eastAsia="zh-CN"/>
              </w:rPr>
              <w:t>2.2.2</w:t>
            </w:r>
            <w:r>
              <w:rPr>
                <w:rFonts w:hint="default" w:ascii="Times New Roman" w:hAnsi="Times New Roman" w:eastAsia="宋体" w:cs="Times New Roman"/>
                <w:color w:val="auto"/>
                <w:sz w:val="24"/>
                <w:szCs w:val="24"/>
                <w:u w:val="none" w:color="auto"/>
                <w:lang w:val="en-US" w:eastAsia="zh-CN"/>
              </w:rPr>
              <w:t>污水处理工艺是否为可行技术</w:t>
            </w:r>
          </w:p>
          <w:p w14:paraId="1FAAF1A6">
            <w:pPr>
              <w:adjustRightInd w:val="0"/>
              <w:spacing w:line="500" w:lineRule="exact"/>
              <w:ind w:firstLine="505"/>
              <w:textAlignment w:val="center"/>
              <w:rPr>
                <w:rFonts w:hint="default" w:ascii="Times New Roman" w:hAnsi="Times New Roman" w:cs="Times New Roman"/>
                <w:color w:val="auto"/>
                <w:kern w:val="0"/>
                <w:sz w:val="24"/>
                <w:szCs w:val="24"/>
                <w:u w:val="none" w:color="auto"/>
              </w:rPr>
            </w:pPr>
            <w:r>
              <w:rPr>
                <w:rFonts w:hint="default" w:ascii="Times New Roman" w:hAnsi="Times New Roman" w:eastAsia="宋体" w:cs="Times New Roman"/>
                <w:color w:val="auto"/>
                <w:sz w:val="24"/>
                <w:szCs w:val="24"/>
                <w:u w:val="none" w:color="auto"/>
                <w:lang w:val="en-US" w:eastAsia="zh-CN"/>
              </w:rPr>
              <w:t>参考《排污许可证申请与核发技术规范食品制造工业—调味品、发酵制品制造工业》（HJ 1030.2—2019）表</w:t>
            </w:r>
            <w:r>
              <w:rPr>
                <w:rFonts w:hint="eastAsia" w:cs="Times New Roman"/>
                <w:color w:val="auto"/>
                <w:sz w:val="24"/>
                <w:szCs w:val="24"/>
                <w:u w:val="none" w:color="auto"/>
                <w:lang w:val="en-US" w:eastAsia="zh-CN"/>
              </w:rPr>
              <w:t>2调味品行业</w:t>
            </w:r>
            <w:r>
              <w:rPr>
                <w:rFonts w:hint="eastAsia" w:ascii="Times New Roman" w:hAnsi="Times New Roman" w:eastAsia="宋体" w:cs="Times New Roman"/>
                <w:color w:val="auto"/>
                <w:sz w:val="24"/>
                <w:szCs w:val="24"/>
                <w:u w:val="none" w:color="auto"/>
                <w:lang w:val="en-US" w:eastAsia="zh-CN"/>
              </w:rPr>
              <w:t>排污单位废水治理可行技术</w:t>
            </w:r>
            <w:r>
              <w:rPr>
                <w:rFonts w:hint="default" w:ascii="Times New Roman" w:hAnsi="Times New Roman" w:eastAsia="宋体" w:cs="Times New Roman"/>
                <w:color w:val="auto"/>
                <w:sz w:val="24"/>
                <w:szCs w:val="24"/>
                <w:u w:val="none" w:color="auto"/>
                <w:lang w:val="en-US" w:eastAsia="zh-CN"/>
              </w:rPr>
              <w:t>，本项目污水处理站所用工艺为可行技术。</w:t>
            </w:r>
          </w:p>
          <w:p w14:paraId="07E85413">
            <w:pPr>
              <w:adjustRightInd w:val="0"/>
              <w:spacing w:line="500" w:lineRule="exact"/>
              <w:ind w:firstLine="505"/>
              <w:textAlignment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2.2.3</w:t>
            </w:r>
            <w:r>
              <w:rPr>
                <w:rFonts w:hint="default" w:ascii="Times New Roman" w:hAnsi="Times New Roman" w:eastAsia="宋体" w:cs="Times New Roman"/>
                <w:color w:val="auto"/>
                <w:sz w:val="24"/>
                <w:szCs w:val="24"/>
                <w:u w:val="none" w:color="auto"/>
                <w:lang w:val="en-US" w:eastAsia="zh-CN"/>
              </w:rPr>
              <w:t>污水处理站废水排放情况</w:t>
            </w:r>
          </w:p>
          <w:p w14:paraId="48847BC5">
            <w:pPr>
              <w:pStyle w:val="100"/>
              <w:snapToGrid w:val="0"/>
              <w:spacing w:line="240" w:lineRule="auto"/>
              <w:rPr>
                <w:lang w:val="en-US" w:eastAsia="zh-CN"/>
              </w:rPr>
            </w:pPr>
            <w:r>
              <w:rPr>
                <w:lang w:val="en-US" w:eastAsia="zh-CN"/>
              </w:rPr>
              <w:t>本项目运营期废水经厂区污水处理站处理后，产排污情况详见下表。</w:t>
            </w:r>
          </w:p>
          <w:p w14:paraId="2EFAF6BD">
            <w:pPr>
              <w:pStyle w:val="106"/>
              <w:keepNext w:val="0"/>
              <w:keepLines w:val="0"/>
              <w:pageBreakBefore w:val="0"/>
              <w:widowControl w:val="0"/>
              <w:numPr>
                <w:ilvl w:val="0"/>
                <w:numId w:val="0"/>
              </w:numPr>
              <w:kinsoku/>
              <w:wordWrap/>
              <w:overflowPunct/>
              <w:topLinePunct w:val="0"/>
              <w:autoSpaceDE/>
              <w:autoSpaceDN/>
              <w:bidi w:val="0"/>
              <w:adjustRightInd w:val="0"/>
              <w:snapToGrid w:val="0"/>
              <w:spacing w:beforeLines="0" w:line="240" w:lineRule="auto"/>
              <w:ind w:left="315" w:leftChars="150" w:firstLine="949" w:firstLineChars="450"/>
              <w:jc w:val="both"/>
              <w:textAlignment w:val="auto"/>
              <w:rPr>
                <w:rFonts w:ascii="Times New Roman" w:hAnsi="Times New Roman" w:eastAsia="宋体"/>
                <w:b/>
                <w:sz w:val="21"/>
                <w:szCs w:val="21"/>
                <w:lang w:eastAsia="zh-CN"/>
              </w:rPr>
            </w:pPr>
            <w:r>
              <w:rPr>
                <w:rFonts w:hint="eastAsia" w:ascii="Times New Roman" w:hAnsi="Times New Roman" w:eastAsia="宋体"/>
                <w:b/>
                <w:sz w:val="21"/>
                <w:szCs w:val="21"/>
                <w:lang w:eastAsia="zh-CN"/>
              </w:rPr>
              <w:t xml:space="preserve">     </w:t>
            </w:r>
            <w:r>
              <w:rPr>
                <w:rStyle w:val="265"/>
                <w:rFonts w:hint="eastAsia"/>
                <w:lang w:eastAsia="zh-CN"/>
              </w:rPr>
              <w:t xml:space="preserve"> </w:t>
            </w:r>
            <w:r>
              <w:rPr>
                <w:rStyle w:val="265"/>
                <w:rFonts w:hint="eastAsia"/>
                <w:lang w:val="en-US" w:eastAsia="zh-CN"/>
              </w:rPr>
              <w:t xml:space="preserve">  表30         生产废水产排情况一览表</w:t>
            </w:r>
          </w:p>
          <w:tbl>
            <w:tblPr>
              <w:tblStyle w:val="47"/>
              <w:tblW w:w="849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2042"/>
              <w:gridCol w:w="794"/>
              <w:gridCol w:w="794"/>
              <w:gridCol w:w="794"/>
              <w:gridCol w:w="809"/>
              <w:gridCol w:w="689"/>
              <w:gridCol w:w="689"/>
              <w:gridCol w:w="496"/>
            </w:tblGrid>
            <w:tr w14:paraId="6A9EB6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33" w:type="dxa"/>
                  <w:gridSpan w:val="2"/>
                  <w:noWrap w:val="0"/>
                  <w:vAlign w:val="center"/>
                </w:tcPr>
                <w:p w14:paraId="50EDF871">
                  <w:pPr>
                    <w:autoSpaceDE w:val="0"/>
                    <w:autoSpaceDN w:val="0"/>
                    <w:adjustRightInd w:val="0"/>
                    <w:snapToGrid w:val="0"/>
                    <w:jc w:val="center"/>
                    <w:rPr>
                      <w:color w:val="000000"/>
                      <w:szCs w:val="21"/>
                    </w:rPr>
                  </w:pPr>
                  <w:r>
                    <w:rPr>
                      <w:color w:val="000000"/>
                      <w:szCs w:val="21"/>
                    </w:rPr>
                    <w:t>项目</w:t>
                  </w:r>
                </w:p>
              </w:tc>
              <w:tc>
                <w:tcPr>
                  <w:tcW w:w="794" w:type="dxa"/>
                  <w:noWrap w:val="0"/>
                  <w:vAlign w:val="center"/>
                </w:tcPr>
                <w:p w14:paraId="112C71C9">
                  <w:pPr>
                    <w:autoSpaceDE w:val="0"/>
                    <w:autoSpaceDN w:val="0"/>
                    <w:adjustRightInd w:val="0"/>
                    <w:snapToGrid w:val="0"/>
                    <w:jc w:val="center"/>
                    <w:rPr>
                      <w:color w:val="000000"/>
                      <w:szCs w:val="21"/>
                    </w:rPr>
                  </w:pPr>
                  <w:r>
                    <w:rPr>
                      <w:color w:val="000000"/>
                      <w:szCs w:val="21"/>
                    </w:rPr>
                    <w:t>COD</w:t>
                  </w:r>
                </w:p>
              </w:tc>
              <w:tc>
                <w:tcPr>
                  <w:tcW w:w="794" w:type="dxa"/>
                  <w:noWrap w:val="0"/>
                  <w:vAlign w:val="center"/>
                </w:tcPr>
                <w:p w14:paraId="257E667B">
                  <w:pPr>
                    <w:autoSpaceDE w:val="0"/>
                    <w:autoSpaceDN w:val="0"/>
                    <w:adjustRightInd w:val="0"/>
                    <w:snapToGrid w:val="0"/>
                    <w:jc w:val="center"/>
                    <w:rPr>
                      <w:color w:val="000000"/>
                      <w:szCs w:val="21"/>
                    </w:rPr>
                  </w:pPr>
                  <w:r>
                    <w:rPr>
                      <w:color w:val="000000"/>
                      <w:szCs w:val="21"/>
                    </w:rPr>
                    <w:t>BOD</w:t>
                  </w:r>
                  <w:r>
                    <w:rPr>
                      <w:color w:val="000000"/>
                      <w:szCs w:val="21"/>
                      <w:vertAlign w:val="subscript"/>
                    </w:rPr>
                    <w:t>5</w:t>
                  </w:r>
                </w:p>
              </w:tc>
              <w:tc>
                <w:tcPr>
                  <w:tcW w:w="794" w:type="dxa"/>
                  <w:noWrap w:val="0"/>
                  <w:vAlign w:val="center"/>
                </w:tcPr>
                <w:p w14:paraId="4881E23D">
                  <w:pPr>
                    <w:autoSpaceDE w:val="0"/>
                    <w:autoSpaceDN w:val="0"/>
                    <w:adjustRightInd w:val="0"/>
                    <w:snapToGrid w:val="0"/>
                    <w:jc w:val="center"/>
                    <w:rPr>
                      <w:color w:val="000000"/>
                      <w:szCs w:val="21"/>
                    </w:rPr>
                  </w:pPr>
                  <w:r>
                    <w:rPr>
                      <w:color w:val="000000"/>
                      <w:szCs w:val="21"/>
                    </w:rPr>
                    <w:t>SS</w:t>
                  </w:r>
                </w:p>
              </w:tc>
              <w:tc>
                <w:tcPr>
                  <w:tcW w:w="809" w:type="dxa"/>
                  <w:noWrap w:val="0"/>
                  <w:vAlign w:val="center"/>
                </w:tcPr>
                <w:p w14:paraId="4D3E2BBE">
                  <w:pPr>
                    <w:autoSpaceDE w:val="0"/>
                    <w:autoSpaceDN w:val="0"/>
                    <w:adjustRightInd w:val="0"/>
                    <w:snapToGrid w:val="0"/>
                    <w:jc w:val="center"/>
                    <w:rPr>
                      <w:color w:val="000000"/>
                      <w:szCs w:val="21"/>
                    </w:rPr>
                  </w:pPr>
                  <w:r>
                    <w:rPr>
                      <w:color w:val="000000"/>
                      <w:szCs w:val="21"/>
                    </w:rPr>
                    <w:t>NH</w:t>
                  </w:r>
                  <w:r>
                    <w:rPr>
                      <w:color w:val="000000"/>
                      <w:szCs w:val="21"/>
                      <w:vertAlign w:val="subscript"/>
                    </w:rPr>
                    <w:t>3</w:t>
                  </w:r>
                  <w:r>
                    <w:rPr>
                      <w:color w:val="000000"/>
                      <w:szCs w:val="21"/>
                    </w:rPr>
                    <w:t>-N</w:t>
                  </w:r>
                </w:p>
              </w:tc>
              <w:tc>
                <w:tcPr>
                  <w:tcW w:w="689" w:type="dxa"/>
                  <w:noWrap w:val="0"/>
                  <w:vAlign w:val="center"/>
                </w:tcPr>
                <w:p w14:paraId="732F26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color w:val="000000"/>
                      <w:szCs w:val="21"/>
                    </w:rPr>
                  </w:pPr>
                  <w:r>
                    <w:rPr>
                      <w:rFonts w:hint="eastAsia" w:cs="Times New Roman"/>
                      <w:b w:val="0"/>
                      <w:bCs w:val="0"/>
                      <w:color w:val="auto"/>
                      <w:sz w:val="21"/>
                      <w:szCs w:val="21"/>
                      <w:highlight w:val="none"/>
                      <w:u w:val="none" w:color="auto"/>
                      <w:vertAlign w:val="baseline"/>
                      <w:lang w:val="en-US" w:eastAsia="zh-CN"/>
                    </w:rPr>
                    <w:t>TN</w:t>
                  </w:r>
                </w:p>
              </w:tc>
              <w:tc>
                <w:tcPr>
                  <w:tcW w:w="689" w:type="dxa"/>
                  <w:noWrap w:val="0"/>
                  <w:vAlign w:val="center"/>
                </w:tcPr>
                <w:p w14:paraId="6E9E69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center"/>
                    <w:rPr>
                      <w:color w:val="000000"/>
                      <w:szCs w:val="21"/>
                    </w:rPr>
                  </w:pPr>
                  <w:r>
                    <w:rPr>
                      <w:rFonts w:hint="eastAsia" w:cs="Times New Roman"/>
                      <w:b w:val="0"/>
                      <w:bCs w:val="0"/>
                      <w:color w:val="auto"/>
                      <w:sz w:val="21"/>
                      <w:szCs w:val="21"/>
                      <w:highlight w:val="none"/>
                      <w:u w:val="none" w:color="auto"/>
                      <w:vertAlign w:val="baseline"/>
                      <w:lang w:val="en-US" w:eastAsia="zh-CN"/>
                    </w:rPr>
                    <w:t>TP</w:t>
                  </w:r>
                </w:p>
              </w:tc>
              <w:tc>
                <w:tcPr>
                  <w:tcW w:w="496" w:type="dxa"/>
                  <w:noWrap w:val="0"/>
                  <w:vAlign w:val="center"/>
                </w:tcPr>
                <w:p w14:paraId="62AF4DA5">
                  <w:pPr>
                    <w:autoSpaceDE w:val="0"/>
                    <w:autoSpaceDN w:val="0"/>
                    <w:adjustRightInd w:val="0"/>
                    <w:snapToGrid w:val="0"/>
                    <w:jc w:val="center"/>
                    <w:rPr>
                      <w:rFonts w:hint="default" w:eastAsia="宋体"/>
                      <w:color w:val="000000"/>
                      <w:szCs w:val="21"/>
                      <w:lang w:val="en-US" w:eastAsia="zh-CN"/>
                    </w:rPr>
                  </w:pPr>
                  <w:r>
                    <w:rPr>
                      <w:rFonts w:hint="eastAsia"/>
                      <w:color w:val="000000"/>
                      <w:szCs w:val="21"/>
                      <w:lang w:val="en-US" w:eastAsia="zh-CN"/>
                    </w:rPr>
                    <w:t>pH</w:t>
                  </w:r>
                </w:p>
              </w:tc>
            </w:tr>
            <w:tr w14:paraId="209E5B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1" w:type="dxa"/>
                  <w:vMerge w:val="restart"/>
                  <w:tcBorders>
                    <w:right w:val="single" w:color="auto" w:sz="4" w:space="0"/>
                  </w:tcBorders>
                  <w:noWrap w:val="0"/>
                  <w:vAlign w:val="center"/>
                </w:tcPr>
                <w:p w14:paraId="5C80C542">
                  <w:pPr>
                    <w:autoSpaceDE w:val="0"/>
                    <w:autoSpaceDN w:val="0"/>
                    <w:adjustRightInd w:val="0"/>
                    <w:snapToGrid w:val="0"/>
                    <w:jc w:val="center"/>
                    <w:rPr>
                      <w:color w:val="000000"/>
                      <w:szCs w:val="21"/>
                    </w:rPr>
                  </w:pPr>
                  <w:r>
                    <w:rPr>
                      <w:color w:val="000000"/>
                      <w:szCs w:val="21"/>
                    </w:rPr>
                    <w:t>生活污水</w:t>
                  </w:r>
                </w:p>
                <w:p w14:paraId="397D8633">
                  <w:pPr>
                    <w:pStyle w:val="104"/>
                    <w:rPr>
                      <w:rFonts w:hAnsi="Times New Roman"/>
                    </w:rPr>
                  </w:pPr>
                  <w:r>
                    <w:rPr>
                      <w:rFonts w:hint="eastAsia" w:hAnsi="Times New Roman"/>
                      <w:color w:val="000000"/>
                      <w:lang w:val="en-US" w:eastAsia="zh-CN"/>
                    </w:rPr>
                    <w:t>144t</w:t>
                  </w:r>
                  <w:r>
                    <w:rPr>
                      <w:rFonts w:hAnsi="Times New Roman"/>
                      <w:color w:val="000000"/>
                    </w:rPr>
                    <w:t>/a</w:t>
                  </w:r>
                </w:p>
              </w:tc>
              <w:tc>
                <w:tcPr>
                  <w:tcW w:w="2042" w:type="dxa"/>
                  <w:tcBorders>
                    <w:left w:val="single" w:color="auto" w:sz="4" w:space="0"/>
                  </w:tcBorders>
                  <w:noWrap w:val="0"/>
                  <w:vAlign w:val="center"/>
                </w:tcPr>
                <w:p w14:paraId="63B84EBC">
                  <w:pPr>
                    <w:autoSpaceDE w:val="0"/>
                    <w:autoSpaceDN w:val="0"/>
                    <w:adjustRightInd w:val="0"/>
                    <w:snapToGrid w:val="0"/>
                    <w:jc w:val="center"/>
                    <w:rPr>
                      <w:color w:val="000000"/>
                      <w:szCs w:val="21"/>
                    </w:rPr>
                  </w:pPr>
                  <w:r>
                    <w:rPr>
                      <w:color w:val="000000"/>
                      <w:szCs w:val="21"/>
                    </w:rPr>
                    <w:t>产生浓度（mg/L）</w:t>
                  </w:r>
                </w:p>
              </w:tc>
              <w:tc>
                <w:tcPr>
                  <w:tcW w:w="794" w:type="dxa"/>
                  <w:noWrap w:val="0"/>
                  <w:vAlign w:val="center"/>
                </w:tcPr>
                <w:p w14:paraId="6845DCC5">
                  <w:pPr>
                    <w:pStyle w:val="104"/>
                    <w:rPr>
                      <w:rFonts w:hint="default" w:hAnsi="Times New Roman" w:eastAsia="宋体"/>
                      <w:lang w:val="en-US" w:eastAsia="zh-CN"/>
                    </w:rPr>
                  </w:pPr>
                  <w:r>
                    <w:rPr>
                      <w:rFonts w:hint="eastAsia" w:hAnsi="Times New Roman"/>
                      <w:lang w:val="en-US" w:eastAsia="zh-CN"/>
                    </w:rPr>
                    <w:t>350</w:t>
                  </w:r>
                </w:p>
              </w:tc>
              <w:tc>
                <w:tcPr>
                  <w:tcW w:w="794" w:type="dxa"/>
                  <w:noWrap w:val="0"/>
                  <w:vAlign w:val="center"/>
                </w:tcPr>
                <w:p w14:paraId="131FF000">
                  <w:pPr>
                    <w:pStyle w:val="104"/>
                    <w:rPr>
                      <w:rFonts w:hint="default" w:hAnsi="Times New Roman" w:eastAsia="宋体"/>
                      <w:lang w:val="en-US" w:eastAsia="zh-CN"/>
                    </w:rPr>
                  </w:pPr>
                  <w:r>
                    <w:rPr>
                      <w:rFonts w:hint="eastAsia" w:hAnsi="Times New Roman"/>
                      <w:lang w:val="en-US" w:eastAsia="zh-CN"/>
                    </w:rPr>
                    <w:t>170</w:t>
                  </w:r>
                </w:p>
              </w:tc>
              <w:tc>
                <w:tcPr>
                  <w:tcW w:w="794" w:type="dxa"/>
                  <w:noWrap w:val="0"/>
                  <w:vAlign w:val="center"/>
                </w:tcPr>
                <w:p w14:paraId="029575E9">
                  <w:pPr>
                    <w:pStyle w:val="104"/>
                    <w:rPr>
                      <w:rFonts w:hint="default" w:hAnsi="Times New Roman" w:eastAsia="宋体"/>
                      <w:lang w:val="en-US" w:eastAsia="zh-CN"/>
                    </w:rPr>
                  </w:pPr>
                  <w:r>
                    <w:rPr>
                      <w:rFonts w:hint="eastAsia" w:hAnsi="Times New Roman"/>
                      <w:lang w:val="en-US" w:eastAsia="zh-CN"/>
                    </w:rPr>
                    <w:t>200</w:t>
                  </w:r>
                </w:p>
              </w:tc>
              <w:tc>
                <w:tcPr>
                  <w:tcW w:w="809" w:type="dxa"/>
                  <w:noWrap w:val="0"/>
                  <w:vAlign w:val="center"/>
                </w:tcPr>
                <w:p w14:paraId="27DAFC13">
                  <w:pPr>
                    <w:pStyle w:val="104"/>
                    <w:rPr>
                      <w:rFonts w:hint="default" w:hAnsi="Times New Roman" w:eastAsia="宋体"/>
                      <w:lang w:val="en-US" w:eastAsia="zh-CN"/>
                    </w:rPr>
                  </w:pPr>
                  <w:r>
                    <w:rPr>
                      <w:rFonts w:hint="eastAsia" w:hAnsi="Times New Roman"/>
                      <w:lang w:val="en-US" w:eastAsia="zh-CN"/>
                    </w:rPr>
                    <w:t>25</w:t>
                  </w:r>
                </w:p>
              </w:tc>
              <w:tc>
                <w:tcPr>
                  <w:tcW w:w="689" w:type="dxa"/>
                  <w:noWrap w:val="0"/>
                  <w:vAlign w:val="center"/>
                </w:tcPr>
                <w:p w14:paraId="2EC9751E">
                  <w:pPr>
                    <w:pStyle w:val="104"/>
                    <w:rPr>
                      <w:rFonts w:hint="default" w:hAnsi="Times New Roman"/>
                      <w:lang w:val="en-US" w:eastAsia="zh-CN"/>
                    </w:rPr>
                  </w:pPr>
                  <w:r>
                    <w:rPr>
                      <w:rFonts w:hint="eastAsia" w:hAnsi="Times New Roman"/>
                      <w:lang w:val="en-US" w:eastAsia="zh-CN"/>
                    </w:rPr>
                    <w:t>/</w:t>
                  </w:r>
                </w:p>
              </w:tc>
              <w:tc>
                <w:tcPr>
                  <w:tcW w:w="689" w:type="dxa"/>
                  <w:noWrap w:val="0"/>
                  <w:vAlign w:val="center"/>
                </w:tcPr>
                <w:p w14:paraId="1B9AFFAF">
                  <w:pPr>
                    <w:pStyle w:val="104"/>
                    <w:rPr>
                      <w:rFonts w:hint="default" w:hAnsi="Times New Roman"/>
                      <w:lang w:val="en-US" w:eastAsia="zh-CN"/>
                    </w:rPr>
                  </w:pPr>
                  <w:r>
                    <w:rPr>
                      <w:rFonts w:hint="eastAsia" w:hAnsi="Times New Roman"/>
                      <w:lang w:val="en-US" w:eastAsia="zh-CN"/>
                    </w:rPr>
                    <w:t>6</w:t>
                  </w:r>
                </w:p>
              </w:tc>
              <w:tc>
                <w:tcPr>
                  <w:tcW w:w="496" w:type="dxa"/>
                  <w:noWrap w:val="0"/>
                  <w:vAlign w:val="center"/>
                </w:tcPr>
                <w:p w14:paraId="484161DF">
                  <w:pPr>
                    <w:pStyle w:val="104"/>
                    <w:rPr>
                      <w:rFonts w:hint="default" w:hAnsi="Times New Roman" w:eastAsia="宋体"/>
                      <w:lang w:val="en-US" w:eastAsia="zh-CN"/>
                    </w:rPr>
                  </w:pPr>
                  <w:r>
                    <w:rPr>
                      <w:rFonts w:hint="eastAsia" w:hAnsi="Times New Roman"/>
                      <w:lang w:val="en-US" w:eastAsia="zh-CN"/>
                    </w:rPr>
                    <w:t>6-9</w:t>
                  </w:r>
                </w:p>
              </w:tc>
            </w:tr>
            <w:tr w14:paraId="432B59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1" w:type="dxa"/>
                  <w:vMerge w:val="continue"/>
                  <w:tcBorders>
                    <w:right w:val="single" w:color="auto" w:sz="4" w:space="0"/>
                  </w:tcBorders>
                  <w:noWrap w:val="0"/>
                  <w:vAlign w:val="center"/>
                </w:tcPr>
                <w:p w14:paraId="143F7A46">
                  <w:pPr>
                    <w:pStyle w:val="104"/>
                    <w:rPr>
                      <w:rFonts w:hint="eastAsia" w:hAnsi="Times New Roman"/>
                      <w:color w:val="000000"/>
                      <w:lang w:val="en-US" w:eastAsia="zh-CN"/>
                    </w:rPr>
                  </w:pPr>
                </w:p>
              </w:tc>
              <w:tc>
                <w:tcPr>
                  <w:tcW w:w="2042" w:type="dxa"/>
                  <w:tcBorders>
                    <w:left w:val="single" w:color="auto" w:sz="4" w:space="0"/>
                  </w:tcBorders>
                  <w:noWrap w:val="0"/>
                  <w:vAlign w:val="center"/>
                </w:tcPr>
                <w:p w14:paraId="5B55E9C2">
                  <w:pPr>
                    <w:autoSpaceDE w:val="0"/>
                    <w:autoSpaceDN w:val="0"/>
                    <w:adjustRightInd w:val="0"/>
                    <w:snapToGrid w:val="0"/>
                    <w:jc w:val="center"/>
                    <w:rPr>
                      <w:rFonts w:hint="default" w:eastAsia="宋体"/>
                      <w:color w:val="000000"/>
                      <w:szCs w:val="21"/>
                      <w:lang w:val="en-US" w:eastAsia="zh-CN"/>
                    </w:rPr>
                  </w:pPr>
                  <w:r>
                    <w:rPr>
                      <w:rFonts w:hint="eastAsia"/>
                      <w:color w:val="000000"/>
                      <w:szCs w:val="21"/>
                      <w:lang w:val="en-US" w:eastAsia="zh-CN"/>
                    </w:rPr>
                    <w:t>产生量（t/a）</w:t>
                  </w:r>
                </w:p>
              </w:tc>
              <w:tc>
                <w:tcPr>
                  <w:tcW w:w="794" w:type="dxa"/>
                  <w:noWrap w:val="0"/>
                  <w:vAlign w:val="center"/>
                </w:tcPr>
                <w:p w14:paraId="4A875ED9">
                  <w:pPr>
                    <w:pStyle w:val="104"/>
                    <w:rPr>
                      <w:rFonts w:hint="default" w:hAnsi="Times New Roman"/>
                      <w:lang w:val="en-US" w:eastAsia="zh-CN"/>
                    </w:rPr>
                  </w:pPr>
                  <w:r>
                    <w:rPr>
                      <w:rFonts w:hint="eastAsia" w:hAnsi="Times New Roman"/>
                      <w:lang w:val="en-US" w:eastAsia="zh-CN"/>
                    </w:rPr>
                    <w:t>0.0504</w:t>
                  </w:r>
                </w:p>
              </w:tc>
              <w:tc>
                <w:tcPr>
                  <w:tcW w:w="794" w:type="dxa"/>
                  <w:noWrap w:val="0"/>
                  <w:vAlign w:val="center"/>
                </w:tcPr>
                <w:p w14:paraId="0EEA184A">
                  <w:pPr>
                    <w:pStyle w:val="104"/>
                    <w:rPr>
                      <w:rFonts w:hint="default" w:hAnsi="Times New Roman"/>
                      <w:lang w:val="en-US" w:eastAsia="zh-CN"/>
                    </w:rPr>
                  </w:pPr>
                  <w:r>
                    <w:rPr>
                      <w:rFonts w:hint="eastAsia" w:hAnsi="Times New Roman"/>
                      <w:lang w:val="en-US" w:eastAsia="zh-CN"/>
                    </w:rPr>
                    <w:t>0.0245</w:t>
                  </w:r>
                </w:p>
              </w:tc>
              <w:tc>
                <w:tcPr>
                  <w:tcW w:w="794" w:type="dxa"/>
                  <w:noWrap w:val="0"/>
                  <w:vAlign w:val="center"/>
                </w:tcPr>
                <w:p w14:paraId="688A4CD3">
                  <w:pPr>
                    <w:pStyle w:val="104"/>
                    <w:rPr>
                      <w:rFonts w:hint="default" w:hAnsi="Times New Roman"/>
                      <w:lang w:val="en-US" w:eastAsia="zh-CN"/>
                    </w:rPr>
                  </w:pPr>
                  <w:r>
                    <w:rPr>
                      <w:rFonts w:hint="eastAsia" w:hAnsi="Times New Roman"/>
                      <w:lang w:val="en-US" w:eastAsia="zh-CN"/>
                    </w:rPr>
                    <w:t>0.0288</w:t>
                  </w:r>
                </w:p>
              </w:tc>
              <w:tc>
                <w:tcPr>
                  <w:tcW w:w="809" w:type="dxa"/>
                  <w:noWrap w:val="0"/>
                  <w:vAlign w:val="center"/>
                </w:tcPr>
                <w:p w14:paraId="5671053E">
                  <w:pPr>
                    <w:pStyle w:val="104"/>
                    <w:rPr>
                      <w:rFonts w:hint="default" w:hAnsi="Times New Roman"/>
                      <w:lang w:val="en-US" w:eastAsia="zh-CN"/>
                    </w:rPr>
                  </w:pPr>
                  <w:r>
                    <w:rPr>
                      <w:rFonts w:hint="eastAsia" w:hAnsi="Times New Roman"/>
                      <w:lang w:val="en-US" w:eastAsia="zh-CN"/>
                    </w:rPr>
                    <w:t>0.0036</w:t>
                  </w:r>
                </w:p>
              </w:tc>
              <w:tc>
                <w:tcPr>
                  <w:tcW w:w="689" w:type="dxa"/>
                  <w:noWrap w:val="0"/>
                  <w:vAlign w:val="center"/>
                </w:tcPr>
                <w:p w14:paraId="1455FE42">
                  <w:pPr>
                    <w:pStyle w:val="104"/>
                    <w:rPr>
                      <w:rFonts w:hint="default" w:hAnsi="Times New Roman"/>
                      <w:lang w:val="en-US" w:eastAsia="zh-CN"/>
                    </w:rPr>
                  </w:pPr>
                  <w:r>
                    <w:rPr>
                      <w:rFonts w:hint="eastAsia" w:hAnsi="Times New Roman"/>
                      <w:lang w:val="en-US" w:eastAsia="zh-CN"/>
                    </w:rPr>
                    <w:t>/</w:t>
                  </w:r>
                </w:p>
              </w:tc>
              <w:tc>
                <w:tcPr>
                  <w:tcW w:w="689" w:type="dxa"/>
                  <w:noWrap w:val="0"/>
                  <w:vAlign w:val="center"/>
                </w:tcPr>
                <w:p w14:paraId="51AEC636">
                  <w:pPr>
                    <w:pStyle w:val="104"/>
                    <w:rPr>
                      <w:rFonts w:hint="default" w:hAnsi="Times New Roman"/>
                      <w:lang w:val="en-US" w:eastAsia="zh-CN"/>
                    </w:rPr>
                  </w:pPr>
                  <w:r>
                    <w:rPr>
                      <w:rFonts w:hint="eastAsia" w:hAnsi="Times New Roman"/>
                      <w:lang w:val="en-US" w:eastAsia="zh-CN"/>
                    </w:rPr>
                    <w:t>0.0008</w:t>
                  </w:r>
                </w:p>
              </w:tc>
              <w:tc>
                <w:tcPr>
                  <w:tcW w:w="496" w:type="dxa"/>
                  <w:noWrap w:val="0"/>
                  <w:vAlign w:val="center"/>
                </w:tcPr>
                <w:p w14:paraId="5D7A2EFE">
                  <w:pPr>
                    <w:pStyle w:val="104"/>
                    <w:rPr>
                      <w:rFonts w:hint="default" w:hAnsi="Times New Roman"/>
                      <w:lang w:val="en-US" w:eastAsia="zh-CN"/>
                    </w:rPr>
                  </w:pPr>
                  <w:r>
                    <w:rPr>
                      <w:rFonts w:hint="eastAsia" w:hAnsi="Times New Roman"/>
                      <w:lang w:val="en-US" w:eastAsia="zh-CN"/>
                    </w:rPr>
                    <w:t>/</w:t>
                  </w:r>
                </w:p>
              </w:tc>
            </w:tr>
            <w:tr w14:paraId="012B7D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1" w:type="dxa"/>
                  <w:vMerge w:val="continue"/>
                  <w:tcBorders>
                    <w:right w:val="single" w:color="auto" w:sz="4" w:space="0"/>
                  </w:tcBorders>
                  <w:noWrap w:val="0"/>
                  <w:vAlign w:val="center"/>
                </w:tcPr>
                <w:p w14:paraId="12F86F0E">
                  <w:pPr>
                    <w:autoSpaceDE w:val="0"/>
                    <w:autoSpaceDN w:val="0"/>
                    <w:adjustRightInd w:val="0"/>
                    <w:snapToGrid w:val="0"/>
                    <w:jc w:val="center"/>
                    <w:rPr>
                      <w:color w:val="000000"/>
                      <w:szCs w:val="21"/>
                    </w:rPr>
                  </w:pPr>
                </w:p>
              </w:tc>
              <w:tc>
                <w:tcPr>
                  <w:tcW w:w="2042" w:type="dxa"/>
                  <w:tcBorders>
                    <w:left w:val="single" w:color="auto" w:sz="4" w:space="0"/>
                  </w:tcBorders>
                  <w:noWrap w:val="0"/>
                  <w:vAlign w:val="center"/>
                </w:tcPr>
                <w:p w14:paraId="5AFB6371">
                  <w:pPr>
                    <w:autoSpaceDE w:val="0"/>
                    <w:autoSpaceDN w:val="0"/>
                    <w:adjustRightInd w:val="0"/>
                    <w:snapToGrid w:val="0"/>
                    <w:jc w:val="center"/>
                    <w:rPr>
                      <w:color w:val="000000"/>
                      <w:szCs w:val="21"/>
                    </w:rPr>
                  </w:pPr>
                  <w:r>
                    <w:rPr>
                      <w:color w:val="000000"/>
                      <w:szCs w:val="21"/>
                    </w:rPr>
                    <w:t>排放浓度（mg/L）</w:t>
                  </w:r>
                </w:p>
              </w:tc>
              <w:tc>
                <w:tcPr>
                  <w:tcW w:w="794" w:type="dxa"/>
                  <w:noWrap w:val="0"/>
                  <w:vAlign w:val="center"/>
                </w:tcPr>
                <w:p w14:paraId="15CBC4C4">
                  <w:pPr>
                    <w:pStyle w:val="104"/>
                    <w:rPr>
                      <w:rFonts w:hint="default" w:hAnsi="Times New Roman" w:eastAsia="宋体"/>
                      <w:lang w:val="en-US" w:eastAsia="zh-CN"/>
                    </w:rPr>
                  </w:pPr>
                  <w:r>
                    <w:rPr>
                      <w:rFonts w:hint="eastAsia" w:hAnsi="Times New Roman"/>
                      <w:lang w:val="en-US" w:eastAsia="zh-CN"/>
                    </w:rPr>
                    <w:t>297.5</w:t>
                  </w:r>
                </w:p>
              </w:tc>
              <w:tc>
                <w:tcPr>
                  <w:tcW w:w="794" w:type="dxa"/>
                  <w:noWrap w:val="0"/>
                  <w:vAlign w:val="center"/>
                </w:tcPr>
                <w:p w14:paraId="2984FB5C">
                  <w:pPr>
                    <w:pStyle w:val="104"/>
                    <w:rPr>
                      <w:rFonts w:hint="default" w:hAnsi="Times New Roman" w:eastAsia="宋体"/>
                      <w:lang w:val="en-US" w:eastAsia="zh-CN"/>
                    </w:rPr>
                  </w:pPr>
                  <w:r>
                    <w:rPr>
                      <w:rFonts w:hint="eastAsia" w:hAnsi="Times New Roman"/>
                      <w:lang w:val="en-US" w:eastAsia="zh-CN"/>
                    </w:rPr>
                    <w:t>136</w:t>
                  </w:r>
                </w:p>
              </w:tc>
              <w:tc>
                <w:tcPr>
                  <w:tcW w:w="794" w:type="dxa"/>
                  <w:noWrap w:val="0"/>
                  <w:vAlign w:val="center"/>
                </w:tcPr>
                <w:p w14:paraId="40E8D6CB">
                  <w:pPr>
                    <w:pStyle w:val="104"/>
                    <w:rPr>
                      <w:rFonts w:hint="default" w:hAnsi="Times New Roman" w:eastAsia="宋体"/>
                      <w:lang w:val="en-US" w:eastAsia="zh-CN"/>
                    </w:rPr>
                  </w:pPr>
                  <w:r>
                    <w:rPr>
                      <w:rFonts w:hint="eastAsia" w:hAnsi="Times New Roman"/>
                      <w:lang w:val="en-US" w:eastAsia="zh-CN"/>
                    </w:rPr>
                    <w:t>140</w:t>
                  </w:r>
                </w:p>
              </w:tc>
              <w:tc>
                <w:tcPr>
                  <w:tcW w:w="809" w:type="dxa"/>
                  <w:noWrap w:val="0"/>
                  <w:vAlign w:val="center"/>
                </w:tcPr>
                <w:p w14:paraId="23B68A72">
                  <w:pPr>
                    <w:pStyle w:val="104"/>
                    <w:rPr>
                      <w:rFonts w:hint="default" w:hAnsi="Times New Roman" w:eastAsia="宋体"/>
                      <w:lang w:val="en-US" w:eastAsia="zh-CN"/>
                    </w:rPr>
                  </w:pPr>
                  <w:r>
                    <w:rPr>
                      <w:rFonts w:hint="eastAsia" w:hAnsi="Times New Roman"/>
                      <w:lang w:val="en-US" w:eastAsia="zh-CN"/>
                    </w:rPr>
                    <w:t>22.5</w:t>
                  </w:r>
                </w:p>
              </w:tc>
              <w:tc>
                <w:tcPr>
                  <w:tcW w:w="689" w:type="dxa"/>
                  <w:noWrap w:val="0"/>
                  <w:vAlign w:val="center"/>
                </w:tcPr>
                <w:p w14:paraId="6E6F3A0B">
                  <w:pPr>
                    <w:pStyle w:val="104"/>
                    <w:rPr>
                      <w:rFonts w:hint="default" w:hAnsi="Times New Roman"/>
                      <w:lang w:val="en-US" w:eastAsia="zh-CN"/>
                    </w:rPr>
                  </w:pPr>
                  <w:r>
                    <w:rPr>
                      <w:rFonts w:hint="eastAsia" w:hAnsi="Times New Roman"/>
                      <w:lang w:val="en-US" w:eastAsia="zh-CN"/>
                    </w:rPr>
                    <w:t>/</w:t>
                  </w:r>
                </w:p>
              </w:tc>
              <w:tc>
                <w:tcPr>
                  <w:tcW w:w="689" w:type="dxa"/>
                  <w:noWrap w:val="0"/>
                  <w:vAlign w:val="center"/>
                </w:tcPr>
                <w:p w14:paraId="0FF1EA01">
                  <w:pPr>
                    <w:pStyle w:val="104"/>
                    <w:rPr>
                      <w:rFonts w:hint="default" w:hAnsi="Times New Roman"/>
                      <w:lang w:val="en-US" w:eastAsia="zh-CN"/>
                    </w:rPr>
                  </w:pPr>
                  <w:r>
                    <w:rPr>
                      <w:rFonts w:hint="eastAsia" w:hAnsi="Times New Roman"/>
                      <w:lang w:val="en-US" w:eastAsia="zh-CN"/>
                    </w:rPr>
                    <w:t>4</w:t>
                  </w:r>
                </w:p>
              </w:tc>
              <w:tc>
                <w:tcPr>
                  <w:tcW w:w="496" w:type="dxa"/>
                  <w:noWrap w:val="0"/>
                  <w:vAlign w:val="center"/>
                </w:tcPr>
                <w:p w14:paraId="799C5F73">
                  <w:pPr>
                    <w:pStyle w:val="104"/>
                    <w:rPr>
                      <w:rFonts w:hint="default" w:hAnsi="Times New Roman" w:eastAsia="宋体"/>
                      <w:lang w:val="en-US" w:eastAsia="zh-CN"/>
                    </w:rPr>
                  </w:pPr>
                  <w:r>
                    <w:rPr>
                      <w:rFonts w:hint="eastAsia" w:hAnsi="Times New Roman"/>
                      <w:lang w:val="en-US" w:eastAsia="zh-CN"/>
                    </w:rPr>
                    <w:t>6-9</w:t>
                  </w:r>
                </w:p>
              </w:tc>
            </w:tr>
            <w:tr w14:paraId="60A53E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1" w:type="dxa"/>
                  <w:vMerge w:val="continue"/>
                  <w:tcBorders>
                    <w:right w:val="single" w:color="auto" w:sz="4" w:space="0"/>
                  </w:tcBorders>
                  <w:noWrap w:val="0"/>
                  <w:vAlign w:val="center"/>
                </w:tcPr>
                <w:p w14:paraId="7663B1F2">
                  <w:pPr>
                    <w:autoSpaceDE w:val="0"/>
                    <w:autoSpaceDN w:val="0"/>
                    <w:adjustRightInd w:val="0"/>
                    <w:snapToGrid w:val="0"/>
                    <w:jc w:val="center"/>
                    <w:rPr>
                      <w:color w:val="000000"/>
                      <w:szCs w:val="21"/>
                    </w:rPr>
                  </w:pPr>
                </w:p>
              </w:tc>
              <w:tc>
                <w:tcPr>
                  <w:tcW w:w="2042" w:type="dxa"/>
                  <w:tcBorders>
                    <w:left w:val="single" w:color="auto" w:sz="4" w:space="0"/>
                  </w:tcBorders>
                  <w:noWrap w:val="0"/>
                  <w:vAlign w:val="center"/>
                </w:tcPr>
                <w:p w14:paraId="5820C50A">
                  <w:pPr>
                    <w:autoSpaceDE w:val="0"/>
                    <w:autoSpaceDN w:val="0"/>
                    <w:adjustRightInd w:val="0"/>
                    <w:snapToGrid w:val="0"/>
                    <w:jc w:val="center"/>
                    <w:rPr>
                      <w:color w:val="000000"/>
                      <w:szCs w:val="21"/>
                    </w:rPr>
                  </w:pPr>
                  <w:r>
                    <w:rPr>
                      <w:color w:val="000000"/>
                      <w:szCs w:val="21"/>
                    </w:rPr>
                    <w:t>排放量（t/a）</w:t>
                  </w:r>
                </w:p>
              </w:tc>
              <w:tc>
                <w:tcPr>
                  <w:tcW w:w="794" w:type="dxa"/>
                  <w:noWrap w:val="0"/>
                  <w:vAlign w:val="center"/>
                </w:tcPr>
                <w:p w14:paraId="1B6125E6">
                  <w:pPr>
                    <w:pStyle w:val="104"/>
                    <w:rPr>
                      <w:rFonts w:hint="default" w:hAnsi="Times New Roman" w:eastAsia="宋体"/>
                      <w:kern w:val="0"/>
                      <w:lang w:val="en-US" w:eastAsia="zh-CN"/>
                    </w:rPr>
                  </w:pPr>
                  <w:r>
                    <w:rPr>
                      <w:rFonts w:hint="eastAsia" w:hAnsi="Times New Roman"/>
                      <w:kern w:val="0"/>
                      <w:lang w:val="en-US" w:eastAsia="zh-CN"/>
                    </w:rPr>
                    <w:t>0.0428</w:t>
                  </w:r>
                </w:p>
              </w:tc>
              <w:tc>
                <w:tcPr>
                  <w:tcW w:w="794" w:type="dxa"/>
                  <w:noWrap w:val="0"/>
                  <w:vAlign w:val="center"/>
                </w:tcPr>
                <w:p w14:paraId="55B0EA27">
                  <w:pPr>
                    <w:pStyle w:val="104"/>
                    <w:rPr>
                      <w:rFonts w:hint="default" w:hAnsi="Times New Roman" w:eastAsia="宋体"/>
                      <w:kern w:val="0"/>
                      <w:lang w:val="en-US" w:eastAsia="zh-CN"/>
                    </w:rPr>
                  </w:pPr>
                  <w:r>
                    <w:rPr>
                      <w:rFonts w:hint="eastAsia" w:hAnsi="Times New Roman"/>
                      <w:kern w:val="0"/>
                      <w:lang w:val="en-US" w:eastAsia="zh-CN"/>
                    </w:rPr>
                    <w:t>0.0196</w:t>
                  </w:r>
                </w:p>
              </w:tc>
              <w:tc>
                <w:tcPr>
                  <w:tcW w:w="794" w:type="dxa"/>
                  <w:noWrap w:val="0"/>
                  <w:vAlign w:val="center"/>
                </w:tcPr>
                <w:p w14:paraId="1544306B">
                  <w:pPr>
                    <w:pStyle w:val="104"/>
                    <w:rPr>
                      <w:rFonts w:hint="default" w:hAnsi="Times New Roman" w:eastAsia="宋体"/>
                      <w:lang w:val="en-US" w:eastAsia="zh-CN"/>
                    </w:rPr>
                  </w:pPr>
                  <w:r>
                    <w:rPr>
                      <w:rFonts w:hint="eastAsia" w:hAnsi="Times New Roman"/>
                      <w:lang w:val="en-US" w:eastAsia="zh-CN"/>
                    </w:rPr>
                    <w:t>0.0202</w:t>
                  </w:r>
                </w:p>
              </w:tc>
              <w:tc>
                <w:tcPr>
                  <w:tcW w:w="809" w:type="dxa"/>
                  <w:noWrap w:val="0"/>
                  <w:vAlign w:val="center"/>
                </w:tcPr>
                <w:p w14:paraId="2FA9259F">
                  <w:pPr>
                    <w:pStyle w:val="104"/>
                    <w:rPr>
                      <w:rFonts w:hint="default" w:hAnsi="Times New Roman" w:eastAsia="宋体"/>
                      <w:lang w:val="en-US" w:eastAsia="zh-CN"/>
                    </w:rPr>
                  </w:pPr>
                  <w:r>
                    <w:rPr>
                      <w:rFonts w:hint="eastAsia" w:hAnsi="Times New Roman"/>
                      <w:lang w:val="en-US" w:eastAsia="zh-CN"/>
                    </w:rPr>
                    <w:t>0.0032</w:t>
                  </w:r>
                </w:p>
              </w:tc>
              <w:tc>
                <w:tcPr>
                  <w:tcW w:w="689" w:type="dxa"/>
                  <w:noWrap w:val="0"/>
                  <w:vAlign w:val="center"/>
                </w:tcPr>
                <w:p w14:paraId="32177EE9">
                  <w:pPr>
                    <w:pStyle w:val="104"/>
                    <w:rPr>
                      <w:rFonts w:hint="default" w:hAnsi="Times New Roman"/>
                      <w:lang w:val="en-US" w:eastAsia="zh-CN"/>
                    </w:rPr>
                  </w:pPr>
                  <w:r>
                    <w:rPr>
                      <w:rFonts w:hint="eastAsia" w:hAnsi="Times New Roman"/>
                      <w:lang w:val="en-US" w:eastAsia="zh-CN"/>
                    </w:rPr>
                    <w:t>/</w:t>
                  </w:r>
                </w:p>
              </w:tc>
              <w:tc>
                <w:tcPr>
                  <w:tcW w:w="689" w:type="dxa"/>
                  <w:noWrap w:val="0"/>
                  <w:vAlign w:val="center"/>
                </w:tcPr>
                <w:p w14:paraId="2260BD09">
                  <w:pPr>
                    <w:pStyle w:val="104"/>
                    <w:rPr>
                      <w:rFonts w:hint="default" w:hAnsi="Times New Roman"/>
                      <w:lang w:val="en-US" w:eastAsia="zh-CN"/>
                    </w:rPr>
                  </w:pPr>
                  <w:r>
                    <w:rPr>
                      <w:rFonts w:hint="eastAsia" w:hAnsi="Times New Roman"/>
                      <w:lang w:val="en-US" w:eastAsia="zh-CN"/>
                    </w:rPr>
                    <w:t>0.0006</w:t>
                  </w:r>
                </w:p>
              </w:tc>
              <w:tc>
                <w:tcPr>
                  <w:tcW w:w="496" w:type="dxa"/>
                  <w:noWrap w:val="0"/>
                  <w:vAlign w:val="center"/>
                </w:tcPr>
                <w:p w14:paraId="0989407D">
                  <w:pPr>
                    <w:pStyle w:val="104"/>
                    <w:rPr>
                      <w:rFonts w:hint="eastAsia" w:hAnsi="Times New Roman" w:eastAsia="宋体"/>
                      <w:lang w:val="en-US" w:eastAsia="zh-CN"/>
                    </w:rPr>
                  </w:pPr>
                  <w:r>
                    <w:rPr>
                      <w:rFonts w:hint="eastAsia" w:hAnsi="Times New Roman"/>
                      <w:lang w:val="en-US" w:eastAsia="zh-CN"/>
                    </w:rPr>
                    <w:t>/</w:t>
                  </w:r>
                </w:p>
              </w:tc>
            </w:tr>
            <w:tr w14:paraId="30C0CD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1" w:type="dxa"/>
                  <w:vMerge w:val="restart"/>
                  <w:tcBorders>
                    <w:right w:val="single" w:color="auto" w:sz="4" w:space="0"/>
                  </w:tcBorders>
                  <w:noWrap w:val="0"/>
                  <w:vAlign w:val="center"/>
                </w:tcPr>
                <w:p w14:paraId="3D739E60">
                  <w:pPr>
                    <w:pStyle w:val="104"/>
                    <w:rPr>
                      <w:rFonts w:hAnsi="Times New Roman"/>
                    </w:rPr>
                  </w:pPr>
                  <w:r>
                    <w:rPr>
                      <w:rFonts w:hint="eastAsia" w:hAnsi="Times New Roman"/>
                      <w:lang w:val="en-US" w:eastAsia="zh-CN"/>
                    </w:rPr>
                    <w:t>生产</w:t>
                  </w:r>
                  <w:r>
                    <w:rPr>
                      <w:rFonts w:hAnsi="Times New Roman"/>
                    </w:rPr>
                    <w:t>废水</w:t>
                  </w:r>
                </w:p>
                <w:p w14:paraId="5759AAE3">
                  <w:pPr>
                    <w:pStyle w:val="104"/>
                    <w:rPr>
                      <w:rFonts w:hAnsi="Times New Roman"/>
                    </w:rPr>
                  </w:pPr>
                  <w:r>
                    <w:rPr>
                      <w:rFonts w:hint="eastAsia" w:hAnsi="Times New Roman"/>
                      <w:color w:val="000000"/>
                      <w:lang w:val="en-US" w:eastAsia="zh-CN"/>
                    </w:rPr>
                    <w:t>1216.96t</w:t>
                  </w:r>
                  <w:r>
                    <w:rPr>
                      <w:rFonts w:hAnsi="Times New Roman"/>
                      <w:color w:val="000000"/>
                    </w:rPr>
                    <w:t>/a</w:t>
                  </w:r>
                </w:p>
              </w:tc>
              <w:tc>
                <w:tcPr>
                  <w:tcW w:w="2042" w:type="dxa"/>
                  <w:tcBorders>
                    <w:left w:val="single" w:color="auto" w:sz="4" w:space="0"/>
                  </w:tcBorders>
                  <w:noWrap w:val="0"/>
                  <w:vAlign w:val="center"/>
                </w:tcPr>
                <w:p w14:paraId="42D98AF4">
                  <w:pPr>
                    <w:autoSpaceDE w:val="0"/>
                    <w:autoSpaceDN w:val="0"/>
                    <w:adjustRightInd w:val="0"/>
                    <w:snapToGrid w:val="0"/>
                    <w:jc w:val="center"/>
                    <w:rPr>
                      <w:color w:val="000000"/>
                      <w:szCs w:val="21"/>
                    </w:rPr>
                  </w:pPr>
                  <w:r>
                    <w:rPr>
                      <w:color w:val="000000"/>
                      <w:szCs w:val="21"/>
                    </w:rPr>
                    <w:t>产生浓度（mg/L）</w:t>
                  </w:r>
                </w:p>
              </w:tc>
              <w:tc>
                <w:tcPr>
                  <w:tcW w:w="794" w:type="dxa"/>
                  <w:noWrap w:val="0"/>
                  <w:vAlign w:val="center"/>
                </w:tcPr>
                <w:p w14:paraId="0F06A795">
                  <w:pPr>
                    <w:pStyle w:val="104"/>
                    <w:rPr>
                      <w:rFonts w:hint="default" w:hAnsi="Times New Roman" w:eastAsia="宋体"/>
                      <w:lang w:val="en-US" w:eastAsia="zh-CN"/>
                    </w:rPr>
                  </w:pPr>
                  <w:r>
                    <w:rPr>
                      <w:rFonts w:hint="eastAsia" w:hAnsi="Times New Roman"/>
                      <w:lang w:val="en-US" w:eastAsia="zh-CN"/>
                    </w:rPr>
                    <w:t>1500</w:t>
                  </w:r>
                </w:p>
              </w:tc>
              <w:tc>
                <w:tcPr>
                  <w:tcW w:w="794" w:type="dxa"/>
                  <w:noWrap w:val="0"/>
                  <w:vAlign w:val="center"/>
                </w:tcPr>
                <w:p w14:paraId="69E0E2D4">
                  <w:pPr>
                    <w:pStyle w:val="104"/>
                    <w:rPr>
                      <w:rFonts w:hint="default" w:hAnsi="Times New Roman" w:eastAsia="宋体"/>
                      <w:lang w:val="en-US" w:eastAsia="zh-CN"/>
                    </w:rPr>
                  </w:pPr>
                  <w:r>
                    <w:rPr>
                      <w:rFonts w:hint="eastAsia" w:hAnsi="Times New Roman"/>
                      <w:lang w:val="en-US" w:eastAsia="zh-CN"/>
                    </w:rPr>
                    <w:t>1000</w:t>
                  </w:r>
                </w:p>
              </w:tc>
              <w:tc>
                <w:tcPr>
                  <w:tcW w:w="794" w:type="dxa"/>
                  <w:noWrap w:val="0"/>
                  <w:vAlign w:val="center"/>
                </w:tcPr>
                <w:p w14:paraId="38BA4862">
                  <w:pPr>
                    <w:pStyle w:val="104"/>
                    <w:rPr>
                      <w:rFonts w:hint="default" w:hAnsi="Times New Roman" w:eastAsia="宋体"/>
                      <w:lang w:val="en-US" w:eastAsia="zh-CN"/>
                    </w:rPr>
                  </w:pPr>
                  <w:r>
                    <w:rPr>
                      <w:rFonts w:hint="eastAsia" w:hAnsi="Times New Roman"/>
                      <w:lang w:val="en-US" w:eastAsia="zh-CN"/>
                    </w:rPr>
                    <w:t>350</w:t>
                  </w:r>
                </w:p>
              </w:tc>
              <w:tc>
                <w:tcPr>
                  <w:tcW w:w="809" w:type="dxa"/>
                  <w:noWrap w:val="0"/>
                  <w:vAlign w:val="center"/>
                </w:tcPr>
                <w:p w14:paraId="3B750799">
                  <w:pPr>
                    <w:pStyle w:val="104"/>
                    <w:rPr>
                      <w:rFonts w:hint="default" w:hAnsi="Times New Roman" w:eastAsia="宋体"/>
                      <w:lang w:val="en-US" w:eastAsia="zh-CN"/>
                    </w:rPr>
                  </w:pPr>
                  <w:r>
                    <w:rPr>
                      <w:rFonts w:hint="eastAsia" w:hAnsi="Times New Roman"/>
                      <w:lang w:val="en-US" w:eastAsia="zh-CN"/>
                    </w:rPr>
                    <w:t>150</w:t>
                  </w:r>
                </w:p>
              </w:tc>
              <w:tc>
                <w:tcPr>
                  <w:tcW w:w="689" w:type="dxa"/>
                  <w:noWrap w:val="0"/>
                  <w:vAlign w:val="center"/>
                </w:tcPr>
                <w:p w14:paraId="306A4390">
                  <w:pPr>
                    <w:pStyle w:val="104"/>
                    <w:rPr>
                      <w:rFonts w:hint="default" w:hAnsi="Times New Roman"/>
                      <w:lang w:val="en-US" w:eastAsia="zh-CN"/>
                    </w:rPr>
                  </w:pPr>
                  <w:r>
                    <w:rPr>
                      <w:rFonts w:hint="eastAsia" w:hAnsi="Times New Roman"/>
                      <w:lang w:val="en-US" w:eastAsia="zh-CN"/>
                    </w:rPr>
                    <w:t>416</w:t>
                  </w:r>
                </w:p>
              </w:tc>
              <w:tc>
                <w:tcPr>
                  <w:tcW w:w="689" w:type="dxa"/>
                  <w:noWrap w:val="0"/>
                  <w:vAlign w:val="center"/>
                </w:tcPr>
                <w:p w14:paraId="3BC5204A">
                  <w:pPr>
                    <w:pStyle w:val="104"/>
                    <w:rPr>
                      <w:rFonts w:hint="default" w:hAnsi="Times New Roman"/>
                      <w:lang w:val="en-US" w:eastAsia="zh-CN"/>
                    </w:rPr>
                  </w:pPr>
                  <w:r>
                    <w:rPr>
                      <w:rFonts w:hint="eastAsia" w:hAnsi="Times New Roman"/>
                      <w:lang w:val="en-US" w:eastAsia="zh-CN"/>
                    </w:rPr>
                    <w:t>35</w:t>
                  </w:r>
                </w:p>
              </w:tc>
              <w:tc>
                <w:tcPr>
                  <w:tcW w:w="496" w:type="dxa"/>
                  <w:noWrap w:val="0"/>
                  <w:vAlign w:val="center"/>
                </w:tcPr>
                <w:p w14:paraId="2E1C2553">
                  <w:pPr>
                    <w:pStyle w:val="104"/>
                    <w:rPr>
                      <w:rFonts w:hint="default" w:hAnsi="Times New Roman" w:eastAsia="宋体"/>
                      <w:lang w:val="en-US" w:eastAsia="zh-CN"/>
                    </w:rPr>
                  </w:pPr>
                  <w:r>
                    <w:rPr>
                      <w:rFonts w:hint="eastAsia" w:hAnsi="Times New Roman"/>
                      <w:lang w:val="en-US" w:eastAsia="zh-CN"/>
                    </w:rPr>
                    <w:t>6-9</w:t>
                  </w:r>
                </w:p>
              </w:tc>
            </w:tr>
            <w:tr w14:paraId="6DFC16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1" w:type="dxa"/>
                  <w:vMerge w:val="continue"/>
                  <w:tcBorders>
                    <w:right w:val="single" w:color="auto" w:sz="4" w:space="0"/>
                  </w:tcBorders>
                  <w:noWrap w:val="0"/>
                  <w:vAlign w:val="center"/>
                </w:tcPr>
                <w:p w14:paraId="41C127D6">
                  <w:pPr>
                    <w:autoSpaceDE w:val="0"/>
                    <w:autoSpaceDN w:val="0"/>
                    <w:adjustRightInd w:val="0"/>
                    <w:snapToGrid w:val="0"/>
                    <w:jc w:val="center"/>
                    <w:rPr>
                      <w:color w:val="000000"/>
                      <w:szCs w:val="21"/>
                    </w:rPr>
                  </w:pPr>
                </w:p>
              </w:tc>
              <w:tc>
                <w:tcPr>
                  <w:tcW w:w="2042" w:type="dxa"/>
                  <w:tcBorders>
                    <w:left w:val="single" w:color="auto" w:sz="4" w:space="0"/>
                  </w:tcBorders>
                  <w:noWrap w:val="0"/>
                  <w:vAlign w:val="center"/>
                </w:tcPr>
                <w:p w14:paraId="6592649C">
                  <w:pPr>
                    <w:autoSpaceDE w:val="0"/>
                    <w:autoSpaceDN w:val="0"/>
                    <w:adjustRightInd w:val="0"/>
                    <w:snapToGrid w:val="0"/>
                    <w:jc w:val="center"/>
                    <w:rPr>
                      <w:rFonts w:hint="default" w:eastAsia="宋体"/>
                      <w:color w:val="000000"/>
                      <w:szCs w:val="21"/>
                      <w:lang w:val="en-US" w:eastAsia="zh-CN"/>
                    </w:rPr>
                  </w:pPr>
                  <w:r>
                    <w:rPr>
                      <w:rFonts w:hint="eastAsia"/>
                      <w:color w:val="000000"/>
                      <w:szCs w:val="21"/>
                      <w:lang w:val="en-US" w:eastAsia="zh-CN"/>
                    </w:rPr>
                    <w:t>产生量（t/a）</w:t>
                  </w:r>
                </w:p>
              </w:tc>
              <w:tc>
                <w:tcPr>
                  <w:tcW w:w="794" w:type="dxa"/>
                  <w:noWrap w:val="0"/>
                  <w:vAlign w:val="center"/>
                </w:tcPr>
                <w:p w14:paraId="31364527">
                  <w:pPr>
                    <w:pStyle w:val="104"/>
                    <w:rPr>
                      <w:rFonts w:hint="default" w:hAnsi="Times New Roman" w:eastAsia="宋体"/>
                      <w:lang w:val="en-US" w:eastAsia="zh-CN"/>
                    </w:rPr>
                  </w:pPr>
                  <w:r>
                    <w:rPr>
                      <w:rFonts w:hint="eastAsia" w:hAnsi="Times New Roman"/>
                      <w:lang w:val="en-US" w:eastAsia="zh-CN"/>
                    </w:rPr>
                    <w:t>1.825</w:t>
                  </w:r>
                </w:p>
              </w:tc>
              <w:tc>
                <w:tcPr>
                  <w:tcW w:w="794" w:type="dxa"/>
                  <w:noWrap w:val="0"/>
                  <w:vAlign w:val="center"/>
                </w:tcPr>
                <w:p w14:paraId="3E87025A">
                  <w:pPr>
                    <w:pStyle w:val="104"/>
                    <w:rPr>
                      <w:rFonts w:hint="default" w:hAnsi="Times New Roman" w:eastAsia="宋体"/>
                      <w:lang w:val="en-US" w:eastAsia="zh-CN"/>
                    </w:rPr>
                  </w:pPr>
                  <w:r>
                    <w:rPr>
                      <w:rFonts w:hint="eastAsia" w:hAnsi="Times New Roman"/>
                      <w:lang w:val="en-US" w:eastAsia="zh-CN"/>
                    </w:rPr>
                    <w:t>1.217</w:t>
                  </w:r>
                </w:p>
              </w:tc>
              <w:tc>
                <w:tcPr>
                  <w:tcW w:w="794" w:type="dxa"/>
                  <w:noWrap w:val="0"/>
                  <w:vAlign w:val="center"/>
                </w:tcPr>
                <w:p w14:paraId="4A1DC931">
                  <w:pPr>
                    <w:pStyle w:val="104"/>
                    <w:rPr>
                      <w:rFonts w:hint="default" w:hAnsi="Times New Roman" w:eastAsia="宋体"/>
                      <w:lang w:val="en-US" w:eastAsia="zh-CN"/>
                    </w:rPr>
                  </w:pPr>
                  <w:r>
                    <w:rPr>
                      <w:rFonts w:hint="eastAsia" w:hAnsi="Times New Roman"/>
                      <w:lang w:val="en-US" w:eastAsia="zh-CN"/>
                    </w:rPr>
                    <w:t>0.426</w:t>
                  </w:r>
                </w:p>
              </w:tc>
              <w:tc>
                <w:tcPr>
                  <w:tcW w:w="809" w:type="dxa"/>
                  <w:noWrap w:val="0"/>
                  <w:vAlign w:val="center"/>
                </w:tcPr>
                <w:p w14:paraId="3D42B435">
                  <w:pPr>
                    <w:pStyle w:val="104"/>
                    <w:rPr>
                      <w:rFonts w:hint="default" w:hAnsi="Times New Roman" w:eastAsia="宋体"/>
                      <w:lang w:val="en-US" w:eastAsia="zh-CN"/>
                    </w:rPr>
                  </w:pPr>
                  <w:r>
                    <w:rPr>
                      <w:rFonts w:hint="eastAsia" w:hAnsi="Times New Roman"/>
                      <w:lang w:val="en-US" w:eastAsia="zh-CN"/>
                    </w:rPr>
                    <w:t>0182</w:t>
                  </w:r>
                </w:p>
              </w:tc>
              <w:tc>
                <w:tcPr>
                  <w:tcW w:w="689" w:type="dxa"/>
                  <w:noWrap w:val="0"/>
                  <w:vAlign w:val="center"/>
                </w:tcPr>
                <w:p w14:paraId="64037F44">
                  <w:pPr>
                    <w:pStyle w:val="104"/>
                    <w:rPr>
                      <w:rFonts w:hint="default" w:hAnsi="Times New Roman" w:eastAsia="宋体"/>
                      <w:lang w:val="en-US" w:eastAsia="zh-CN"/>
                    </w:rPr>
                  </w:pPr>
                  <w:r>
                    <w:rPr>
                      <w:rFonts w:hint="eastAsia" w:hAnsi="Times New Roman"/>
                      <w:lang w:val="en-US" w:eastAsia="zh-CN"/>
                    </w:rPr>
                    <w:t>0.506</w:t>
                  </w:r>
                </w:p>
              </w:tc>
              <w:tc>
                <w:tcPr>
                  <w:tcW w:w="689" w:type="dxa"/>
                  <w:noWrap w:val="0"/>
                  <w:vAlign w:val="center"/>
                </w:tcPr>
                <w:p w14:paraId="2186670F">
                  <w:pPr>
                    <w:pStyle w:val="104"/>
                    <w:rPr>
                      <w:rFonts w:hint="default" w:hAnsi="Times New Roman" w:eastAsia="宋体"/>
                      <w:lang w:val="en-US" w:eastAsia="zh-CN"/>
                    </w:rPr>
                  </w:pPr>
                  <w:r>
                    <w:rPr>
                      <w:rFonts w:hint="eastAsia" w:hAnsi="Times New Roman"/>
                      <w:lang w:val="en-US" w:eastAsia="zh-CN"/>
                    </w:rPr>
                    <w:t>0.042</w:t>
                  </w:r>
                </w:p>
              </w:tc>
              <w:tc>
                <w:tcPr>
                  <w:tcW w:w="496" w:type="dxa"/>
                  <w:noWrap w:val="0"/>
                  <w:vAlign w:val="center"/>
                </w:tcPr>
                <w:p w14:paraId="6607BD66">
                  <w:pPr>
                    <w:pStyle w:val="104"/>
                    <w:rPr>
                      <w:rFonts w:hint="eastAsia" w:hAnsi="Times New Roman" w:eastAsia="宋体"/>
                      <w:lang w:val="en-US" w:eastAsia="zh-CN"/>
                    </w:rPr>
                  </w:pPr>
                  <w:r>
                    <w:rPr>
                      <w:rFonts w:hint="eastAsia" w:hAnsi="Times New Roman"/>
                      <w:lang w:val="en-US" w:eastAsia="zh-CN"/>
                    </w:rPr>
                    <w:t>/</w:t>
                  </w:r>
                </w:p>
              </w:tc>
            </w:tr>
            <w:tr w14:paraId="5DE7DE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1" w:type="dxa"/>
                  <w:vMerge w:val="continue"/>
                  <w:tcBorders>
                    <w:right w:val="single" w:color="auto" w:sz="4" w:space="0"/>
                  </w:tcBorders>
                  <w:noWrap w:val="0"/>
                  <w:vAlign w:val="center"/>
                </w:tcPr>
                <w:p w14:paraId="50A4E5CB">
                  <w:pPr>
                    <w:autoSpaceDE w:val="0"/>
                    <w:autoSpaceDN w:val="0"/>
                    <w:adjustRightInd w:val="0"/>
                    <w:snapToGrid w:val="0"/>
                    <w:jc w:val="center"/>
                    <w:rPr>
                      <w:color w:val="000000"/>
                      <w:szCs w:val="21"/>
                    </w:rPr>
                  </w:pPr>
                </w:p>
              </w:tc>
              <w:tc>
                <w:tcPr>
                  <w:tcW w:w="2042" w:type="dxa"/>
                  <w:tcBorders>
                    <w:left w:val="single" w:color="auto" w:sz="4" w:space="0"/>
                  </w:tcBorders>
                  <w:noWrap w:val="0"/>
                  <w:vAlign w:val="center"/>
                </w:tcPr>
                <w:p w14:paraId="436D1580">
                  <w:pPr>
                    <w:autoSpaceDE w:val="0"/>
                    <w:autoSpaceDN w:val="0"/>
                    <w:adjustRightInd w:val="0"/>
                    <w:snapToGrid w:val="0"/>
                    <w:jc w:val="center"/>
                    <w:rPr>
                      <w:color w:val="000000"/>
                      <w:szCs w:val="21"/>
                    </w:rPr>
                  </w:pPr>
                  <w:r>
                    <w:rPr>
                      <w:color w:val="000000"/>
                      <w:szCs w:val="21"/>
                    </w:rPr>
                    <w:t>排放浓度（mg/L）</w:t>
                  </w:r>
                </w:p>
              </w:tc>
              <w:tc>
                <w:tcPr>
                  <w:tcW w:w="794" w:type="dxa"/>
                  <w:noWrap w:val="0"/>
                  <w:vAlign w:val="center"/>
                </w:tcPr>
                <w:p w14:paraId="655637FB">
                  <w:pPr>
                    <w:pStyle w:val="104"/>
                    <w:rPr>
                      <w:rFonts w:hint="default" w:hAnsi="Times New Roman" w:eastAsia="宋体"/>
                      <w:kern w:val="0"/>
                      <w:lang w:val="en-US" w:eastAsia="zh-CN"/>
                    </w:rPr>
                  </w:pPr>
                  <w:r>
                    <w:rPr>
                      <w:rFonts w:hint="eastAsia" w:hAnsi="Times New Roman"/>
                      <w:kern w:val="0"/>
                      <w:lang w:val="en-US" w:eastAsia="zh-CN"/>
                    </w:rPr>
                    <w:t>450</w:t>
                  </w:r>
                </w:p>
              </w:tc>
              <w:tc>
                <w:tcPr>
                  <w:tcW w:w="794" w:type="dxa"/>
                  <w:noWrap w:val="0"/>
                  <w:vAlign w:val="center"/>
                </w:tcPr>
                <w:p w14:paraId="179C0692">
                  <w:pPr>
                    <w:pStyle w:val="104"/>
                    <w:rPr>
                      <w:rFonts w:hint="default" w:hAnsi="Times New Roman" w:eastAsia="宋体"/>
                      <w:kern w:val="0"/>
                      <w:lang w:val="en-US" w:eastAsia="zh-CN"/>
                    </w:rPr>
                  </w:pPr>
                  <w:r>
                    <w:rPr>
                      <w:rFonts w:hint="eastAsia" w:hAnsi="Times New Roman"/>
                      <w:kern w:val="0"/>
                      <w:lang w:val="en-US" w:eastAsia="zh-CN"/>
                    </w:rPr>
                    <w:t>300</w:t>
                  </w:r>
                </w:p>
              </w:tc>
              <w:tc>
                <w:tcPr>
                  <w:tcW w:w="794" w:type="dxa"/>
                  <w:noWrap w:val="0"/>
                  <w:vAlign w:val="center"/>
                </w:tcPr>
                <w:p w14:paraId="0794C226">
                  <w:pPr>
                    <w:pStyle w:val="104"/>
                    <w:rPr>
                      <w:rFonts w:hint="default" w:hAnsi="Times New Roman" w:eastAsia="宋体"/>
                      <w:lang w:val="en-US" w:eastAsia="zh-CN"/>
                    </w:rPr>
                  </w:pPr>
                  <w:r>
                    <w:rPr>
                      <w:rFonts w:hint="eastAsia" w:hAnsi="Times New Roman"/>
                      <w:lang w:val="en-US" w:eastAsia="zh-CN"/>
                    </w:rPr>
                    <w:t>105</w:t>
                  </w:r>
                </w:p>
              </w:tc>
              <w:tc>
                <w:tcPr>
                  <w:tcW w:w="809" w:type="dxa"/>
                  <w:noWrap w:val="0"/>
                  <w:vAlign w:val="center"/>
                </w:tcPr>
                <w:p w14:paraId="59AF558E">
                  <w:pPr>
                    <w:pStyle w:val="104"/>
                    <w:rPr>
                      <w:rFonts w:hint="default" w:hAnsi="Times New Roman" w:eastAsia="宋体"/>
                      <w:lang w:val="en-US" w:eastAsia="zh-CN"/>
                    </w:rPr>
                  </w:pPr>
                  <w:r>
                    <w:rPr>
                      <w:rFonts w:hint="eastAsia" w:hAnsi="Times New Roman"/>
                      <w:lang w:val="en-US" w:eastAsia="zh-CN"/>
                    </w:rPr>
                    <w:t>45</w:t>
                  </w:r>
                </w:p>
              </w:tc>
              <w:tc>
                <w:tcPr>
                  <w:tcW w:w="689" w:type="dxa"/>
                  <w:noWrap w:val="0"/>
                  <w:vAlign w:val="center"/>
                </w:tcPr>
                <w:p w14:paraId="006E6AE0">
                  <w:pPr>
                    <w:pStyle w:val="104"/>
                    <w:rPr>
                      <w:rFonts w:hint="default" w:hAnsi="Times New Roman" w:eastAsia="宋体"/>
                      <w:lang w:val="en-US" w:eastAsia="zh-CN"/>
                    </w:rPr>
                  </w:pPr>
                  <w:r>
                    <w:rPr>
                      <w:rFonts w:hint="eastAsia" w:hAnsi="Times New Roman"/>
                      <w:lang w:val="en-US" w:eastAsia="zh-CN"/>
                    </w:rPr>
                    <w:t>70.8</w:t>
                  </w:r>
                </w:p>
              </w:tc>
              <w:tc>
                <w:tcPr>
                  <w:tcW w:w="689" w:type="dxa"/>
                  <w:noWrap w:val="0"/>
                  <w:vAlign w:val="center"/>
                </w:tcPr>
                <w:p w14:paraId="54768245">
                  <w:pPr>
                    <w:pStyle w:val="104"/>
                    <w:rPr>
                      <w:rFonts w:hint="default" w:hAnsi="Times New Roman" w:eastAsia="宋体"/>
                      <w:lang w:val="en-US" w:eastAsia="zh-CN"/>
                    </w:rPr>
                  </w:pPr>
                  <w:r>
                    <w:rPr>
                      <w:rFonts w:hint="eastAsia" w:hAnsi="Times New Roman"/>
                      <w:lang w:val="en-US" w:eastAsia="zh-CN"/>
                    </w:rPr>
                    <w:t>8</w:t>
                  </w:r>
                </w:p>
              </w:tc>
              <w:tc>
                <w:tcPr>
                  <w:tcW w:w="496" w:type="dxa"/>
                  <w:noWrap w:val="0"/>
                  <w:vAlign w:val="center"/>
                </w:tcPr>
                <w:p w14:paraId="51BEA6FB">
                  <w:pPr>
                    <w:pStyle w:val="104"/>
                    <w:rPr>
                      <w:rFonts w:hint="default" w:hAnsi="Times New Roman" w:eastAsia="宋体"/>
                      <w:lang w:val="en-US" w:eastAsia="zh-CN"/>
                    </w:rPr>
                  </w:pPr>
                  <w:r>
                    <w:rPr>
                      <w:rFonts w:hint="eastAsia" w:hAnsi="Times New Roman"/>
                      <w:lang w:val="en-US" w:eastAsia="zh-CN"/>
                    </w:rPr>
                    <w:t>6-9</w:t>
                  </w:r>
                </w:p>
              </w:tc>
            </w:tr>
            <w:tr w14:paraId="0BEEC41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1" w:type="dxa"/>
                  <w:vMerge w:val="continue"/>
                  <w:tcBorders>
                    <w:right w:val="single" w:color="auto" w:sz="4" w:space="0"/>
                  </w:tcBorders>
                  <w:noWrap w:val="0"/>
                  <w:vAlign w:val="center"/>
                </w:tcPr>
                <w:p w14:paraId="76417CD8">
                  <w:pPr>
                    <w:autoSpaceDE w:val="0"/>
                    <w:autoSpaceDN w:val="0"/>
                    <w:adjustRightInd w:val="0"/>
                    <w:snapToGrid w:val="0"/>
                    <w:jc w:val="center"/>
                    <w:rPr>
                      <w:color w:val="000000"/>
                      <w:szCs w:val="21"/>
                    </w:rPr>
                  </w:pPr>
                </w:p>
              </w:tc>
              <w:tc>
                <w:tcPr>
                  <w:tcW w:w="2042" w:type="dxa"/>
                  <w:tcBorders>
                    <w:left w:val="single" w:color="auto" w:sz="4" w:space="0"/>
                  </w:tcBorders>
                  <w:noWrap w:val="0"/>
                  <w:vAlign w:val="center"/>
                </w:tcPr>
                <w:p w14:paraId="0EBF090A">
                  <w:pPr>
                    <w:autoSpaceDE w:val="0"/>
                    <w:autoSpaceDN w:val="0"/>
                    <w:adjustRightInd w:val="0"/>
                    <w:snapToGrid w:val="0"/>
                    <w:jc w:val="center"/>
                    <w:rPr>
                      <w:color w:val="000000"/>
                      <w:szCs w:val="21"/>
                    </w:rPr>
                  </w:pPr>
                  <w:r>
                    <w:rPr>
                      <w:color w:val="000000"/>
                      <w:szCs w:val="21"/>
                    </w:rPr>
                    <w:t>排放量（t/a）</w:t>
                  </w:r>
                </w:p>
              </w:tc>
              <w:tc>
                <w:tcPr>
                  <w:tcW w:w="794" w:type="dxa"/>
                  <w:noWrap w:val="0"/>
                  <w:vAlign w:val="center"/>
                </w:tcPr>
                <w:p w14:paraId="3028691E">
                  <w:pPr>
                    <w:pStyle w:val="104"/>
                    <w:rPr>
                      <w:rFonts w:hint="default" w:hAnsi="Times New Roman"/>
                      <w:kern w:val="0"/>
                      <w:lang w:val="en-US" w:eastAsia="zh-CN"/>
                    </w:rPr>
                  </w:pPr>
                  <w:r>
                    <w:rPr>
                      <w:rFonts w:hint="eastAsia" w:hAnsi="Times New Roman"/>
                      <w:kern w:val="0"/>
                      <w:lang w:val="en-US" w:eastAsia="zh-CN"/>
                    </w:rPr>
                    <w:t>0.548</w:t>
                  </w:r>
                </w:p>
              </w:tc>
              <w:tc>
                <w:tcPr>
                  <w:tcW w:w="794" w:type="dxa"/>
                  <w:noWrap w:val="0"/>
                  <w:vAlign w:val="center"/>
                </w:tcPr>
                <w:p w14:paraId="458DA68B">
                  <w:pPr>
                    <w:pStyle w:val="104"/>
                    <w:rPr>
                      <w:rFonts w:hint="default" w:hAnsi="Times New Roman"/>
                      <w:kern w:val="0"/>
                      <w:lang w:val="en-US" w:eastAsia="zh-CN"/>
                    </w:rPr>
                  </w:pPr>
                  <w:r>
                    <w:rPr>
                      <w:rFonts w:hint="eastAsia" w:hAnsi="Times New Roman"/>
                      <w:kern w:val="0"/>
                      <w:lang w:val="en-US" w:eastAsia="zh-CN"/>
                    </w:rPr>
                    <w:t>0.365</w:t>
                  </w:r>
                </w:p>
              </w:tc>
              <w:tc>
                <w:tcPr>
                  <w:tcW w:w="794" w:type="dxa"/>
                  <w:noWrap w:val="0"/>
                  <w:vAlign w:val="center"/>
                </w:tcPr>
                <w:p w14:paraId="1B89C646">
                  <w:pPr>
                    <w:pStyle w:val="104"/>
                    <w:rPr>
                      <w:rFonts w:hint="default" w:hAnsi="Times New Roman"/>
                      <w:lang w:val="en-US" w:eastAsia="zh-CN"/>
                    </w:rPr>
                  </w:pPr>
                  <w:r>
                    <w:rPr>
                      <w:rFonts w:hint="eastAsia" w:hAnsi="Times New Roman"/>
                      <w:lang w:val="en-US" w:eastAsia="zh-CN"/>
                    </w:rPr>
                    <w:t>0.128</w:t>
                  </w:r>
                </w:p>
              </w:tc>
              <w:tc>
                <w:tcPr>
                  <w:tcW w:w="809" w:type="dxa"/>
                  <w:noWrap w:val="0"/>
                  <w:vAlign w:val="center"/>
                </w:tcPr>
                <w:p w14:paraId="42275D88">
                  <w:pPr>
                    <w:pStyle w:val="104"/>
                    <w:rPr>
                      <w:rFonts w:hint="default" w:hAnsi="Times New Roman"/>
                      <w:lang w:val="en-US" w:eastAsia="zh-CN"/>
                    </w:rPr>
                  </w:pPr>
                  <w:r>
                    <w:rPr>
                      <w:rFonts w:hint="eastAsia" w:hAnsi="Times New Roman"/>
                      <w:lang w:val="en-US" w:eastAsia="zh-CN"/>
                    </w:rPr>
                    <w:t>0.055</w:t>
                  </w:r>
                </w:p>
              </w:tc>
              <w:tc>
                <w:tcPr>
                  <w:tcW w:w="689" w:type="dxa"/>
                  <w:noWrap w:val="0"/>
                  <w:vAlign w:val="center"/>
                </w:tcPr>
                <w:p w14:paraId="5A467DF5">
                  <w:pPr>
                    <w:pStyle w:val="104"/>
                    <w:rPr>
                      <w:rFonts w:hint="default" w:hAnsi="Times New Roman"/>
                      <w:lang w:val="en-US" w:eastAsia="zh-CN"/>
                    </w:rPr>
                  </w:pPr>
                  <w:r>
                    <w:rPr>
                      <w:rFonts w:hint="eastAsia" w:hAnsi="Times New Roman"/>
                      <w:lang w:val="en-US" w:eastAsia="zh-CN"/>
                    </w:rPr>
                    <w:t>0.086</w:t>
                  </w:r>
                </w:p>
              </w:tc>
              <w:tc>
                <w:tcPr>
                  <w:tcW w:w="689" w:type="dxa"/>
                  <w:noWrap w:val="0"/>
                  <w:vAlign w:val="center"/>
                </w:tcPr>
                <w:p w14:paraId="5FD3D5E1">
                  <w:pPr>
                    <w:pStyle w:val="104"/>
                    <w:rPr>
                      <w:rFonts w:hint="default" w:hAnsi="Times New Roman"/>
                      <w:lang w:val="en-US" w:eastAsia="zh-CN"/>
                    </w:rPr>
                  </w:pPr>
                  <w:r>
                    <w:rPr>
                      <w:rFonts w:hint="eastAsia" w:hAnsi="Times New Roman"/>
                      <w:lang w:val="en-US" w:eastAsia="zh-CN"/>
                    </w:rPr>
                    <w:t>0.010</w:t>
                  </w:r>
                </w:p>
              </w:tc>
              <w:tc>
                <w:tcPr>
                  <w:tcW w:w="496" w:type="dxa"/>
                  <w:noWrap w:val="0"/>
                  <w:vAlign w:val="center"/>
                </w:tcPr>
                <w:p w14:paraId="51BE2715">
                  <w:pPr>
                    <w:pStyle w:val="104"/>
                    <w:rPr>
                      <w:rFonts w:hint="default" w:hAnsi="Times New Roman" w:eastAsia="宋体"/>
                      <w:lang w:val="en-US" w:eastAsia="zh-CN"/>
                    </w:rPr>
                  </w:pPr>
                  <w:r>
                    <w:rPr>
                      <w:rFonts w:hint="eastAsia" w:hAnsi="Times New Roman"/>
                      <w:lang w:val="en-US" w:eastAsia="zh-CN"/>
                    </w:rPr>
                    <w:t>/</w:t>
                  </w:r>
                </w:p>
              </w:tc>
            </w:tr>
            <w:tr w14:paraId="4979DB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1" w:type="dxa"/>
                  <w:vMerge w:val="restart"/>
                  <w:tcBorders>
                    <w:right w:val="single" w:color="auto" w:sz="4" w:space="0"/>
                  </w:tcBorders>
                  <w:noWrap w:val="0"/>
                  <w:vAlign w:val="center"/>
                </w:tcPr>
                <w:p w14:paraId="15FD8B7C">
                  <w:pPr>
                    <w:autoSpaceDE w:val="0"/>
                    <w:autoSpaceDN w:val="0"/>
                    <w:adjustRightInd w:val="0"/>
                    <w:snapToGrid w:val="0"/>
                    <w:jc w:val="center"/>
                    <w:rPr>
                      <w:rFonts w:hint="eastAsia"/>
                      <w:color w:val="000000"/>
                      <w:szCs w:val="21"/>
                      <w:lang w:val="en-US" w:eastAsia="zh-CN"/>
                    </w:rPr>
                  </w:pPr>
                  <w:r>
                    <w:rPr>
                      <w:rFonts w:hint="eastAsia"/>
                      <w:color w:val="000000"/>
                      <w:szCs w:val="21"/>
                      <w:lang w:val="en-US" w:eastAsia="zh-CN"/>
                    </w:rPr>
                    <w:t>制纯水排水</w:t>
                  </w:r>
                </w:p>
                <w:p w14:paraId="2AF19246">
                  <w:pPr>
                    <w:autoSpaceDE w:val="0"/>
                    <w:autoSpaceDN w:val="0"/>
                    <w:adjustRightInd w:val="0"/>
                    <w:snapToGrid w:val="0"/>
                    <w:jc w:val="center"/>
                    <w:rPr>
                      <w:rFonts w:hint="default"/>
                      <w:color w:val="000000"/>
                      <w:szCs w:val="21"/>
                      <w:lang w:val="en-US" w:eastAsia="zh-CN"/>
                    </w:rPr>
                  </w:pPr>
                  <w:r>
                    <w:rPr>
                      <w:rFonts w:hint="eastAsia"/>
                      <w:color w:val="000000"/>
                      <w:szCs w:val="21"/>
                      <w:lang w:val="en-US" w:eastAsia="zh-CN"/>
                    </w:rPr>
                    <w:t>750t/a</w:t>
                  </w:r>
                </w:p>
              </w:tc>
              <w:tc>
                <w:tcPr>
                  <w:tcW w:w="2042" w:type="dxa"/>
                  <w:tcBorders>
                    <w:left w:val="single" w:color="auto" w:sz="4" w:space="0"/>
                  </w:tcBorders>
                  <w:noWrap w:val="0"/>
                  <w:vAlign w:val="center"/>
                </w:tcPr>
                <w:p w14:paraId="3EEA63AC">
                  <w:pPr>
                    <w:autoSpaceDE w:val="0"/>
                    <w:autoSpaceDN w:val="0"/>
                    <w:adjustRightInd w:val="0"/>
                    <w:snapToGrid w:val="0"/>
                    <w:jc w:val="center"/>
                    <w:rPr>
                      <w:rFonts w:hint="default" w:eastAsia="宋体"/>
                      <w:color w:val="000000"/>
                      <w:szCs w:val="21"/>
                      <w:lang w:val="en-US" w:eastAsia="zh-CN"/>
                    </w:rPr>
                  </w:pPr>
                  <w:r>
                    <w:rPr>
                      <w:rFonts w:hint="eastAsia"/>
                      <w:color w:val="000000"/>
                      <w:szCs w:val="21"/>
                      <w:lang w:val="en-US" w:eastAsia="zh-CN"/>
                    </w:rPr>
                    <w:t>排放浓度</w:t>
                  </w:r>
                </w:p>
              </w:tc>
              <w:tc>
                <w:tcPr>
                  <w:tcW w:w="794" w:type="dxa"/>
                  <w:noWrap w:val="0"/>
                  <w:vAlign w:val="center"/>
                </w:tcPr>
                <w:p w14:paraId="478BC303">
                  <w:pPr>
                    <w:pStyle w:val="104"/>
                    <w:rPr>
                      <w:rFonts w:hint="default" w:hAnsi="Times New Roman"/>
                      <w:kern w:val="0"/>
                      <w:lang w:val="en-US" w:eastAsia="zh-CN"/>
                    </w:rPr>
                  </w:pPr>
                  <w:r>
                    <w:rPr>
                      <w:rFonts w:hint="eastAsia" w:hAnsi="Times New Roman"/>
                      <w:kern w:val="0"/>
                      <w:lang w:val="en-US" w:eastAsia="zh-CN"/>
                    </w:rPr>
                    <w:t>54</w:t>
                  </w:r>
                </w:p>
              </w:tc>
              <w:tc>
                <w:tcPr>
                  <w:tcW w:w="794" w:type="dxa"/>
                  <w:noWrap w:val="0"/>
                  <w:vAlign w:val="center"/>
                </w:tcPr>
                <w:p w14:paraId="250C8CE4">
                  <w:pPr>
                    <w:pStyle w:val="104"/>
                    <w:rPr>
                      <w:rFonts w:hint="default" w:hAnsi="Times New Roman"/>
                      <w:kern w:val="0"/>
                      <w:lang w:val="en-US" w:eastAsia="zh-CN"/>
                    </w:rPr>
                  </w:pPr>
                  <w:r>
                    <w:rPr>
                      <w:rFonts w:hint="eastAsia" w:hAnsi="Times New Roman"/>
                      <w:kern w:val="0"/>
                      <w:lang w:val="en-US" w:eastAsia="zh-CN"/>
                    </w:rPr>
                    <w:t>/</w:t>
                  </w:r>
                </w:p>
              </w:tc>
              <w:tc>
                <w:tcPr>
                  <w:tcW w:w="794" w:type="dxa"/>
                  <w:noWrap w:val="0"/>
                  <w:vAlign w:val="center"/>
                </w:tcPr>
                <w:p w14:paraId="56D28C90">
                  <w:pPr>
                    <w:pStyle w:val="104"/>
                    <w:rPr>
                      <w:rFonts w:hint="default" w:hAnsi="Times New Roman"/>
                      <w:lang w:val="en-US" w:eastAsia="zh-CN"/>
                    </w:rPr>
                  </w:pPr>
                  <w:r>
                    <w:rPr>
                      <w:rFonts w:hint="eastAsia" w:hAnsi="Times New Roman"/>
                      <w:lang w:val="en-US" w:eastAsia="zh-CN"/>
                    </w:rPr>
                    <w:t>/</w:t>
                  </w:r>
                </w:p>
              </w:tc>
              <w:tc>
                <w:tcPr>
                  <w:tcW w:w="809" w:type="dxa"/>
                  <w:noWrap w:val="0"/>
                  <w:vAlign w:val="center"/>
                </w:tcPr>
                <w:p w14:paraId="083524C1">
                  <w:pPr>
                    <w:pStyle w:val="104"/>
                    <w:rPr>
                      <w:rFonts w:hint="default" w:hAnsi="Times New Roman"/>
                      <w:lang w:val="en-US" w:eastAsia="zh-CN"/>
                    </w:rPr>
                  </w:pPr>
                  <w:r>
                    <w:rPr>
                      <w:rFonts w:hint="eastAsia" w:hAnsi="Times New Roman"/>
                      <w:lang w:val="en-US" w:eastAsia="zh-CN"/>
                    </w:rPr>
                    <w:t>6.1</w:t>
                  </w:r>
                </w:p>
              </w:tc>
              <w:tc>
                <w:tcPr>
                  <w:tcW w:w="689" w:type="dxa"/>
                  <w:noWrap w:val="0"/>
                  <w:vAlign w:val="center"/>
                </w:tcPr>
                <w:p w14:paraId="7EA3F2FB">
                  <w:pPr>
                    <w:pStyle w:val="104"/>
                    <w:rPr>
                      <w:rFonts w:hint="default" w:hAnsi="Times New Roman"/>
                      <w:lang w:val="en-US" w:eastAsia="zh-CN"/>
                    </w:rPr>
                  </w:pPr>
                  <w:r>
                    <w:rPr>
                      <w:rFonts w:hint="eastAsia" w:hAnsi="Times New Roman"/>
                      <w:lang w:val="en-US" w:eastAsia="zh-CN"/>
                    </w:rPr>
                    <w:t>/</w:t>
                  </w:r>
                </w:p>
              </w:tc>
              <w:tc>
                <w:tcPr>
                  <w:tcW w:w="689" w:type="dxa"/>
                  <w:noWrap w:val="0"/>
                  <w:vAlign w:val="center"/>
                </w:tcPr>
                <w:p w14:paraId="19AD660D">
                  <w:pPr>
                    <w:pStyle w:val="104"/>
                    <w:rPr>
                      <w:rFonts w:hint="default" w:hAnsi="Times New Roman"/>
                      <w:lang w:val="en-US" w:eastAsia="zh-CN"/>
                    </w:rPr>
                  </w:pPr>
                  <w:r>
                    <w:rPr>
                      <w:rFonts w:hint="eastAsia" w:hAnsi="Times New Roman"/>
                      <w:lang w:val="en-US" w:eastAsia="zh-CN"/>
                    </w:rPr>
                    <w:t>0.58</w:t>
                  </w:r>
                </w:p>
              </w:tc>
              <w:tc>
                <w:tcPr>
                  <w:tcW w:w="496" w:type="dxa"/>
                  <w:noWrap w:val="0"/>
                  <w:vAlign w:val="center"/>
                </w:tcPr>
                <w:p w14:paraId="746B763C">
                  <w:pPr>
                    <w:pStyle w:val="104"/>
                    <w:rPr>
                      <w:rFonts w:hint="default" w:hAnsi="Times New Roman"/>
                      <w:lang w:val="en-US" w:eastAsia="zh-CN"/>
                    </w:rPr>
                  </w:pPr>
                  <w:r>
                    <w:rPr>
                      <w:rFonts w:hint="eastAsia" w:hAnsi="Times New Roman"/>
                      <w:lang w:val="en-US" w:eastAsia="zh-CN"/>
                    </w:rPr>
                    <w:t>6-9</w:t>
                  </w:r>
                </w:p>
              </w:tc>
            </w:tr>
            <w:tr w14:paraId="42A175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91" w:type="dxa"/>
                  <w:vMerge w:val="continue"/>
                  <w:tcBorders>
                    <w:right w:val="single" w:color="auto" w:sz="4" w:space="0"/>
                  </w:tcBorders>
                  <w:noWrap w:val="0"/>
                  <w:vAlign w:val="center"/>
                </w:tcPr>
                <w:p w14:paraId="6369EF13">
                  <w:pPr>
                    <w:autoSpaceDE w:val="0"/>
                    <w:autoSpaceDN w:val="0"/>
                    <w:adjustRightInd w:val="0"/>
                    <w:snapToGrid w:val="0"/>
                    <w:jc w:val="center"/>
                    <w:rPr>
                      <w:color w:val="000000"/>
                      <w:szCs w:val="21"/>
                    </w:rPr>
                  </w:pPr>
                </w:p>
              </w:tc>
              <w:tc>
                <w:tcPr>
                  <w:tcW w:w="2042" w:type="dxa"/>
                  <w:tcBorders>
                    <w:left w:val="single" w:color="auto" w:sz="4" w:space="0"/>
                  </w:tcBorders>
                  <w:noWrap w:val="0"/>
                  <w:vAlign w:val="center"/>
                </w:tcPr>
                <w:p w14:paraId="538D69CF">
                  <w:pPr>
                    <w:autoSpaceDE w:val="0"/>
                    <w:autoSpaceDN w:val="0"/>
                    <w:adjustRightInd w:val="0"/>
                    <w:snapToGrid w:val="0"/>
                    <w:jc w:val="center"/>
                    <w:rPr>
                      <w:rFonts w:hint="default" w:eastAsia="宋体"/>
                      <w:color w:val="000000"/>
                      <w:szCs w:val="21"/>
                      <w:lang w:val="en-US" w:eastAsia="zh-CN"/>
                    </w:rPr>
                  </w:pPr>
                  <w:r>
                    <w:rPr>
                      <w:rFonts w:hint="eastAsia"/>
                      <w:color w:val="000000"/>
                      <w:szCs w:val="21"/>
                      <w:lang w:val="en-US" w:eastAsia="zh-CN"/>
                    </w:rPr>
                    <w:t>排放量</w:t>
                  </w:r>
                </w:p>
              </w:tc>
              <w:tc>
                <w:tcPr>
                  <w:tcW w:w="794" w:type="dxa"/>
                  <w:noWrap w:val="0"/>
                  <w:vAlign w:val="center"/>
                </w:tcPr>
                <w:p w14:paraId="18D32FA0">
                  <w:pPr>
                    <w:pStyle w:val="104"/>
                    <w:rPr>
                      <w:rFonts w:hint="default" w:hAnsi="Times New Roman"/>
                      <w:kern w:val="0"/>
                      <w:lang w:val="en-US" w:eastAsia="zh-CN"/>
                    </w:rPr>
                  </w:pPr>
                  <w:r>
                    <w:rPr>
                      <w:rFonts w:hint="eastAsia" w:hAnsi="Times New Roman"/>
                      <w:kern w:val="0"/>
                      <w:lang w:val="en-US" w:eastAsia="zh-CN"/>
                    </w:rPr>
                    <w:t>0.040</w:t>
                  </w:r>
                </w:p>
              </w:tc>
              <w:tc>
                <w:tcPr>
                  <w:tcW w:w="794" w:type="dxa"/>
                  <w:noWrap w:val="0"/>
                  <w:vAlign w:val="center"/>
                </w:tcPr>
                <w:p w14:paraId="7B523C24">
                  <w:pPr>
                    <w:pStyle w:val="104"/>
                    <w:rPr>
                      <w:rFonts w:hint="default" w:hAnsi="Times New Roman"/>
                      <w:kern w:val="0"/>
                      <w:lang w:val="en-US" w:eastAsia="zh-CN"/>
                    </w:rPr>
                  </w:pPr>
                  <w:r>
                    <w:rPr>
                      <w:rFonts w:hint="eastAsia" w:hAnsi="Times New Roman"/>
                      <w:kern w:val="0"/>
                      <w:lang w:val="en-US" w:eastAsia="zh-CN"/>
                    </w:rPr>
                    <w:t>/</w:t>
                  </w:r>
                </w:p>
              </w:tc>
              <w:tc>
                <w:tcPr>
                  <w:tcW w:w="794" w:type="dxa"/>
                  <w:noWrap w:val="0"/>
                  <w:vAlign w:val="center"/>
                </w:tcPr>
                <w:p w14:paraId="00751606">
                  <w:pPr>
                    <w:pStyle w:val="104"/>
                    <w:rPr>
                      <w:rFonts w:hint="default" w:hAnsi="Times New Roman"/>
                      <w:lang w:val="en-US" w:eastAsia="zh-CN"/>
                    </w:rPr>
                  </w:pPr>
                  <w:r>
                    <w:rPr>
                      <w:rFonts w:hint="eastAsia" w:hAnsi="Times New Roman"/>
                      <w:lang w:val="en-US" w:eastAsia="zh-CN"/>
                    </w:rPr>
                    <w:t>/</w:t>
                  </w:r>
                </w:p>
              </w:tc>
              <w:tc>
                <w:tcPr>
                  <w:tcW w:w="809" w:type="dxa"/>
                  <w:noWrap w:val="0"/>
                  <w:vAlign w:val="center"/>
                </w:tcPr>
                <w:p w14:paraId="34D20953">
                  <w:pPr>
                    <w:pStyle w:val="104"/>
                    <w:rPr>
                      <w:rFonts w:hint="default" w:hAnsi="Times New Roman"/>
                      <w:lang w:val="en-US" w:eastAsia="zh-CN"/>
                    </w:rPr>
                  </w:pPr>
                  <w:r>
                    <w:rPr>
                      <w:rFonts w:hint="eastAsia" w:hAnsi="Times New Roman"/>
                      <w:lang w:val="en-US" w:eastAsia="zh-CN"/>
                    </w:rPr>
                    <w:t>0.004</w:t>
                  </w:r>
                </w:p>
              </w:tc>
              <w:tc>
                <w:tcPr>
                  <w:tcW w:w="689" w:type="dxa"/>
                  <w:noWrap w:val="0"/>
                  <w:vAlign w:val="center"/>
                </w:tcPr>
                <w:p w14:paraId="623CF1A6">
                  <w:pPr>
                    <w:pStyle w:val="104"/>
                    <w:rPr>
                      <w:rFonts w:hint="default" w:hAnsi="Times New Roman"/>
                      <w:lang w:val="en-US" w:eastAsia="zh-CN"/>
                    </w:rPr>
                  </w:pPr>
                  <w:r>
                    <w:rPr>
                      <w:rFonts w:hint="eastAsia" w:hAnsi="Times New Roman"/>
                      <w:lang w:val="en-US" w:eastAsia="zh-CN"/>
                    </w:rPr>
                    <w:t>/</w:t>
                  </w:r>
                </w:p>
              </w:tc>
              <w:tc>
                <w:tcPr>
                  <w:tcW w:w="689" w:type="dxa"/>
                  <w:noWrap w:val="0"/>
                  <w:vAlign w:val="center"/>
                </w:tcPr>
                <w:p w14:paraId="7F7E704E">
                  <w:pPr>
                    <w:pStyle w:val="104"/>
                    <w:rPr>
                      <w:rFonts w:hint="default" w:hAnsi="Times New Roman"/>
                      <w:lang w:val="en-US" w:eastAsia="zh-CN"/>
                    </w:rPr>
                  </w:pPr>
                  <w:r>
                    <w:rPr>
                      <w:rFonts w:hint="eastAsia" w:hAnsi="Times New Roman"/>
                      <w:lang w:val="en-US" w:eastAsia="zh-CN"/>
                    </w:rPr>
                    <w:t>0.0004</w:t>
                  </w:r>
                </w:p>
              </w:tc>
              <w:tc>
                <w:tcPr>
                  <w:tcW w:w="496" w:type="dxa"/>
                  <w:noWrap w:val="0"/>
                  <w:vAlign w:val="center"/>
                </w:tcPr>
                <w:p w14:paraId="7638CD7D">
                  <w:pPr>
                    <w:pStyle w:val="104"/>
                    <w:rPr>
                      <w:rFonts w:hint="default" w:hAnsi="Times New Roman"/>
                      <w:lang w:val="en-US" w:eastAsia="zh-CN"/>
                    </w:rPr>
                  </w:pPr>
                  <w:r>
                    <w:rPr>
                      <w:rFonts w:hint="eastAsia" w:hAnsi="Times New Roman"/>
                      <w:lang w:val="en-US" w:eastAsia="zh-CN"/>
                    </w:rPr>
                    <w:t>/</w:t>
                  </w:r>
                </w:p>
              </w:tc>
            </w:tr>
            <w:tr w14:paraId="7F242DC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33" w:type="dxa"/>
                  <w:gridSpan w:val="2"/>
                  <w:noWrap w:val="0"/>
                  <w:vAlign w:val="center"/>
                </w:tcPr>
                <w:p w14:paraId="5310D091">
                  <w:pPr>
                    <w:jc w:val="center"/>
                    <w:rPr>
                      <w:color w:val="000000"/>
                      <w:szCs w:val="21"/>
                    </w:rPr>
                  </w:pPr>
                  <w:r>
                    <w:rPr>
                      <w:color w:val="000000"/>
                      <w:szCs w:val="21"/>
                    </w:rPr>
                    <w:t>总排口</w:t>
                  </w:r>
                  <w:r>
                    <w:rPr>
                      <w:rFonts w:hint="eastAsia"/>
                      <w:color w:val="000000"/>
                      <w:szCs w:val="21"/>
                      <w:lang w:val="en-US" w:eastAsia="zh-CN"/>
                    </w:rPr>
                    <w:t>排放</w:t>
                  </w:r>
                  <w:r>
                    <w:rPr>
                      <w:color w:val="000000"/>
                      <w:szCs w:val="21"/>
                    </w:rPr>
                    <w:t>浓度（mg/L）</w:t>
                  </w:r>
                </w:p>
              </w:tc>
              <w:tc>
                <w:tcPr>
                  <w:tcW w:w="794" w:type="dxa"/>
                  <w:noWrap w:val="0"/>
                  <w:vAlign w:val="center"/>
                </w:tcPr>
                <w:p w14:paraId="7F36D848">
                  <w:pPr>
                    <w:pStyle w:val="104"/>
                    <w:rPr>
                      <w:rFonts w:hint="default" w:hAnsi="Times New Roman" w:eastAsia="宋体"/>
                      <w:kern w:val="0"/>
                      <w:lang w:val="en-US" w:eastAsia="zh-CN"/>
                    </w:rPr>
                  </w:pPr>
                  <w:r>
                    <w:rPr>
                      <w:rFonts w:hint="eastAsia" w:hAnsi="Times New Roman"/>
                      <w:kern w:val="0"/>
                      <w:lang w:val="en-US" w:eastAsia="zh-CN"/>
                    </w:rPr>
                    <w:t>298.8</w:t>
                  </w:r>
                </w:p>
              </w:tc>
              <w:tc>
                <w:tcPr>
                  <w:tcW w:w="794" w:type="dxa"/>
                  <w:noWrap w:val="0"/>
                  <w:vAlign w:val="center"/>
                </w:tcPr>
                <w:p w14:paraId="29C5997A">
                  <w:pPr>
                    <w:pStyle w:val="104"/>
                    <w:rPr>
                      <w:rFonts w:hint="default" w:hAnsi="Times New Roman" w:eastAsia="宋体"/>
                      <w:kern w:val="0"/>
                      <w:lang w:val="en-US" w:eastAsia="zh-CN"/>
                    </w:rPr>
                  </w:pPr>
                  <w:r>
                    <w:rPr>
                      <w:rFonts w:hint="eastAsia" w:hAnsi="Times New Roman"/>
                      <w:kern w:val="0"/>
                      <w:lang w:val="en-US" w:eastAsia="zh-CN"/>
                    </w:rPr>
                    <w:t>181.9</w:t>
                  </w:r>
                </w:p>
              </w:tc>
              <w:tc>
                <w:tcPr>
                  <w:tcW w:w="794" w:type="dxa"/>
                  <w:noWrap w:val="0"/>
                  <w:vAlign w:val="center"/>
                </w:tcPr>
                <w:p w14:paraId="660EDFD9">
                  <w:pPr>
                    <w:pStyle w:val="104"/>
                    <w:rPr>
                      <w:rFonts w:hint="default" w:hAnsi="Times New Roman" w:eastAsia="宋体"/>
                      <w:lang w:val="en-US" w:eastAsia="zh-CN"/>
                    </w:rPr>
                  </w:pPr>
                  <w:r>
                    <w:rPr>
                      <w:rFonts w:hint="eastAsia" w:hAnsi="Times New Roman"/>
                      <w:lang w:val="en-US" w:eastAsia="zh-CN"/>
                    </w:rPr>
                    <w:t>70</w:t>
                  </w:r>
                </w:p>
              </w:tc>
              <w:tc>
                <w:tcPr>
                  <w:tcW w:w="809" w:type="dxa"/>
                  <w:noWrap w:val="0"/>
                  <w:vAlign w:val="center"/>
                </w:tcPr>
                <w:p w14:paraId="57057FC8">
                  <w:pPr>
                    <w:pStyle w:val="104"/>
                    <w:rPr>
                      <w:rFonts w:hint="default" w:hAnsi="Times New Roman" w:eastAsia="宋体"/>
                      <w:lang w:val="en-US" w:eastAsia="zh-CN"/>
                    </w:rPr>
                  </w:pPr>
                  <w:r>
                    <w:rPr>
                      <w:rFonts w:hint="eastAsia" w:hAnsi="Times New Roman"/>
                      <w:lang w:val="en-US" w:eastAsia="zh-CN"/>
                    </w:rPr>
                    <w:t>29.6</w:t>
                  </w:r>
                </w:p>
              </w:tc>
              <w:tc>
                <w:tcPr>
                  <w:tcW w:w="689" w:type="dxa"/>
                  <w:noWrap w:val="0"/>
                  <w:vAlign w:val="center"/>
                </w:tcPr>
                <w:p w14:paraId="6887DFDC">
                  <w:pPr>
                    <w:pStyle w:val="104"/>
                    <w:rPr>
                      <w:rFonts w:hint="default" w:hAnsi="Times New Roman" w:eastAsia="宋体"/>
                      <w:lang w:val="en-US" w:eastAsia="zh-CN"/>
                    </w:rPr>
                  </w:pPr>
                  <w:r>
                    <w:rPr>
                      <w:rFonts w:hint="eastAsia" w:hAnsi="Times New Roman"/>
                      <w:lang w:val="en-US" w:eastAsia="zh-CN"/>
                    </w:rPr>
                    <w:t>40.7</w:t>
                  </w:r>
                </w:p>
              </w:tc>
              <w:tc>
                <w:tcPr>
                  <w:tcW w:w="689" w:type="dxa"/>
                  <w:noWrap w:val="0"/>
                  <w:vAlign w:val="center"/>
                </w:tcPr>
                <w:p w14:paraId="64EFDE82">
                  <w:pPr>
                    <w:pStyle w:val="104"/>
                    <w:rPr>
                      <w:rFonts w:hint="default" w:hAnsi="Times New Roman" w:eastAsia="宋体"/>
                      <w:lang w:val="en-US" w:eastAsia="zh-CN"/>
                    </w:rPr>
                  </w:pPr>
                  <w:r>
                    <w:rPr>
                      <w:rFonts w:hint="eastAsia" w:hAnsi="Times New Roman"/>
                      <w:lang w:val="en-US" w:eastAsia="zh-CN"/>
                    </w:rPr>
                    <w:t>4.9</w:t>
                  </w:r>
                </w:p>
              </w:tc>
              <w:tc>
                <w:tcPr>
                  <w:tcW w:w="496" w:type="dxa"/>
                  <w:noWrap w:val="0"/>
                  <w:vAlign w:val="center"/>
                </w:tcPr>
                <w:p w14:paraId="297C0214">
                  <w:pPr>
                    <w:pStyle w:val="104"/>
                    <w:rPr>
                      <w:rFonts w:hint="default" w:hAnsi="Times New Roman" w:eastAsia="宋体"/>
                      <w:lang w:val="en-US" w:eastAsia="zh-CN"/>
                    </w:rPr>
                  </w:pPr>
                  <w:r>
                    <w:rPr>
                      <w:rFonts w:hint="eastAsia" w:hAnsi="Times New Roman"/>
                      <w:lang w:val="en-US" w:eastAsia="zh-CN"/>
                    </w:rPr>
                    <w:t>6-9</w:t>
                  </w:r>
                </w:p>
              </w:tc>
            </w:tr>
            <w:tr w14:paraId="45B6F7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33" w:type="dxa"/>
                  <w:gridSpan w:val="2"/>
                  <w:noWrap w:val="0"/>
                  <w:vAlign w:val="center"/>
                </w:tcPr>
                <w:p w14:paraId="1FA296D8">
                  <w:pPr>
                    <w:jc w:val="center"/>
                    <w:rPr>
                      <w:color w:val="000000"/>
                      <w:szCs w:val="21"/>
                    </w:rPr>
                  </w:pPr>
                  <w:r>
                    <w:rPr>
                      <w:rFonts w:hint="eastAsia"/>
                      <w:szCs w:val="28"/>
                    </w:rPr>
                    <w:t>《</w:t>
                  </w:r>
                  <w:r>
                    <w:rPr>
                      <w:rFonts w:hint="eastAsia"/>
                      <w:szCs w:val="28"/>
                      <w:lang w:val="en-US" w:eastAsia="zh-CN"/>
                    </w:rPr>
                    <w:t>食品加工制造业水污染物排放标准</w:t>
                  </w:r>
                  <w:r>
                    <w:rPr>
                      <w:rFonts w:hint="eastAsia"/>
                      <w:szCs w:val="28"/>
                    </w:rPr>
                    <w:t>》（</w:t>
                  </w:r>
                  <w:r>
                    <w:rPr>
                      <w:rFonts w:hint="eastAsia"/>
                      <w:szCs w:val="28"/>
                      <w:lang w:val="en-US" w:eastAsia="zh-CN"/>
                    </w:rPr>
                    <w:t>GB 46817-2025</w:t>
                  </w:r>
                  <w:r>
                    <w:rPr>
                      <w:rFonts w:hint="eastAsia"/>
                      <w:szCs w:val="28"/>
                    </w:rPr>
                    <w:t>）表</w:t>
                  </w:r>
                  <w:r>
                    <w:rPr>
                      <w:rFonts w:hint="eastAsia"/>
                      <w:szCs w:val="28"/>
                      <w:lang w:val="en-US" w:eastAsia="zh-CN"/>
                    </w:rPr>
                    <w:t>1间接排放</w:t>
                  </w:r>
                  <w:r>
                    <w:rPr>
                      <w:rFonts w:hint="eastAsia"/>
                      <w:szCs w:val="28"/>
                    </w:rPr>
                    <w:t>标准</w:t>
                  </w:r>
                </w:p>
              </w:tc>
              <w:tc>
                <w:tcPr>
                  <w:tcW w:w="794" w:type="dxa"/>
                  <w:noWrap w:val="0"/>
                  <w:vAlign w:val="center"/>
                </w:tcPr>
                <w:p w14:paraId="6BDA83E8">
                  <w:pPr>
                    <w:pStyle w:val="104"/>
                    <w:rPr>
                      <w:rFonts w:hint="default" w:hAnsi="Times New Roman" w:eastAsia="宋体"/>
                      <w:lang w:val="en-US" w:eastAsia="zh-CN"/>
                    </w:rPr>
                  </w:pPr>
                  <w:r>
                    <w:rPr>
                      <w:rFonts w:hint="eastAsia" w:hAnsi="Times New Roman"/>
                      <w:lang w:val="en-US" w:eastAsia="zh-CN"/>
                    </w:rPr>
                    <w:t>500</w:t>
                  </w:r>
                </w:p>
              </w:tc>
              <w:tc>
                <w:tcPr>
                  <w:tcW w:w="794" w:type="dxa"/>
                  <w:noWrap w:val="0"/>
                  <w:vAlign w:val="center"/>
                </w:tcPr>
                <w:p w14:paraId="1979B264">
                  <w:pPr>
                    <w:pStyle w:val="104"/>
                    <w:rPr>
                      <w:rFonts w:hint="default" w:hAnsi="Times New Roman" w:eastAsia="宋体"/>
                      <w:lang w:val="en-US" w:eastAsia="zh-CN"/>
                    </w:rPr>
                  </w:pPr>
                  <w:r>
                    <w:rPr>
                      <w:rFonts w:hint="eastAsia" w:hAnsi="Times New Roman"/>
                      <w:lang w:val="en-US" w:eastAsia="zh-CN"/>
                    </w:rPr>
                    <w:t>350</w:t>
                  </w:r>
                </w:p>
              </w:tc>
              <w:tc>
                <w:tcPr>
                  <w:tcW w:w="794" w:type="dxa"/>
                  <w:noWrap w:val="0"/>
                  <w:vAlign w:val="center"/>
                </w:tcPr>
                <w:p w14:paraId="1C988DE4">
                  <w:pPr>
                    <w:pStyle w:val="104"/>
                    <w:rPr>
                      <w:rFonts w:hint="default" w:hAnsi="Times New Roman" w:eastAsia="宋体"/>
                      <w:lang w:val="en-US" w:eastAsia="zh-CN"/>
                    </w:rPr>
                  </w:pPr>
                  <w:r>
                    <w:rPr>
                      <w:rFonts w:hint="eastAsia" w:hAnsi="Times New Roman"/>
                      <w:lang w:val="en-US" w:eastAsia="zh-CN"/>
                    </w:rPr>
                    <w:t>400</w:t>
                  </w:r>
                </w:p>
              </w:tc>
              <w:tc>
                <w:tcPr>
                  <w:tcW w:w="809" w:type="dxa"/>
                  <w:noWrap w:val="0"/>
                  <w:vAlign w:val="center"/>
                </w:tcPr>
                <w:p w14:paraId="13352B68">
                  <w:pPr>
                    <w:pStyle w:val="104"/>
                    <w:rPr>
                      <w:rFonts w:hint="default" w:hAnsi="Times New Roman" w:eastAsia="宋体"/>
                      <w:lang w:val="en-US" w:eastAsia="zh-CN"/>
                    </w:rPr>
                  </w:pPr>
                  <w:r>
                    <w:rPr>
                      <w:rFonts w:hint="eastAsia" w:hAnsi="Times New Roman"/>
                      <w:lang w:val="en-US" w:eastAsia="zh-CN"/>
                    </w:rPr>
                    <w:t>45</w:t>
                  </w:r>
                </w:p>
              </w:tc>
              <w:tc>
                <w:tcPr>
                  <w:tcW w:w="689" w:type="dxa"/>
                  <w:noWrap w:val="0"/>
                  <w:vAlign w:val="center"/>
                </w:tcPr>
                <w:p w14:paraId="19FB898A">
                  <w:pPr>
                    <w:pStyle w:val="104"/>
                    <w:rPr>
                      <w:rFonts w:hint="default" w:hAnsi="Times New Roman" w:eastAsia="宋体"/>
                      <w:lang w:val="en-US" w:eastAsia="zh-CN"/>
                    </w:rPr>
                  </w:pPr>
                  <w:r>
                    <w:rPr>
                      <w:rFonts w:hint="eastAsia" w:hAnsi="Times New Roman"/>
                      <w:lang w:val="en-US" w:eastAsia="zh-CN"/>
                    </w:rPr>
                    <w:t>70</w:t>
                  </w:r>
                </w:p>
              </w:tc>
              <w:tc>
                <w:tcPr>
                  <w:tcW w:w="689" w:type="dxa"/>
                  <w:noWrap w:val="0"/>
                  <w:vAlign w:val="center"/>
                </w:tcPr>
                <w:p w14:paraId="0A47BF7F">
                  <w:pPr>
                    <w:pStyle w:val="104"/>
                    <w:rPr>
                      <w:rFonts w:hint="default" w:hAnsi="Times New Roman"/>
                      <w:lang w:val="en-US" w:eastAsia="zh-CN"/>
                    </w:rPr>
                  </w:pPr>
                  <w:r>
                    <w:rPr>
                      <w:rFonts w:hint="eastAsia" w:hAnsi="Times New Roman"/>
                      <w:lang w:val="en-US" w:eastAsia="zh-CN"/>
                    </w:rPr>
                    <w:t>8.0</w:t>
                  </w:r>
                </w:p>
              </w:tc>
              <w:tc>
                <w:tcPr>
                  <w:tcW w:w="496" w:type="dxa"/>
                  <w:noWrap w:val="0"/>
                  <w:vAlign w:val="center"/>
                </w:tcPr>
                <w:p w14:paraId="448C7987">
                  <w:pPr>
                    <w:pStyle w:val="104"/>
                    <w:rPr>
                      <w:rFonts w:hint="eastAsia" w:hAnsi="Times New Roman"/>
                      <w:lang w:val="en-US" w:eastAsia="zh-CN"/>
                    </w:rPr>
                  </w:pPr>
                  <w:r>
                    <w:rPr>
                      <w:rFonts w:hint="eastAsia" w:hAnsi="Times New Roman"/>
                      <w:lang w:val="en-US" w:eastAsia="zh-CN"/>
                    </w:rPr>
                    <w:t>6-9</w:t>
                  </w:r>
                </w:p>
              </w:tc>
            </w:tr>
            <w:tr w14:paraId="4C2BD6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33" w:type="dxa"/>
                  <w:gridSpan w:val="2"/>
                  <w:noWrap w:val="0"/>
                  <w:vAlign w:val="center"/>
                </w:tcPr>
                <w:p w14:paraId="11269825">
                  <w:pPr>
                    <w:jc w:val="center"/>
                    <w:rPr>
                      <w:color w:val="000000"/>
                      <w:szCs w:val="21"/>
                    </w:rPr>
                  </w:pPr>
                  <w:r>
                    <w:rPr>
                      <w:rFonts w:hint="eastAsia" w:hAnsi="Times New Roman"/>
                      <w:lang w:eastAsia="zh-CN"/>
                    </w:rPr>
                    <w:t>汤阴固现污水处理有限公司</w:t>
                  </w:r>
                  <w:r>
                    <w:t>收水标准</w:t>
                  </w:r>
                  <w:r>
                    <w:rPr>
                      <w:color w:val="000000"/>
                      <w:szCs w:val="21"/>
                    </w:rPr>
                    <w:t>（mg/L）</w:t>
                  </w:r>
                </w:p>
              </w:tc>
              <w:tc>
                <w:tcPr>
                  <w:tcW w:w="794" w:type="dxa"/>
                  <w:noWrap w:val="0"/>
                  <w:vAlign w:val="center"/>
                </w:tcPr>
                <w:p w14:paraId="757D582C">
                  <w:pPr>
                    <w:pStyle w:val="104"/>
                    <w:rPr>
                      <w:rFonts w:hint="default" w:hAnsi="Times New Roman" w:eastAsia="宋体"/>
                      <w:lang w:val="en-US" w:eastAsia="zh-CN"/>
                    </w:rPr>
                  </w:pPr>
                  <w:r>
                    <w:rPr>
                      <w:rFonts w:hint="eastAsia" w:hAnsi="Times New Roman"/>
                      <w:lang w:val="en-US" w:eastAsia="zh-CN"/>
                    </w:rPr>
                    <w:t>390</w:t>
                  </w:r>
                </w:p>
              </w:tc>
              <w:tc>
                <w:tcPr>
                  <w:tcW w:w="794" w:type="dxa"/>
                  <w:noWrap w:val="0"/>
                  <w:vAlign w:val="center"/>
                </w:tcPr>
                <w:p w14:paraId="570107D4">
                  <w:pPr>
                    <w:pStyle w:val="104"/>
                    <w:rPr>
                      <w:rFonts w:hint="default" w:hAnsi="Times New Roman" w:eastAsia="宋体"/>
                      <w:lang w:val="en-US" w:eastAsia="zh-CN"/>
                    </w:rPr>
                  </w:pPr>
                  <w:r>
                    <w:rPr>
                      <w:rFonts w:hint="eastAsia" w:hAnsi="Times New Roman"/>
                      <w:lang w:val="en-US" w:eastAsia="zh-CN"/>
                    </w:rPr>
                    <w:t>190</w:t>
                  </w:r>
                </w:p>
              </w:tc>
              <w:tc>
                <w:tcPr>
                  <w:tcW w:w="794" w:type="dxa"/>
                  <w:noWrap w:val="0"/>
                  <w:vAlign w:val="center"/>
                </w:tcPr>
                <w:p w14:paraId="5A7610B0">
                  <w:pPr>
                    <w:pStyle w:val="104"/>
                    <w:rPr>
                      <w:rFonts w:hint="default" w:hAnsi="Times New Roman" w:eastAsia="宋体"/>
                      <w:lang w:val="en-US" w:eastAsia="zh-CN"/>
                    </w:rPr>
                  </w:pPr>
                  <w:r>
                    <w:rPr>
                      <w:rFonts w:hint="eastAsia" w:hAnsi="Times New Roman"/>
                      <w:lang w:val="en-US" w:eastAsia="zh-CN"/>
                    </w:rPr>
                    <w:t>210</w:t>
                  </w:r>
                </w:p>
              </w:tc>
              <w:tc>
                <w:tcPr>
                  <w:tcW w:w="809" w:type="dxa"/>
                  <w:noWrap w:val="0"/>
                  <w:vAlign w:val="center"/>
                </w:tcPr>
                <w:p w14:paraId="70710F0F">
                  <w:pPr>
                    <w:pStyle w:val="104"/>
                    <w:rPr>
                      <w:rFonts w:hint="default" w:hAnsi="Times New Roman" w:eastAsia="宋体"/>
                      <w:lang w:val="en-US" w:eastAsia="zh-CN"/>
                    </w:rPr>
                  </w:pPr>
                  <w:r>
                    <w:rPr>
                      <w:rFonts w:hint="eastAsia" w:hAnsi="Times New Roman"/>
                      <w:lang w:val="en-US" w:eastAsia="zh-CN"/>
                    </w:rPr>
                    <w:t>35</w:t>
                  </w:r>
                </w:p>
              </w:tc>
              <w:tc>
                <w:tcPr>
                  <w:tcW w:w="689" w:type="dxa"/>
                  <w:noWrap w:val="0"/>
                  <w:vAlign w:val="center"/>
                </w:tcPr>
                <w:p w14:paraId="680905D8">
                  <w:pPr>
                    <w:pStyle w:val="104"/>
                    <w:rPr>
                      <w:rFonts w:hint="default" w:hAnsi="Times New Roman" w:eastAsia="宋体"/>
                      <w:lang w:val="en-US" w:eastAsia="zh-CN"/>
                    </w:rPr>
                  </w:pPr>
                  <w:r>
                    <w:rPr>
                      <w:rFonts w:hint="eastAsia" w:hAnsi="Times New Roman"/>
                      <w:lang w:val="en-US" w:eastAsia="zh-CN"/>
                    </w:rPr>
                    <w:t>/</w:t>
                  </w:r>
                </w:p>
              </w:tc>
              <w:tc>
                <w:tcPr>
                  <w:tcW w:w="689" w:type="dxa"/>
                  <w:noWrap w:val="0"/>
                  <w:vAlign w:val="center"/>
                </w:tcPr>
                <w:p w14:paraId="2B67BF06">
                  <w:pPr>
                    <w:pStyle w:val="104"/>
                    <w:rPr>
                      <w:rFonts w:hint="default" w:hAnsi="Times New Roman"/>
                      <w:lang w:val="en-US" w:eastAsia="zh-CN"/>
                    </w:rPr>
                  </w:pPr>
                  <w:r>
                    <w:rPr>
                      <w:rFonts w:hint="eastAsia" w:hAnsi="Times New Roman"/>
                      <w:lang w:val="en-US" w:eastAsia="zh-CN"/>
                    </w:rPr>
                    <w:t>5.0</w:t>
                  </w:r>
                </w:p>
              </w:tc>
              <w:tc>
                <w:tcPr>
                  <w:tcW w:w="496" w:type="dxa"/>
                  <w:noWrap w:val="0"/>
                  <w:vAlign w:val="center"/>
                </w:tcPr>
                <w:p w14:paraId="31647F25">
                  <w:pPr>
                    <w:pStyle w:val="104"/>
                    <w:rPr>
                      <w:rFonts w:hint="eastAsia" w:hAnsi="Times New Roman"/>
                      <w:lang w:val="en-US" w:eastAsia="zh-CN"/>
                    </w:rPr>
                  </w:pPr>
                  <w:r>
                    <w:rPr>
                      <w:rFonts w:hint="eastAsia" w:hAnsi="Times New Roman"/>
                      <w:lang w:val="en-US" w:eastAsia="zh-CN"/>
                    </w:rPr>
                    <w:t>6-9</w:t>
                  </w:r>
                </w:p>
              </w:tc>
            </w:tr>
            <w:tr w14:paraId="42D672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33" w:type="dxa"/>
                  <w:gridSpan w:val="2"/>
                  <w:noWrap w:val="0"/>
                  <w:vAlign w:val="center"/>
                </w:tcPr>
                <w:p w14:paraId="098DE836">
                  <w:pPr>
                    <w:jc w:val="center"/>
                    <w:rPr>
                      <w:color w:val="000000"/>
                      <w:szCs w:val="21"/>
                    </w:rPr>
                  </w:pPr>
                  <w:r>
                    <w:rPr>
                      <w:color w:val="000000"/>
                      <w:szCs w:val="21"/>
                    </w:rPr>
                    <w:t>达标分析</w:t>
                  </w:r>
                </w:p>
              </w:tc>
              <w:tc>
                <w:tcPr>
                  <w:tcW w:w="794" w:type="dxa"/>
                  <w:noWrap w:val="0"/>
                  <w:vAlign w:val="center"/>
                </w:tcPr>
                <w:p w14:paraId="2F33797F">
                  <w:pPr>
                    <w:pStyle w:val="104"/>
                    <w:rPr>
                      <w:rFonts w:hAnsi="Times New Roman"/>
                    </w:rPr>
                  </w:pPr>
                  <w:r>
                    <w:rPr>
                      <w:rFonts w:hAnsi="Times New Roman"/>
                    </w:rPr>
                    <w:t>达标</w:t>
                  </w:r>
                </w:p>
              </w:tc>
              <w:tc>
                <w:tcPr>
                  <w:tcW w:w="794" w:type="dxa"/>
                  <w:noWrap w:val="0"/>
                  <w:vAlign w:val="center"/>
                </w:tcPr>
                <w:p w14:paraId="2C6C8CE4">
                  <w:pPr>
                    <w:pStyle w:val="104"/>
                    <w:rPr>
                      <w:rFonts w:hAnsi="Times New Roman"/>
                    </w:rPr>
                  </w:pPr>
                  <w:r>
                    <w:rPr>
                      <w:rFonts w:hAnsi="Times New Roman"/>
                    </w:rPr>
                    <w:t>达标</w:t>
                  </w:r>
                </w:p>
              </w:tc>
              <w:tc>
                <w:tcPr>
                  <w:tcW w:w="794" w:type="dxa"/>
                  <w:noWrap w:val="0"/>
                  <w:vAlign w:val="center"/>
                </w:tcPr>
                <w:p w14:paraId="0458849C">
                  <w:pPr>
                    <w:pStyle w:val="104"/>
                    <w:rPr>
                      <w:rFonts w:hAnsi="Times New Roman"/>
                    </w:rPr>
                  </w:pPr>
                  <w:r>
                    <w:rPr>
                      <w:rFonts w:hAnsi="Times New Roman"/>
                    </w:rPr>
                    <w:t>达标</w:t>
                  </w:r>
                </w:p>
              </w:tc>
              <w:tc>
                <w:tcPr>
                  <w:tcW w:w="809" w:type="dxa"/>
                  <w:noWrap w:val="0"/>
                  <w:vAlign w:val="center"/>
                </w:tcPr>
                <w:p w14:paraId="5CBD3482">
                  <w:pPr>
                    <w:pStyle w:val="104"/>
                    <w:rPr>
                      <w:rFonts w:hAnsi="Times New Roman"/>
                    </w:rPr>
                  </w:pPr>
                  <w:r>
                    <w:rPr>
                      <w:rFonts w:hAnsi="Times New Roman"/>
                    </w:rPr>
                    <w:t>达标</w:t>
                  </w:r>
                </w:p>
              </w:tc>
              <w:tc>
                <w:tcPr>
                  <w:tcW w:w="689" w:type="dxa"/>
                  <w:noWrap w:val="0"/>
                  <w:vAlign w:val="center"/>
                </w:tcPr>
                <w:p w14:paraId="1FA4D986">
                  <w:pPr>
                    <w:pStyle w:val="104"/>
                    <w:rPr>
                      <w:rFonts w:hint="eastAsia" w:hAnsi="Times New Roman" w:eastAsia="宋体"/>
                      <w:lang w:val="en-US" w:eastAsia="zh-CN"/>
                    </w:rPr>
                  </w:pPr>
                  <w:r>
                    <w:rPr>
                      <w:rFonts w:hint="eastAsia" w:hAnsi="Times New Roman"/>
                      <w:lang w:val="en-US" w:eastAsia="zh-CN"/>
                    </w:rPr>
                    <w:t>达标</w:t>
                  </w:r>
                </w:p>
              </w:tc>
              <w:tc>
                <w:tcPr>
                  <w:tcW w:w="689" w:type="dxa"/>
                  <w:noWrap w:val="0"/>
                  <w:vAlign w:val="center"/>
                </w:tcPr>
                <w:p w14:paraId="22CA6188">
                  <w:pPr>
                    <w:pStyle w:val="104"/>
                    <w:rPr>
                      <w:rFonts w:hint="eastAsia" w:hAnsi="Times New Roman" w:eastAsia="宋体"/>
                      <w:lang w:val="en-US" w:eastAsia="zh-CN"/>
                    </w:rPr>
                  </w:pPr>
                  <w:r>
                    <w:rPr>
                      <w:rFonts w:hint="eastAsia" w:hAnsi="Times New Roman"/>
                      <w:lang w:val="en-US" w:eastAsia="zh-CN"/>
                    </w:rPr>
                    <w:t>达标</w:t>
                  </w:r>
                </w:p>
              </w:tc>
              <w:tc>
                <w:tcPr>
                  <w:tcW w:w="496" w:type="dxa"/>
                  <w:noWrap w:val="0"/>
                  <w:vAlign w:val="center"/>
                </w:tcPr>
                <w:p w14:paraId="70F20E09">
                  <w:pPr>
                    <w:pStyle w:val="104"/>
                    <w:rPr>
                      <w:rFonts w:hAnsi="Times New Roman"/>
                    </w:rPr>
                  </w:pPr>
                  <w:r>
                    <w:rPr>
                      <w:rFonts w:hAnsi="Times New Roman"/>
                    </w:rPr>
                    <w:t>达标</w:t>
                  </w:r>
                </w:p>
              </w:tc>
            </w:tr>
            <w:tr w14:paraId="6FAE91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33" w:type="dxa"/>
                  <w:gridSpan w:val="2"/>
                  <w:noWrap w:val="0"/>
                  <w:vAlign w:val="center"/>
                </w:tcPr>
                <w:p w14:paraId="5DFC7F83">
                  <w:pPr>
                    <w:jc w:val="center"/>
                    <w:rPr>
                      <w:color w:val="000000"/>
                      <w:szCs w:val="21"/>
                    </w:rPr>
                  </w:pPr>
                  <w:r>
                    <w:rPr>
                      <w:rFonts w:hint="eastAsia" w:hAnsi="Times New Roman"/>
                      <w:lang w:eastAsia="zh-CN"/>
                    </w:rPr>
                    <w:t>汤阴固现污水处理有限公司</w:t>
                  </w:r>
                  <w:r>
                    <w:rPr>
                      <w:color w:val="000000"/>
                      <w:szCs w:val="21"/>
                    </w:rPr>
                    <w:t>出水指标（mg/L）</w:t>
                  </w:r>
                </w:p>
              </w:tc>
              <w:tc>
                <w:tcPr>
                  <w:tcW w:w="794" w:type="dxa"/>
                  <w:noWrap w:val="0"/>
                  <w:vAlign w:val="center"/>
                </w:tcPr>
                <w:p w14:paraId="4C8C2FD9">
                  <w:pPr>
                    <w:pStyle w:val="104"/>
                    <w:rPr>
                      <w:rFonts w:hint="default" w:hAnsi="Times New Roman" w:eastAsia="宋体"/>
                      <w:lang w:val="en-US" w:eastAsia="zh-CN"/>
                    </w:rPr>
                  </w:pPr>
                  <w:r>
                    <w:rPr>
                      <w:rFonts w:hint="eastAsia" w:hAnsi="Times New Roman"/>
                      <w:lang w:val="en-US" w:eastAsia="zh-CN"/>
                    </w:rPr>
                    <w:t>50</w:t>
                  </w:r>
                </w:p>
              </w:tc>
              <w:tc>
                <w:tcPr>
                  <w:tcW w:w="794" w:type="dxa"/>
                  <w:noWrap w:val="0"/>
                  <w:vAlign w:val="center"/>
                </w:tcPr>
                <w:p w14:paraId="2EEF0080">
                  <w:pPr>
                    <w:pStyle w:val="104"/>
                    <w:rPr>
                      <w:rFonts w:hint="default" w:hAnsi="Times New Roman" w:eastAsia="宋体"/>
                      <w:lang w:val="en-US" w:eastAsia="zh-CN"/>
                    </w:rPr>
                  </w:pPr>
                  <w:r>
                    <w:rPr>
                      <w:rFonts w:hint="eastAsia" w:hAnsi="Times New Roman"/>
                      <w:lang w:val="en-US" w:eastAsia="zh-CN"/>
                    </w:rPr>
                    <w:t>10</w:t>
                  </w:r>
                </w:p>
              </w:tc>
              <w:tc>
                <w:tcPr>
                  <w:tcW w:w="794" w:type="dxa"/>
                  <w:noWrap w:val="0"/>
                  <w:vAlign w:val="center"/>
                </w:tcPr>
                <w:p w14:paraId="37D832EF">
                  <w:pPr>
                    <w:pStyle w:val="104"/>
                    <w:rPr>
                      <w:rFonts w:hAnsi="Times New Roman"/>
                    </w:rPr>
                  </w:pPr>
                  <w:r>
                    <w:rPr>
                      <w:rFonts w:hAnsi="Times New Roman"/>
                    </w:rPr>
                    <w:t>10</w:t>
                  </w:r>
                </w:p>
              </w:tc>
              <w:tc>
                <w:tcPr>
                  <w:tcW w:w="809" w:type="dxa"/>
                  <w:noWrap w:val="0"/>
                  <w:vAlign w:val="center"/>
                </w:tcPr>
                <w:p w14:paraId="5B8E3C46">
                  <w:pPr>
                    <w:pStyle w:val="104"/>
                    <w:rPr>
                      <w:rFonts w:hint="eastAsia" w:hAnsi="Times New Roman" w:eastAsia="宋体"/>
                      <w:lang w:eastAsia="zh-CN"/>
                    </w:rPr>
                  </w:pPr>
                </w:p>
              </w:tc>
              <w:tc>
                <w:tcPr>
                  <w:tcW w:w="689" w:type="dxa"/>
                  <w:noWrap w:val="0"/>
                  <w:vAlign w:val="center"/>
                </w:tcPr>
                <w:p w14:paraId="7EC3CC2B">
                  <w:pPr>
                    <w:pStyle w:val="104"/>
                    <w:rPr>
                      <w:rFonts w:hint="default" w:hAnsi="Times New Roman" w:eastAsia="宋体"/>
                      <w:lang w:val="en-US" w:eastAsia="zh-CN"/>
                    </w:rPr>
                  </w:pPr>
                </w:p>
              </w:tc>
              <w:tc>
                <w:tcPr>
                  <w:tcW w:w="689" w:type="dxa"/>
                  <w:noWrap w:val="0"/>
                  <w:vAlign w:val="center"/>
                </w:tcPr>
                <w:p w14:paraId="77E11577">
                  <w:pPr>
                    <w:pStyle w:val="104"/>
                    <w:rPr>
                      <w:rFonts w:hint="default" w:hAnsi="Times New Roman" w:eastAsia="宋体"/>
                      <w:lang w:val="en-US" w:eastAsia="zh-CN"/>
                    </w:rPr>
                  </w:pPr>
                  <w:r>
                    <w:rPr>
                      <w:rFonts w:hint="eastAsia" w:hAnsi="Times New Roman"/>
                      <w:lang w:val="en-US" w:eastAsia="zh-CN"/>
                    </w:rPr>
                    <w:t>0.5</w:t>
                  </w:r>
                </w:p>
              </w:tc>
              <w:tc>
                <w:tcPr>
                  <w:tcW w:w="496" w:type="dxa"/>
                  <w:noWrap w:val="0"/>
                  <w:vAlign w:val="center"/>
                </w:tcPr>
                <w:p w14:paraId="4DBB2A87">
                  <w:pPr>
                    <w:pStyle w:val="104"/>
                    <w:rPr>
                      <w:rFonts w:hAnsi="Times New Roman"/>
                    </w:rPr>
                  </w:pPr>
                  <w:r>
                    <w:rPr>
                      <w:rFonts w:hAnsi="Times New Roman"/>
                    </w:rPr>
                    <w:t>/</w:t>
                  </w:r>
                </w:p>
              </w:tc>
            </w:tr>
            <w:tr w14:paraId="0D0853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33" w:type="dxa"/>
                  <w:gridSpan w:val="2"/>
                  <w:noWrap w:val="0"/>
                  <w:vAlign w:val="center"/>
                </w:tcPr>
                <w:p w14:paraId="03A974F5">
                  <w:pPr>
                    <w:jc w:val="center"/>
                    <w:rPr>
                      <w:color w:val="000000"/>
                      <w:szCs w:val="21"/>
                    </w:rPr>
                  </w:pPr>
                  <w:r>
                    <w:rPr>
                      <w:color w:val="000000"/>
                      <w:szCs w:val="21"/>
                    </w:rPr>
                    <w:t>出污水厂排放量（t/a）</w:t>
                  </w:r>
                </w:p>
              </w:tc>
              <w:tc>
                <w:tcPr>
                  <w:tcW w:w="794" w:type="dxa"/>
                  <w:noWrap w:val="0"/>
                  <w:vAlign w:val="center"/>
                </w:tcPr>
                <w:p w14:paraId="11B4C4D0">
                  <w:pPr>
                    <w:pStyle w:val="104"/>
                    <w:rPr>
                      <w:rFonts w:hint="default" w:hAnsi="Times New Roman" w:eastAsia="宋体"/>
                      <w:kern w:val="0"/>
                      <w:lang w:val="en-US" w:eastAsia="zh-CN"/>
                    </w:rPr>
                  </w:pPr>
                  <w:r>
                    <w:rPr>
                      <w:rFonts w:hint="eastAsia" w:hAnsi="Times New Roman"/>
                      <w:kern w:val="0"/>
                      <w:lang w:val="en-US" w:eastAsia="zh-CN"/>
                    </w:rPr>
                    <w:t>0.106</w:t>
                  </w:r>
                </w:p>
              </w:tc>
              <w:tc>
                <w:tcPr>
                  <w:tcW w:w="794" w:type="dxa"/>
                  <w:noWrap w:val="0"/>
                  <w:vAlign w:val="center"/>
                </w:tcPr>
                <w:p w14:paraId="74DBC930">
                  <w:pPr>
                    <w:pStyle w:val="104"/>
                    <w:rPr>
                      <w:rFonts w:hint="default" w:hAnsi="Times New Roman" w:eastAsia="宋体"/>
                      <w:kern w:val="0"/>
                      <w:lang w:val="en-US" w:eastAsia="zh-CN"/>
                    </w:rPr>
                  </w:pPr>
                  <w:r>
                    <w:rPr>
                      <w:rFonts w:hint="eastAsia" w:hAnsi="Times New Roman"/>
                      <w:kern w:val="0"/>
                      <w:lang w:val="en-US" w:eastAsia="zh-CN"/>
                    </w:rPr>
                    <w:t>0.021</w:t>
                  </w:r>
                </w:p>
              </w:tc>
              <w:tc>
                <w:tcPr>
                  <w:tcW w:w="794" w:type="dxa"/>
                  <w:noWrap w:val="0"/>
                  <w:vAlign w:val="center"/>
                </w:tcPr>
                <w:p w14:paraId="24C35697">
                  <w:pPr>
                    <w:pStyle w:val="104"/>
                    <w:rPr>
                      <w:rFonts w:hint="default" w:hAnsi="Times New Roman" w:eastAsia="宋体"/>
                      <w:lang w:val="en-US" w:eastAsia="zh-CN"/>
                    </w:rPr>
                  </w:pPr>
                  <w:r>
                    <w:rPr>
                      <w:rFonts w:hint="eastAsia" w:hAnsi="Times New Roman"/>
                      <w:lang w:val="en-US" w:eastAsia="zh-CN"/>
                    </w:rPr>
                    <w:t>0.021</w:t>
                  </w:r>
                </w:p>
              </w:tc>
              <w:tc>
                <w:tcPr>
                  <w:tcW w:w="809" w:type="dxa"/>
                  <w:noWrap w:val="0"/>
                  <w:vAlign w:val="center"/>
                </w:tcPr>
                <w:p w14:paraId="01899563">
                  <w:pPr>
                    <w:pStyle w:val="104"/>
                    <w:rPr>
                      <w:rFonts w:hint="default" w:hAnsi="Times New Roman" w:eastAsia="宋体"/>
                      <w:lang w:val="en-US" w:eastAsia="zh-CN"/>
                    </w:rPr>
                  </w:pPr>
                  <w:r>
                    <w:rPr>
                      <w:rFonts w:hint="eastAsia" w:hAnsi="Times New Roman"/>
                      <w:lang w:val="en-US" w:eastAsia="zh-CN"/>
                    </w:rPr>
                    <w:t>0.010</w:t>
                  </w:r>
                </w:p>
              </w:tc>
              <w:tc>
                <w:tcPr>
                  <w:tcW w:w="689" w:type="dxa"/>
                  <w:noWrap w:val="0"/>
                  <w:vAlign w:val="center"/>
                </w:tcPr>
                <w:p w14:paraId="10E1BC7C">
                  <w:pPr>
                    <w:pStyle w:val="104"/>
                    <w:rPr>
                      <w:rFonts w:hint="default" w:hAnsi="Times New Roman" w:eastAsia="宋体"/>
                      <w:lang w:val="en-US" w:eastAsia="zh-CN"/>
                    </w:rPr>
                  </w:pPr>
                  <w:r>
                    <w:rPr>
                      <w:rFonts w:hint="eastAsia" w:hAnsi="Times New Roman"/>
                      <w:lang w:val="en-US" w:eastAsia="zh-CN"/>
                    </w:rPr>
                    <w:t>0.032</w:t>
                  </w:r>
                </w:p>
              </w:tc>
              <w:tc>
                <w:tcPr>
                  <w:tcW w:w="689" w:type="dxa"/>
                  <w:noWrap w:val="0"/>
                  <w:vAlign w:val="center"/>
                </w:tcPr>
                <w:p w14:paraId="00BB8861">
                  <w:pPr>
                    <w:pStyle w:val="104"/>
                    <w:rPr>
                      <w:rFonts w:hint="default" w:hAnsi="Times New Roman" w:eastAsia="宋体"/>
                      <w:lang w:val="en-US" w:eastAsia="zh-CN"/>
                    </w:rPr>
                  </w:pPr>
                  <w:r>
                    <w:rPr>
                      <w:rFonts w:hint="eastAsia" w:hAnsi="Times New Roman"/>
                      <w:lang w:val="en-US" w:eastAsia="zh-CN"/>
                    </w:rPr>
                    <w:t>0.001</w:t>
                  </w:r>
                </w:p>
              </w:tc>
              <w:tc>
                <w:tcPr>
                  <w:tcW w:w="496" w:type="dxa"/>
                  <w:noWrap w:val="0"/>
                  <w:vAlign w:val="center"/>
                </w:tcPr>
                <w:p w14:paraId="0296C477">
                  <w:pPr>
                    <w:pStyle w:val="104"/>
                    <w:rPr>
                      <w:rFonts w:hAnsi="Times New Roman"/>
                    </w:rPr>
                  </w:pPr>
                  <w:r>
                    <w:rPr>
                      <w:rFonts w:hAnsi="Times New Roman"/>
                    </w:rPr>
                    <w:t>/</w:t>
                  </w:r>
                </w:p>
              </w:tc>
            </w:tr>
          </w:tbl>
          <w:p w14:paraId="387AACBF">
            <w:pPr>
              <w:pStyle w:val="100"/>
              <w:rPr>
                <w:lang w:val="en-US" w:eastAsia="zh-CN"/>
              </w:rPr>
            </w:pPr>
            <w:r>
              <w:rPr>
                <w:lang w:val="en-US" w:eastAsia="zh-CN"/>
              </w:rPr>
              <w:t>由上表可知，本项目运营期废水经厂区污水处理</w:t>
            </w:r>
            <w:r>
              <w:rPr>
                <w:rFonts w:hint="eastAsia"/>
                <w:lang w:val="en-US" w:eastAsia="zh-CN"/>
              </w:rPr>
              <w:t>站</w:t>
            </w:r>
            <w:r>
              <w:rPr>
                <w:lang w:val="en-US" w:eastAsia="zh-CN"/>
              </w:rPr>
              <w:t>处理后满足</w:t>
            </w:r>
            <w:r>
              <w:rPr>
                <w:rFonts w:hint="eastAsia"/>
                <w:szCs w:val="28"/>
              </w:rPr>
              <w:t>《</w:t>
            </w:r>
            <w:r>
              <w:rPr>
                <w:rFonts w:hint="eastAsia"/>
                <w:szCs w:val="28"/>
                <w:lang w:val="en-US" w:eastAsia="zh-CN"/>
              </w:rPr>
              <w:t>食品加工制造业水污染物排放标准</w:t>
            </w:r>
            <w:r>
              <w:rPr>
                <w:rFonts w:hint="eastAsia"/>
                <w:szCs w:val="28"/>
              </w:rPr>
              <w:t>》（</w:t>
            </w:r>
            <w:r>
              <w:rPr>
                <w:rFonts w:hint="eastAsia"/>
                <w:szCs w:val="28"/>
                <w:lang w:val="en-US" w:eastAsia="zh-CN"/>
              </w:rPr>
              <w:t>GB 46817-2025</w:t>
            </w:r>
            <w:r>
              <w:rPr>
                <w:rFonts w:hint="eastAsia"/>
                <w:szCs w:val="28"/>
              </w:rPr>
              <w:t>）表</w:t>
            </w:r>
            <w:r>
              <w:rPr>
                <w:rFonts w:hint="eastAsia"/>
                <w:szCs w:val="28"/>
                <w:lang w:val="en-US" w:eastAsia="zh-CN"/>
              </w:rPr>
              <w:t>1间接排放</w:t>
            </w:r>
            <w:r>
              <w:rPr>
                <w:rFonts w:hint="eastAsia"/>
                <w:szCs w:val="28"/>
              </w:rPr>
              <w:t>标准</w:t>
            </w:r>
            <w:r>
              <w:rPr>
                <w:rFonts w:hint="eastAsia"/>
                <w:lang w:val="en-US" w:eastAsia="zh-CN"/>
              </w:rPr>
              <w:t>，同时满足</w:t>
            </w:r>
            <w:r>
              <w:rPr>
                <w:rFonts w:hint="eastAsia" w:hAnsi="Times New Roman"/>
                <w:lang w:eastAsia="zh-CN"/>
              </w:rPr>
              <w:t>汤阴固现污水处理有限公司</w:t>
            </w:r>
            <w:r>
              <w:t>收水标准</w:t>
            </w:r>
            <w:r>
              <w:rPr>
                <w:lang w:val="en-US" w:eastAsia="zh-CN"/>
              </w:rPr>
              <w:t>。</w:t>
            </w:r>
          </w:p>
          <w:p w14:paraId="4F1E218E">
            <w:pPr>
              <w:pStyle w:val="102"/>
              <w:spacing w:before="120" w:after="120"/>
              <w:ind w:firstLine="240"/>
              <w:rPr>
                <w:lang w:bidi="ar"/>
              </w:rPr>
            </w:pPr>
            <w:r>
              <w:rPr>
                <w:rFonts w:hint="eastAsia"/>
                <w:lang w:val="en-US" w:eastAsia="zh-CN" w:bidi="ar"/>
              </w:rPr>
              <w:t>2.3</w:t>
            </w:r>
            <w:r>
              <w:rPr>
                <w:lang w:bidi="ar"/>
              </w:rPr>
              <w:t>废水治理设施及可行性分析</w:t>
            </w:r>
          </w:p>
          <w:p w14:paraId="303CD0E1">
            <w:pPr>
              <w:pStyle w:val="100"/>
              <w:snapToGrid w:val="0"/>
            </w:pPr>
            <w:r>
              <w:rPr>
                <w:rFonts w:hint="eastAsia"/>
                <w:sz w:val="24"/>
              </w:rPr>
              <w:t>厂区污水处理站位于厂区</w:t>
            </w:r>
            <w:r>
              <w:rPr>
                <w:rFonts w:hint="eastAsia"/>
                <w:sz w:val="24"/>
                <w:lang w:val="en-US" w:eastAsia="zh-CN"/>
              </w:rPr>
              <w:t>西</w:t>
            </w:r>
            <w:r>
              <w:rPr>
                <w:rFonts w:hint="eastAsia"/>
                <w:sz w:val="24"/>
              </w:rPr>
              <w:t>侧，生产废水总处理能力</w:t>
            </w:r>
            <w:r>
              <w:rPr>
                <w:rFonts w:hint="eastAsia"/>
                <w:sz w:val="24"/>
                <w:lang w:val="en-US" w:eastAsia="zh-CN"/>
              </w:rPr>
              <w:t>6</w:t>
            </w:r>
            <w:r>
              <w:rPr>
                <w:rFonts w:hint="eastAsia"/>
                <w:sz w:val="24"/>
              </w:rPr>
              <w:t>m</w:t>
            </w:r>
            <w:r>
              <w:rPr>
                <w:rFonts w:hint="eastAsia"/>
                <w:sz w:val="24"/>
                <w:vertAlign w:val="superscript"/>
              </w:rPr>
              <w:t>3</w:t>
            </w:r>
            <w:r>
              <w:rPr>
                <w:rFonts w:hint="eastAsia"/>
                <w:sz w:val="24"/>
              </w:rPr>
              <w:t>/d，</w:t>
            </w:r>
            <w:r>
              <w:rPr>
                <w:rFonts w:hint="eastAsia"/>
                <w:sz w:val="24"/>
                <w:lang w:val="en-US" w:eastAsia="zh-CN"/>
              </w:rPr>
              <w:t>本项目建成后</w:t>
            </w:r>
            <w:r>
              <w:rPr>
                <w:rFonts w:hint="eastAsia"/>
                <w:sz w:val="24"/>
              </w:rPr>
              <w:t>全厂生产废水最大产生量为</w:t>
            </w:r>
            <w:r>
              <w:rPr>
                <w:rFonts w:hint="eastAsia"/>
                <w:sz w:val="24"/>
                <w:lang w:val="en-US" w:eastAsia="zh-CN"/>
              </w:rPr>
              <w:t>4.05</w:t>
            </w:r>
            <w:r>
              <w:rPr>
                <w:rFonts w:hint="eastAsia"/>
                <w:sz w:val="24"/>
              </w:rPr>
              <w:t>m</w:t>
            </w:r>
            <w:r>
              <w:rPr>
                <w:rFonts w:hint="eastAsia"/>
                <w:sz w:val="24"/>
                <w:vertAlign w:val="superscript"/>
              </w:rPr>
              <w:t>3</w:t>
            </w:r>
            <w:r>
              <w:rPr>
                <w:rFonts w:hint="eastAsia"/>
                <w:sz w:val="24"/>
              </w:rPr>
              <w:t>/d，污水</w:t>
            </w:r>
            <w:r>
              <w:rPr>
                <w:rFonts w:hint="eastAsia"/>
                <w:sz w:val="24"/>
                <w:lang w:val="en-US" w:eastAsia="zh-CN"/>
              </w:rPr>
              <w:t>设备</w:t>
            </w:r>
            <w:r>
              <w:rPr>
                <w:rFonts w:hint="eastAsia"/>
                <w:sz w:val="24"/>
              </w:rPr>
              <w:t>日处理</w:t>
            </w:r>
            <w:r>
              <w:rPr>
                <w:rFonts w:hint="eastAsia"/>
                <w:sz w:val="24"/>
                <w:lang w:val="en-US" w:eastAsia="zh-CN"/>
              </w:rPr>
              <w:t>能力</w:t>
            </w:r>
            <w:r>
              <w:rPr>
                <w:rFonts w:hint="eastAsia"/>
                <w:sz w:val="24"/>
              </w:rPr>
              <w:t>能够满足</w:t>
            </w:r>
            <w:r>
              <w:rPr>
                <w:rFonts w:hint="eastAsia"/>
                <w:sz w:val="24"/>
                <w:lang w:val="en-US" w:eastAsia="zh-CN"/>
              </w:rPr>
              <w:t>本</w:t>
            </w:r>
            <w:r>
              <w:rPr>
                <w:rFonts w:hint="eastAsia"/>
                <w:sz w:val="24"/>
              </w:rPr>
              <w:t>项目的污水量处理。</w:t>
            </w:r>
            <w:r>
              <w:rPr>
                <w:bCs/>
                <w:kern w:val="44"/>
              </w:rPr>
              <w:t>项</w:t>
            </w:r>
            <w:r>
              <w:rPr>
                <w:rFonts w:hint="eastAsia"/>
                <w:bCs/>
                <w:kern w:val="44"/>
              </w:rPr>
              <w:t>目</w:t>
            </w:r>
            <w:r>
              <w:rPr>
                <w:bCs/>
                <w:kern w:val="44"/>
              </w:rPr>
              <w:t>新建</w:t>
            </w:r>
            <w:r>
              <w:rPr>
                <w:rFonts w:hint="eastAsia"/>
                <w:bCs/>
                <w:kern w:val="44"/>
                <w:lang w:val="en-US" w:eastAsia="zh-CN"/>
              </w:rPr>
              <w:t>5</w:t>
            </w:r>
            <w:r>
              <w:t>m</w:t>
            </w:r>
            <w:r>
              <w:rPr>
                <w:vertAlign w:val="superscript"/>
              </w:rPr>
              <w:t>3</w:t>
            </w:r>
            <w:r>
              <w:t>化粪池</w:t>
            </w:r>
            <w:r>
              <w:rPr>
                <w:rFonts w:hint="eastAsia"/>
              </w:rPr>
              <w:t>（水力停留时间超过24h），</w:t>
            </w:r>
            <w:r>
              <w:t>能够满足项目</w:t>
            </w:r>
            <w:r>
              <w:rPr>
                <w:rFonts w:hint="eastAsia"/>
                <w:lang w:val="en-US" w:eastAsia="zh-CN"/>
              </w:rPr>
              <w:t>生活污水</w:t>
            </w:r>
            <w:r>
              <w:t>使用。项目废水治理设施情况如下：</w:t>
            </w:r>
          </w:p>
          <w:p w14:paraId="5A82E8A8">
            <w:pPr>
              <w:pStyle w:val="56"/>
              <w:keepNext w:val="0"/>
              <w:keepLines w:val="0"/>
              <w:pageBreakBefore w:val="0"/>
              <w:widowControl w:val="0"/>
              <w:numPr>
                <w:ilvl w:val="0"/>
                <w:numId w:val="0"/>
              </w:numPr>
              <w:kinsoku/>
              <w:wordWrap/>
              <w:overflowPunct/>
              <w:topLinePunct w:val="0"/>
              <w:autoSpaceDE w:val="0"/>
              <w:autoSpaceDN w:val="0"/>
              <w:bidi w:val="0"/>
              <w:adjustRightInd w:val="0"/>
              <w:snapToGrid/>
              <w:spacing w:before="120"/>
              <w:ind w:left="0" w:leftChars="0"/>
              <w:textAlignment w:val="auto"/>
            </w:pPr>
            <w:r>
              <w:rPr>
                <w:rFonts w:hint="eastAsia"/>
                <w:lang w:val="en-US" w:eastAsia="zh-CN"/>
              </w:rPr>
              <w:t>表31</w:t>
            </w:r>
            <w:r>
              <w:t>废水治理设施一览表</w:t>
            </w:r>
          </w:p>
          <w:tbl>
            <w:tblPr>
              <w:tblStyle w:val="47"/>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380"/>
              <w:gridCol w:w="1035"/>
              <w:gridCol w:w="1098"/>
              <w:gridCol w:w="3744"/>
              <w:gridCol w:w="689"/>
              <w:gridCol w:w="689"/>
            </w:tblGrid>
            <w:tr w14:paraId="2FED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1378" w:type="dxa"/>
                <w:trHeight w:val="203" w:hRule="atLeast"/>
                <w:jc w:val="center"/>
              </w:trPr>
              <w:tc>
                <w:tcPr>
                  <w:tcW w:w="1242" w:type="dxa"/>
                  <w:vMerge w:val="restart"/>
                  <w:tcMar>
                    <w:left w:w="57" w:type="dxa"/>
                    <w:right w:w="57" w:type="dxa"/>
                  </w:tcMar>
                  <w:vAlign w:val="center"/>
                </w:tcPr>
                <w:p w14:paraId="5124F26B">
                  <w:pPr>
                    <w:pStyle w:val="104"/>
                    <w:rPr>
                      <w:rFonts w:hAnsi="Times New Roman"/>
                    </w:rPr>
                  </w:pPr>
                  <w:r>
                    <w:rPr>
                      <w:rFonts w:hAnsi="Times New Roman"/>
                    </w:rPr>
                    <w:t>废水类别</w:t>
                  </w:r>
                </w:p>
              </w:tc>
              <w:tc>
                <w:tcPr>
                  <w:tcW w:w="1380" w:type="dxa"/>
                  <w:vMerge w:val="restart"/>
                  <w:tcMar>
                    <w:left w:w="57" w:type="dxa"/>
                    <w:right w:w="57" w:type="dxa"/>
                  </w:tcMar>
                  <w:vAlign w:val="center"/>
                </w:tcPr>
                <w:p w14:paraId="3CAA6DA6">
                  <w:pPr>
                    <w:pStyle w:val="104"/>
                    <w:rPr>
                      <w:rFonts w:hAnsi="Times New Roman"/>
                    </w:rPr>
                  </w:pPr>
                  <w:r>
                    <w:rPr>
                      <w:rFonts w:hAnsi="Times New Roman"/>
                    </w:rPr>
                    <w:t>污染物</w:t>
                  </w:r>
                </w:p>
                <w:p w14:paraId="38C7010F">
                  <w:pPr>
                    <w:pStyle w:val="104"/>
                    <w:rPr>
                      <w:rFonts w:hAnsi="Times New Roman"/>
                    </w:rPr>
                  </w:pPr>
                  <w:r>
                    <w:rPr>
                      <w:rFonts w:hAnsi="Times New Roman"/>
                    </w:rPr>
                    <w:t>种类</w:t>
                  </w:r>
                </w:p>
              </w:tc>
              <w:tc>
                <w:tcPr>
                  <w:tcW w:w="2133" w:type="dxa"/>
                  <w:gridSpan w:val="2"/>
                  <w:tcMar>
                    <w:left w:w="57" w:type="dxa"/>
                    <w:right w:w="57" w:type="dxa"/>
                  </w:tcMar>
                  <w:vAlign w:val="center"/>
                </w:tcPr>
                <w:p w14:paraId="648BD545">
                  <w:pPr>
                    <w:pStyle w:val="104"/>
                    <w:rPr>
                      <w:rFonts w:hAnsi="Times New Roman"/>
                    </w:rPr>
                  </w:pPr>
                  <w:r>
                    <w:rPr>
                      <w:rFonts w:hAnsi="Times New Roman"/>
                    </w:rPr>
                    <w:t>污染治理设施</w:t>
                  </w:r>
                </w:p>
              </w:tc>
              <w:tc>
                <w:tcPr>
                  <w:tcW w:w="3744" w:type="dxa"/>
                  <w:vMerge w:val="restart"/>
                  <w:tcMar>
                    <w:left w:w="57" w:type="dxa"/>
                    <w:right w:w="57" w:type="dxa"/>
                  </w:tcMar>
                  <w:vAlign w:val="center"/>
                </w:tcPr>
                <w:p w14:paraId="27D76A5F">
                  <w:pPr>
                    <w:pStyle w:val="104"/>
                    <w:rPr>
                      <w:rFonts w:hAnsi="Times New Roman"/>
                    </w:rPr>
                  </w:pPr>
                  <w:r>
                    <w:rPr>
                      <w:rFonts w:hAnsi="Times New Roman"/>
                    </w:rPr>
                    <w:t>排放去向</w:t>
                  </w:r>
                </w:p>
              </w:tc>
            </w:tr>
            <w:tr w14:paraId="72C5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78" w:type="dxa"/>
                <w:trHeight w:val="234" w:hRule="atLeast"/>
                <w:jc w:val="center"/>
              </w:trPr>
              <w:tc>
                <w:tcPr>
                  <w:tcW w:w="1242" w:type="dxa"/>
                  <w:vMerge w:val="continue"/>
                  <w:tcMar>
                    <w:left w:w="57" w:type="dxa"/>
                    <w:right w:w="57" w:type="dxa"/>
                  </w:tcMar>
                  <w:vAlign w:val="center"/>
                </w:tcPr>
                <w:p w14:paraId="12EC983E">
                  <w:pPr>
                    <w:pStyle w:val="104"/>
                    <w:rPr>
                      <w:rFonts w:hAnsi="Times New Roman"/>
                    </w:rPr>
                  </w:pPr>
                </w:p>
              </w:tc>
              <w:tc>
                <w:tcPr>
                  <w:tcW w:w="1380" w:type="dxa"/>
                  <w:vMerge w:val="continue"/>
                  <w:tcMar>
                    <w:left w:w="57" w:type="dxa"/>
                    <w:right w:w="57" w:type="dxa"/>
                  </w:tcMar>
                  <w:vAlign w:val="center"/>
                </w:tcPr>
                <w:p w14:paraId="18694913">
                  <w:pPr>
                    <w:pStyle w:val="104"/>
                    <w:rPr>
                      <w:rFonts w:hAnsi="Times New Roman"/>
                    </w:rPr>
                  </w:pPr>
                </w:p>
              </w:tc>
              <w:tc>
                <w:tcPr>
                  <w:tcW w:w="1035" w:type="dxa"/>
                  <w:tcMar>
                    <w:left w:w="57" w:type="dxa"/>
                    <w:right w:w="57" w:type="dxa"/>
                  </w:tcMar>
                  <w:vAlign w:val="center"/>
                </w:tcPr>
                <w:p w14:paraId="7BB67C38">
                  <w:pPr>
                    <w:pStyle w:val="104"/>
                    <w:rPr>
                      <w:rFonts w:hAnsi="Times New Roman"/>
                    </w:rPr>
                  </w:pPr>
                  <w:r>
                    <w:rPr>
                      <w:rFonts w:hAnsi="Times New Roman"/>
                    </w:rPr>
                    <w:t>污染防治设施名称</w:t>
                  </w:r>
                </w:p>
              </w:tc>
              <w:tc>
                <w:tcPr>
                  <w:tcW w:w="1098" w:type="dxa"/>
                  <w:tcMar>
                    <w:left w:w="57" w:type="dxa"/>
                    <w:right w:w="57" w:type="dxa"/>
                  </w:tcMar>
                  <w:vAlign w:val="center"/>
                </w:tcPr>
                <w:p w14:paraId="3F05D4B2">
                  <w:pPr>
                    <w:pStyle w:val="104"/>
                    <w:rPr>
                      <w:rFonts w:hAnsi="Times New Roman"/>
                    </w:rPr>
                  </w:pPr>
                  <w:r>
                    <w:rPr>
                      <w:rFonts w:hAnsi="Times New Roman"/>
                    </w:rPr>
                    <w:t>是否可行技术</w:t>
                  </w:r>
                </w:p>
              </w:tc>
              <w:tc>
                <w:tcPr>
                  <w:tcW w:w="3744" w:type="dxa"/>
                  <w:vMerge w:val="continue"/>
                  <w:tcMar>
                    <w:left w:w="57" w:type="dxa"/>
                    <w:right w:w="57" w:type="dxa"/>
                  </w:tcMar>
                  <w:vAlign w:val="center"/>
                </w:tcPr>
                <w:p w14:paraId="38300297">
                  <w:pPr>
                    <w:pStyle w:val="104"/>
                    <w:rPr>
                      <w:rFonts w:hAnsi="Times New Roman"/>
                    </w:rPr>
                  </w:pPr>
                </w:p>
              </w:tc>
            </w:tr>
            <w:tr w14:paraId="328B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78" w:type="dxa"/>
                <w:trHeight w:val="234" w:hRule="atLeast"/>
                <w:jc w:val="center"/>
              </w:trPr>
              <w:tc>
                <w:tcPr>
                  <w:tcW w:w="1242" w:type="dxa"/>
                  <w:tcMar>
                    <w:left w:w="57" w:type="dxa"/>
                    <w:right w:w="57" w:type="dxa"/>
                  </w:tcMar>
                  <w:vAlign w:val="center"/>
                </w:tcPr>
                <w:p w14:paraId="7B5D6DBD">
                  <w:pPr>
                    <w:pStyle w:val="104"/>
                    <w:rPr>
                      <w:rFonts w:hAnsi="Times New Roman"/>
                    </w:rPr>
                  </w:pPr>
                  <w:r>
                    <w:rPr>
                      <w:rFonts w:hint="eastAsia" w:hAnsi="Times New Roman"/>
                    </w:rPr>
                    <w:t>生产</w:t>
                  </w:r>
                  <w:r>
                    <w:rPr>
                      <w:rFonts w:hAnsi="Times New Roman"/>
                    </w:rPr>
                    <w:t>废水</w:t>
                  </w:r>
                </w:p>
              </w:tc>
              <w:tc>
                <w:tcPr>
                  <w:tcW w:w="1380" w:type="dxa"/>
                  <w:vMerge w:val="restart"/>
                  <w:tcMar>
                    <w:left w:w="57" w:type="dxa"/>
                    <w:right w:w="57" w:type="dxa"/>
                  </w:tcMar>
                  <w:vAlign w:val="center"/>
                </w:tcPr>
                <w:p w14:paraId="64B4C38E">
                  <w:pPr>
                    <w:pStyle w:val="104"/>
                    <w:rPr>
                      <w:rFonts w:hint="eastAsia" w:hAnsi="Times New Roman" w:eastAsia="宋体"/>
                      <w:lang w:eastAsia="zh-CN"/>
                    </w:rPr>
                  </w:pPr>
                  <w:r>
                    <w:rPr>
                      <w:b w:val="0"/>
                      <w:bCs w:val="0"/>
                      <w:szCs w:val="21"/>
                      <w:u w:val="none"/>
                    </w:rPr>
                    <w:t>pH</w:t>
                  </w:r>
                  <w:r>
                    <w:rPr>
                      <w:rFonts w:hint="eastAsia"/>
                      <w:b w:val="0"/>
                      <w:bCs w:val="0"/>
                      <w:szCs w:val="21"/>
                      <w:u w:val="none"/>
                    </w:rPr>
                    <w:t>、</w:t>
                  </w:r>
                  <w:r>
                    <w:rPr>
                      <w:b w:val="0"/>
                      <w:bCs w:val="0"/>
                      <w:szCs w:val="21"/>
                      <w:u w:val="none"/>
                    </w:rPr>
                    <w:t>COD</w:t>
                  </w:r>
                  <w:r>
                    <w:rPr>
                      <w:rFonts w:hint="eastAsia"/>
                      <w:b w:val="0"/>
                      <w:bCs w:val="0"/>
                      <w:szCs w:val="21"/>
                      <w:u w:val="none"/>
                    </w:rPr>
                    <w:t>、</w:t>
                  </w:r>
                  <w:r>
                    <w:rPr>
                      <w:b w:val="0"/>
                      <w:bCs w:val="0"/>
                      <w:szCs w:val="21"/>
                      <w:u w:val="none"/>
                    </w:rPr>
                    <w:t>BOD</w:t>
                  </w:r>
                  <w:r>
                    <w:rPr>
                      <w:b w:val="0"/>
                      <w:bCs w:val="0"/>
                      <w:szCs w:val="21"/>
                      <w:u w:val="none"/>
                      <w:vertAlign w:val="subscript"/>
                    </w:rPr>
                    <w:t>5</w:t>
                  </w:r>
                  <w:r>
                    <w:rPr>
                      <w:rFonts w:hint="eastAsia"/>
                      <w:b w:val="0"/>
                      <w:bCs w:val="0"/>
                      <w:szCs w:val="21"/>
                      <w:u w:val="none"/>
                    </w:rPr>
                    <w:t>、</w:t>
                  </w:r>
                  <w:r>
                    <w:rPr>
                      <w:b w:val="0"/>
                      <w:bCs w:val="0"/>
                      <w:szCs w:val="21"/>
                      <w:u w:val="none"/>
                    </w:rPr>
                    <w:t>SS</w:t>
                  </w:r>
                  <w:r>
                    <w:rPr>
                      <w:rFonts w:hint="eastAsia"/>
                      <w:b w:val="0"/>
                      <w:bCs w:val="0"/>
                      <w:szCs w:val="21"/>
                      <w:u w:val="none"/>
                    </w:rPr>
                    <w:t>、</w:t>
                  </w:r>
                  <w:r>
                    <w:rPr>
                      <w:b w:val="0"/>
                      <w:bCs w:val="0"/>
                      <w:u w:val="none"/>
                    </w:rPr>
                    <w:t>NH</w:t>
                  </w:r>
                  <w:r>
                    <w:rPr>
                      <w:b w:val="0"/>
                      <w:bCs w:val="0"/>
                      <w:u w:val="none"/>
                      <w:vertAlign w:val="subscript"/>
                    </w:rPr>
                    <w:t>3</w:t>
                  </w:r>
                  <w:r>
                    <w:rPr>
                      <w:b w:val="0"/>
                      <w:bCs w:val="0"/>
                      <w:u w:val="none"/>
                    </w:rPr>
                    <w:t>-N</w:t>
                  </w:r>
                  <w:r>
                    <w:rPr>
                      <w:rFonts w:hint="eastAsia"/>
                      <w:b w:val="0"/>
                      <w:bCs w:val="0"/>
                      <w:u w:val="none"/>
                    </w:rPr>
                    <w:t>、</w:t>
                  </w:r>
                  <w:r>
                    <w:rPr>
                      <w:rFonts w:hint="eastAsia"/>
                      <w:b w:val="0"/>
                      <w:bCs w:val="0"/>
                      <w:szCs w:val="21"/>
                      <w:u w:val="none"/>
                    </w:rPr>
                    <w:t>TN、TP</w:t>
                  </w:r>
                  <w:r>
                    <w:rPr>
                      <w:rFonts w:hint="eastAsia"/>
                      <w:b w:val="0"/>
                      <w:bCs w:val="0"/>
                      <w:szCs w:val="21"/>
                      <w:u w:val="none"/>
                      <w:lang w:eastAsia="zh-CN"/>
                    </w:rPr>
                    <w:t>、</w:t>
                  </w:r>
                  <w:r>
                    <w:rPr>
                      <w:rFonts w:hint="eastAsia"/>
                      <w:b w:val="0"/>
                      <w:bCs w:val="0"/>
                      <w:szCs w:val="21"/>
                      <w:u w:val="none"/>
                      <w:lang w:val="en-US" w:eastAsia="zh-CN"/>
                    </w:rPr>
                    <w:t>色度、动植物油、大肠菌群数</w:t>
                  </w:r>
                  <w:r>
                    <w:rPr>
                      <w:rFonts w:hAnsi="Times New Roman"/>
                    </w:rPr>
                    <w:t xml:space="preserve"> </w:t>
                  </w:r>
                </w:p>
              </w:tc>
              <w:tc>
                <w:tcPr>
                  <w:tcW w:w="1035" w:type="dxa"/>
                  <w:tcMar>
                    <w:left w:w="57" w:type="dxa"/>
                    <w:right w:w="57" w:type="dxa"/>
                  </w:tcMar>
                  <w:vAlign w:val="center"/>
                </w:tcPr>
                <w:p w14:paraId="0B147FE4">
                  <w:pPr>
                    <w:pStyle w:val="104"/>
                    <w:rPr>
                      <w:rFonts w:hAnsi="Times New Roman"/>
                    </w:rPr>
                  </w:pPr>
                  <w:r>
                    <w:rPr>
                      <w:rFonts w:hint="eastAsia" w:hAnsi="Times New Roman"/>
                      <w:lang w:val="en-US" w:eastAsia="zh-CN"/>
                    </w:rPr>
                    <w:t>物理法+厌氧/好氧组合法+化学法</w:t>
                  </w:r>
                </w:p>
              </w:tc>
              <w:tc>
                <w:tcPr>
                  <w:tcW w:w="1098" w:type="dxa"/>
                  <w:tcMar>
                    <w:left w:w="57" w:type="dxa"/>
                    <w:right w:w="57" w:type="dxa"/>
                  </w:tcMar>
                  <w:vAlign w:val="center"/>
                </w:tcPr>
                <w:p w14:paraId="3684D9B0">
                  <w:pPr>
                    <w:pStyle w:val="104"/>
                    <w:rPr>
                      <w:rFonts w:hAnsi="Times New Roman"/>
                    </w:rPr>
                  </w:pPr>
                  <w:r>
                    <w:rPr>
                      <w:rFonts w:ascii="Segoe UI Symbol" w:hAnsi="Segoe UI Symbol" w:cs="Segoe UI Symbol"/>
                    </w:rPr>
                    <w:t>☑</w:t>
                  </w:r>
                  <w:r>
                    <w:rPr>
                      <w:rFonts w:hAnsi="Times New Roman"/>
                    </w:rPr>
                    <w:t>是</w:t>
                  </w:r>
                </w:p>
                <w:p w14:paraId="066EEBD5">
                  <w:pPr>
                    <w:pStyle w:val="104"/>
                    <w:rPr>
                      <w:rFonts w:hAnsi="Times New Roman"/>
                    </w:rPr>
                  </w:pPr>
                  <w:r>
                    <w:rPr>
                      <w:rFonts w:hAnsi="Times New Roman"/>
                    </w:rPr>
                    <w:t>□否</w:t>
                  </w:r>
                </w:p>
              </w:tc>
              <w:tc>
                <w:tcPr>
                  <w:tcW w:w="3744" w:type="dxa"/>
                  <w:tcMar>
                    <w:left w:w="57" w:type="dxa"/>
                    <w:right w:w="57" w:type="dxa"/>
                  </w:tcMar>
                  <w:vAlign w:val="center"/>
                </w:tcPr>
                <w:p w14:paraId="1D346361">
                  <w:pPr>
                    <w:pStyle w:val="104"/>
                    <w:rPr>
                      <w:rFonts w:hAnsi="Times New Roman"/>
                    </w:rPr>
                  </w:pPr>
                  <w:r>
                    <w:rPr>
                      <w:rFonts w:hAnsi="Times New Roman"/>
                    </w:rPr>
                    <w:t>经园区污水管网排入</w:t>
                  </w:r>
                  <w:r>
                    <w:rPr>
                      <w:rFonts w:hint="eastAsia" w:hAnsi="Times New Roman"/>
                      <w:lang w:eastAsia="zh-CN"/>
                    </w:rPr>
                    <w:t>汤阴固现污水处理有限公司</w:t>
                  </w:r>
                </w:p>
              </w:tc>
            </w:tr>
            <w:tr w14:paraId="54A6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42" w:type="dxa"/>
                  <w:tcMar>
                    <w:left w:w="57" w:type="dxa"/>
                    <w:right w:w="57" w:type="dxa"/>
                  </w:tcMar>
                  <w:vAlign w:val="center"/>
                </w:tcPr>
                <w:p w14:paraId="53DF3922">
                  <w:pPr>
                    <w:pStyle w:val="104"/>
                    <w:rPr>
                      <w:rFonts w:hAnsi="Times New Roman"/>
                    </w:rPr>
                  </w:pPr>
                  <w:r>
                    <w:rPr>
                      <w:rFonts w:hAnsi="Times New Roman"/>
                    </w:rPr>
                    <w:t>生活污水</w:t>
                  </w:r>
                </w:p>
              </w:tc>
              <w:tc>
                <w:tcPr>
                  <w:tcW w:w="1380" w:type="dxa"/>
                  <w:vMerge w:val="continue"/>
                  <w:tcMar>
                    <w:left w:w="57" w:type="dxa"/>
                    <w:right w:w="57" w:type="dxa"/>
                  </w:tcMar>
                  <w:vAlign w:val="center"/>
                </w:tcPr>
                <w:p w14:paraId="1C88D976">
                  <w:pPr>
                    <w:pStyle w:val="104"/>
                    <w:rPr>
                      <w:rFonts w:hAnsi="Times New Roman"/>
                    </w:rPr>
                  </w:pPr>
                </w:p>
              </w:tc>
              <w:tc>
                <w:tcPr>
                  <w:tcW w:w="1035" w:type="dxa"/>
                  <w:tcMar>
                    <w:left w:w="57" w:type="dxa"/>
                    <w:right w:w="57" w:type="dxa"/>
                  </w:tcMar>
                  <w:vAlign w:val="center"/>
                </w:tcPr>
                <w:p w14:paraId="160E0065">
                  <w:pPr>
                    <w:pStyle w:val="104"/>
                    <w:rPr>
                      <w:rFonts w:hAnsi="Times New Roman"/>
                    </w:rPr>
                  </w:pPr>
                  <w:r>
                    <w:rPr>
                      <w:rFonts w:hAnsi="Times New Roman"/>
                    </w:rPr>
                    <w:t>化粪池</w:t>
                  </w:r>
                </w:p>
              </w:tc>
              <w:tc>
                <w:tcPr>
                  <w:tcW w:w="1098" w:type="dxa"/>
                  <w:tcMar>
                    <w:left w:w="57" w:type="dxa"/>
                    <w:right w:w="57" w:type="dxa"/>
                  </w:tcMar>
                  <w:vAlign w:val="center"/>
                </w:tcPr>
                <w:p w14:paraId="6A682FED">
                  <w:pPr>
                    <w:pStyle w:val="104"/>
                    <w:rPr>
                      <w:rFonts w:hAnsi="Times New Roman"/>
                    </w:rPr>
                  </w:pPr>
                  <w:r>
                    <w:rPr>
                      <w:rFonts w:ascii="Segoe UI Symbol" w:hAnsi="Segoe UI Symbol" w:cs="Segoe UI Symbol"/>
                    </w:rPr>
                    <w:t>☑</w:t>
                  </w:r>
                  <w:r>
                    <w:rPr>
                      <w:rFonts w:hAnsi="Times New Roman"/>
                    </w:rPr>
                    <w:t>是</w:t>
                  </w:r>
                </w:p>
                <w:p w14:paraId="1C4D4EB7">
                  <w:pPr>
                    <w:pStyle w:val="104"/>
                    <w:rPr>
                      <w:rFonts w:hAnsi="Times New Roman"/>
                    </w:rPr>
                  </w:pPr>
                  <w:r>
                    <w:rPr>
                      <w:rFonts w:hAnsi="Times New Roman"/>
                    </w:rPr>
                    <w:t>□否</w:t>
                  </w:r>
                </w:p>
              </w:tc>
              <w:tc>
                <w:tcPr>
                  <w:tcW w:w="3744" w:type="dxa"/>
                  <w:tcMar>
                    <w:left w:w="57" w:type="dxa"/>
                    <w:right w:w="57" w:type="dxa"/>
                  </w:tcMar>
                  <w:vAlign w:val="center"/>
                </w:tcPr>
                <w:p w14:paraId="6909165D">
                  <w:pPr>
                    <w:pStyle w:val="104"/>
                    <w:rPr>
                      <w:rFonts w:hAnsi="Times New Roman"/>
                    </w:rPr>
                  </w:pPr>
                  <w:r>
                    <w:rPr>
                      <w:rFonts w:hAnsi="Times New Roman"/>
                    </w:rPr>
                    <w:t>生活污水经厂区化粪池处理后</w:t>
                  </w:r>
                  <w:r>
                    <w:rPr>
                      <w:rFonts w:hint="eastAsia" w:hAnsi="Times New Roman"/>
                    </w:rPr>
                    <w:t>，</w:t>
                  </w:r>
                  <w:r>
                    <w:rPr>
                      <w:rFonts w:hAnsi="Times New Roman"/>
                    </w:rPr>
                    <w:t>经污水管网排入</w:t>
                  </w:r>
                  <w:r>
                    <w:rPr>
                      <w:rFonts w:hint="eastAsia" w:hAnsi="Times New Roman"/>
                      <w:lang w:eastAsia="zh-CN"/>
                    </w:rPr>
                    <w:t>汤阴固现污水处理有限公司</w:t>
                  </w:r>
                </w:p>
              </w:tc>
              <w:tc>
                <w:tcPr>
                  <w:tcW w:w="689" w:type="dxa"/>
                  <w:tcMar>
                    <w:left w:w="57" w:type="dxa"/>
                    <w:right w:w="57" w:type="dxa"/>
                  </w:tcMar>
                  <w:vAlign w:val="center"/>
                </w:tcPr>
                <w:p w14:paraId="4A0335B6">
                  <w:pPr>
                    <w:pStyle w:val="104"/>
                    <w:rPr>
                      <w:rFonts w:hint="eastAsia" w:ascii="Times New Roman" w:hAnsi="Times New Roman" w:eastAsia="宋体" w:cs="Times New Roman"/>
                      <w:kern w:val="2"/>
                      <w:sz w:val="21"/>
                      <w:szCs w:val="21"/>
                      <w:lang w:val="en-US" w:eastAsia="zh-CN" w:bidi="ar-SA"/>
                    </w:rPr>
                  </w:pPr>
                  <w:r>
                    <w:rPr>
                      <w:rFonts w:hint="eastAsia" w:hAnsi="Times New Roman"/>
                      <w:lang w:val="en-US" w:eastAsia="zh-CN"/>
                    </w:rPr>
                    <w:t>5</w:t>
                  </w:r>
                </w:p>
              </w:tc>
              <w:tc>
                <w:tcPr>
                  <w:tcW w:w="689" w:type="dxa"/>
                  <w:tcMar>
                    <w:left w:w="57" w:type="dxa"/>
                    <w:right w:w="57" w:type="dxa"/>
                  </w:tcMar>
                  <w:vAlign w:val="center"/>
                </w:tcPr>
                <w:p w14:paraId="51A37DFD">
                  <w:pPr>
                    <w:pStyle w:val="104"/>
                    <w:rPr>
                      <w:rFonts w:hint="default" w:ascii="Times New Roman" w:hAnsi="Times New Roman" w:eastAsia="宋体" w:cs="Times New Roman"/>
                      <w:kern w:val="2"/>
                      <w:sz w:val="21"/>
                      <w:szCs w:val="21"/>
                      <w:lang w:val="en-US" w:eastAsia="zh-CN" w:bidi="ar-SA"/>
                    </w:rPr>
                  </w:pPr>
                  <w:r>
                    <w:rPr>
                      <w:rFonts w:hint="eastAsia" w:hAnsi="Times New Roman"/>
                      <w:lang w:val="en-US" w:eastAsia="zh-CN"/>
                    </w:rPr>
                    <w:t>15</w:t>
                  </w:r>
                </w:p>
              </w:tc>
            </w:tr>
          </w:tbl>
          <w:p w14:paraId="72A33348">
            <w:pPr>
              <w:pStyle w:val="100"/>
              <w:snapToGrid w:val="0"/>
              <w:rPr>
                <w:bCs/>
                <w:kern w:val="44"/>
              </w:rPr>
            </w:pPr>
            <w:r>
              <w:t>本项目水质较为简单</w:t>
            </w:r>
            <w:r>
              <w:rPr>
                <w:rFonts w:hint="eastAsia"/>
              </w:rPr>
              <w:t>，</w:t>
            </w:r>
            <w:r>
              <w:t>厂区</w:t>
            </w:r>
            <w:r>
              <w:rPr>
                <w:rFonts w:hint="eastAsia"/>
                <w:lang w:val="en-US" w:eastAsia="zh-CN"/>
              </w:rPr>
              <w:t>污水处理站</w:t>
            </w:r>
            <w:r>
              <w:t>处理后即可满足</w:t>
            </w:r>
            <w:r>
              <w:rPr>
                <w:rFonts w:hint="eastAsia" w:hAnsi="Times New Roman"/>
                <w:lang w:eastAsia="zh-CN"/>
              </w:rPr>
              <w:t>汤阴固现污水处理有限公司</w:t>
            </w:r>
            <w:r>
              <w:t>收水标准</w:t>
            </w:r>
            <w:r>
              <w:rPr>
                <w:rFonts w:hint="eastAsia"/>
              </w:rPr>
              <w:t>，</w:t>
            </w:r>
            <w:r>
              <w:t>因此本项目水污染控制措施有效可行。</w:t>
            </w:r>
          </w:p>
          <w:p w14:paraId="62248E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210" w:firstLineChars="100"/>
              <w:textAlignment w:val="auto"/>
              <w:rPr>
                <w:rFonts w:hint="default" w:ascii="Times New Roman" w:hAnsi="Times New Roman" w:eastAsia="宋体" w:cs="Times New Roman"/>
                <w:b/>
                <w:color w:val="000000" w:themeColor="text1"/>
                <w:sz w:val="24"/>
                <w:highlight w:val="none"/>
                <w:lang w:val="en-US" w:eastAsia="zh-CN"/>
                <w14:textFill>
                  <w14:solidFill>
                    <w14:schemeClr w14:val="tx1"/>
                  </w14:solidFill>
                </w14:textFill>
              </w:rPr>
            </w:pPr>
            <w:r>
              <w:rPr>
                <w:rFonts w:hint="eastAsia"/>
                <w:lang w:val="en-US" w:eastAsia="zh-CN"/>
              </w:rPr>
              <w:t>2.4</w:t>
            </w:r>
            <w:r>
              <w:rPr>
                <w:rFonts w:hint="default" w:ascii="Times New Roman" w:hAnsi="Times New Roman" w:eastAsia="Times New Roman" w:cs="Times New Roman"/>
                <w:b/>
                <w:color w:val="000000" w:themeColor="text1"/>
                <w:sz w:val="24"/>
                <w:highlight w:val="none"/>
                <w:lang w:val="en-US" w:eastAsia="zh-CN"/>
                <w14:textFill>
                  <w14:solidFill>
                    <w14:schemeClr w14:val="tx1"/>
                  </w14:solidFill>
                </w14:textFill>
              </w:rPr>
              <w:t>依托集中污水处理厂可行性分析</w:t>
            </w:r>
          </w:p>
          <w:p w14:paraId="715A83B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eastAsia="Times New Roman" w:cs="Times New Roman"/>
                <w:b/>
                <w:bCs w:val="0"/>
                <w:color w:val="000000" w:themeColor="text1"/>
                <w:sz w:val="24"/>
                <w:highlight w:val="none"/>
                <w14:textFill>
                  <w14:solidFill>
                    <w14:schemeClr w14:val="tx1"/>
                  </w14:solidFill>
                </w14:textFill>
              </w:rPr>
            </w:pPr>
            <w:r>
              <w:rPr>
                <w:rFonts w:hint="default" w:ascii="Times New Roman" w:hAnsi="Times New Roman" w:eastAsia="Times New Roman" w:cs="Times New Roman"/>
                <w:b/>
                <w:bCs w:val="0"/>
                <w:color w:val="000000" w:themeColor="text1"/>
                <w:sz w:val="24"/>
                <w:highlight w:val="none"/>
                <w:lang w:val="en-US" w:eastAsia="zh-CN"/>
                <w14:textFill>
                  <w14:solidFill>
                    <w14:schemeClr w14:val="tx1"/>
                  </w14:solidFill>
                </w14:textFill>
              </w:rPr>
              <w:t>2.</w:t>
            </w:r>
            <w:r>
              <w:rPr>
                <w:rFonts w:hint="eastAsia" w:ascii="Times New Roman" w:hAnsi="Times New Roman" w:eastAsia="Times New Roman" w:cs="Times New Roman"/>
                <w:b/>
                <w:bCs w:val="0"/>
                <w:color w:val="000000" w:themeColor="text1"/>
                <w:sz w:val="24"/>
                <w:highlight w:val="none"/>
                <w:lang w:val="en-US" w:eastAsia="zh-CN"/>
                <w14:textFill>
                  <w14:solidFill>
                    <w14:schemeClr w14:val="tx1"/>
                  </w14:solidFill>
                </w14:textFill>
              </w:rPr>
              <w:t>4</w:t>
            </w:r>
            <w:r>
              <w:rPr>
                <w:rFonts w:hint="default" w:ascii="Times New Roman" w:hAnsi="Times New Roman" w:eastAsia="Times New Roman" w:cs="Times New Roman"/>
                <w:b/>
                <w:bCs w:val="0"/>
                <w:color w:val="000000" w:themeColor="text1"/>
                <w:sz w:val="24"/>
                <w:highlight w:val="none"/>
                <w:lang w:val="en-US" w:eastAsia="zh-CN"/>
                <w14:textFill>
                  <w14:solidFill>
                    <w14:schemeClr w14:val="tx1"/>
                  </w14:solidFill>
                </w14:textFill>
              </w:rPr>
              <w:t>.1</w:t>
            </w:r>
            <w:r>
              <w:rPr>
                <w:rFonts w:hint="default" w:ascii="Times New Roman" w:hAnsi="Times New Roman" w:eastAsia="Times New Roman" w:cs="Times New Roman"/>
                <w:b/>
                <w:bCs w:val="0"/>
                <w:color w:val="000000" w:themeColor="text1"/>
                <w:sz w:val="24"/>
                <w:highlight w:val="none"/>
                <w14:textFill>
                  <w14:solidFill>
                    <w14:schemeClr w14:val="tx1"/>
                  </w14:solidFill>
                </w14:textFill>
              </w:rPr>
              <w:t>收水范围</w:t>
            </w:r>
          </w:p>
          <w:p w14:paraId="5D3B5D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汤阴固现污水处理有限公司于2018年建设，收水范围为</w:t>
            </w:r>
            <w:r>
              <w:rPr>
                <w:rFonts w:hint="eastAsia" w:cs="Times New Roman"/>
                <w:color w:val="000000" w:themeColor="text1"/>
                <w:kern w:val="2"/>
                <w:sz w:val="24"/>
                <w:szCs w:val="24"/>
                <w:highlight w:val="none"/>
                <w:lang w:val="en-US" w:eastAsia="zh-CN" w:bidi="ar"/>
                <w14:textFill>
                  <w14:solidFill>
                    <w14:schemeClr w14:val="tx1"/>
                  </w14:solidFill>
                </w14:textFill>
              </w:rPr>
              <w:t>古贤镇</w:t>
            </w: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、白营镇区生活用水及</w:t>
            </w:r>
            <w:r>
              <w:rPr>
                <w:rFonts w:hint="eastAsia" w:cs="Times New Roman"/>
                <w:color w:val="000000" w:themeColor="text1"/>
                <w:kern w:val="2"/>
                <w:sz w:val="24"/>
                <w:szCs w:val="24"/>
                <w:highlight w:val="none"/>
                <w:lang w:val="en-US" w:eastAsia="zh-CN" w:bidi="ar"/>
                <w14:textFill>
                  <w14:solidFill>
                    <w14:schemeClr w14:val="tx1"/>
                  </w14:solidFill>
                </w14:textFill>
              </w:rPr>
              <w:t>古贤镇</w:t>
            </w: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工业园区一般生产污水，目前污水管网已全面铺设到位，本项目位于</w:t>
            </w:r>
            <w:r>
              <w:rPr>
                <w:rFonts w:hint="eastAsia" w:cs="Times New Roman"/>
                <w:color w:val="000000" w:themeColor="text1"/>
                <w:kern w:val="2"/>
                <w:sz w:val="24"/>
                <w:szCs w:val="24"/>
                <w:highlight w:val="none"/>
                <w:lang w:val="en-US" w:eastAsia="zh-CN" w:bidi="ar"/>
                <w14:textFill>
                  <w14:solidFill>
                    <w14:schemeClr w14:val="tx1"/>
                  </w14:solidFill>
                </w14:textFill>
              </w:rPr>
              <w:t>古贤镇</w:t>
            </w: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新型材料产业园区，在该污水处理厂收水范围内。</w:t>
            </w:r>
          </w:p>
          <w:p w14:paraId="290DFC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eastAsia="Times New Roman" w:cs="Times New Roman"/>
                <w:b/>
                <w:bCs w:val="0"/>
                <w:color w:val="000000" w:themeColor="text1"/>
                <w:sz w:val="24"/>
                <w:highlight w:val="none"/>
                <w:lang w:val="en-US" w:eastAsia="zh-CN"/>
                <w14:textFill>
                  <w14:solidFill>
                    <w14:schemeClr w14:val="tx1"/>
                  </w14:solidFill>
                </w14:textFill>
              </w:rPr>
            </w:pPr>
            <w:r>
              <w:rPr>
                <w:rFonts w:hint="default" w:ascii="Times New Roman" w:hAnsi="Times New Roman" w:eastAsia="Times New Roman" w:cs="Times New Roman"/>
                <w:b/>
                <w:bCs w:val="0"/>
                <w:color w:val="000000" w:themeColor="text1"/>
                <w:sz w:val="24"/>
                <w:highlight w:val="none"/>
                <w:lang w:val="en-US" w:eastAsia="zh-CN"/>
                <w14:textFill>
                  <w14:solidFill>
                    <w14:schemeClr w14:val="tx1"/>
                  </w14:solidFill>
                </w14:textFill>
              </w:rPr>
              <w:t>2.</w:t>
            </w:r>
            <w:r>
              <w:rPr>
                <w:rFonts w:hint="eastAsia" w:ascii="Times New Roman" w:hAnsi="Times New Roman" w:eastAsia="Times New Roman" w:cs="Times New Roman"/>
                <w:b/>
                <w:bCs w:val="0"/>
                <w:color w:val="000000" w:themeColor="text1"/>
                <w:sz w:val="24"/>
                <w:highlight w:val="none"/>
                <w:lang w:val="en-US" w:eastAsia="zh-CN"/>
                <w14:textFill>
                  <w14:solidFill>
                    <w14:schemeClr w14:val="tx1"/>
                  </w14:solidFill>
                </w14:textFill>
              </w:rPr>
              <w:t>4</w:t>
            </w:r>
            <w:r>
              <w:rPr>
                <w:rFonts w:hint="default" w:ascii="Times New Roman" w:hAnsi="Times New Roman" w:eastAsia="Times New Roman" w:cs="Times New Roman"/>
                <w:b/>
                <w:bCs w:val="0"/>
                <w:color w:val="000000" w:themeColor="text1"/>
                <w:sz w:val="24"/>
                <w:highlight w:val="none"/>
                <w:lang w:val="en-US" w:eastAsia="zh-CN"/>
                <w14:textFill>
                  <w14:solidFill>
                    <w14:schemeClr w14:val="tx1"/>
                  </w14:solidFill>
                </w14:textFill>
              </w:rPr>
              <w:t>.2处理能力及工艺</w:t>
            </w:r>
          </w:p>
          <w:p w14:paraId="68DC86C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目前该污水处理厂正常运行，设计处理能力为1万m</w:t>
            </w:r>
            <w:r>
              <w:rPr>
                <w:rFonts w:hint="default" w:ascii="Times New Roman" w:hAnsi="Times New Roman" w:eastAsia="宋体" w:cs="Times New Roman"/>
                <w:color w:val="000000" w:themeColor="text1"/>
                <w:kern w:val="2"/>
                <w:sz w:val="24"/>
                <w:szCs w:val="24"/>
                <w:highlight w:val="none"/>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/d，目前实际建设处理规模为0.5万m</w:t>
            </w:r>
            <w:r>
              <w:rPr>
                <w:rFonts w:hint="default" w:ascii="Times New Roman" w:hAnsi="Times New Roman" w:eastAsia="宋体" w:cs="Times New Roman"/>
                <w:color w:val="000000" w:themeColor="text1"/>
                <w:kern w:val="2"/>
                <w:sz w:val="24"/>
                <w:szCs w:val="24"/>
                <w:highlight w:val="none"/>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/d，经咨询，目前该污水处理厂收水量为2000m</w:t>
            </w:r>
            <w:r>
              <w:rPr>
                <w:rFonts w:hint="default" w:ascii="Times New Roman" w:hAnsi="Times New Roman" w:eastAsia="宋体" w:cs="Times New Roman"/>
                <w:color w:val="000000" w:themeColor="text1"/>
                <w:kern w:val="2"/>
                <w:sz w:val="24"/>
                <w:szCs w:val="24"/>
                <w:highlight w:val="none"/>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/d，剩余处理量为3000m</w:t>
            </w:r>
            <w:r>
              <w:rPr>
                <w:rFonts w:hint="default" w:ascii="Times New Roman" w:hAnsi="Times New Roman" w:eastAsia="宋体" w:cs="Times New Roman"/>
                <w:color w:val="000000" w:themeColor="text1"/>
                <w:kern w:val="2"/>
                <w:sz w:val="24"/>
                <w:szCs w:val="24"/>
                <w:highlight w:val="none"/>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/d，采用“旋流沉砂池+水解酸化池+混合反应沉淀池+纤维转盘滤池+紫外线处理”的工艺处理技术。本项目废水</w:t>
            </w:r>
            <w:r>
              <w:rPr>
                <w:rFonts w:hint="eastAsia" w:cs="Times New Roman"/>
                <w:color w:val="000000" w:themeColor="text1"/>
                <w:kern w:val="2"/>
                <w:sz w:val="24"/>
                <w:szCs w:val="24"/>
                <w:highlight w:val="none"/>
                <w:lang w:val="en-US" w:eastAsia="zh-CN" w:bidi="ar"/>
                <w14:textFill>
                  <w14:solidFill>
                    <w14:schemeClr w14:val="tx1"/>
                  </w14:solidFill>
                </w14:textFill>
              </w:rPr>
              <w:t>总</w:t>
            </w: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排放量为</w:t>
            </w:r>
            <w:r>
              <w:rPr>
                <w:rFonts w:hint="eastAsia" w:cs="Times New Roman"/>
                <w:color w:val="000000" w:themeColor="text1"/>
                <w:kern w:val="2"/>
                <w:sz w:val="24"/>
                <w:szCs w:val="24"/>
                <w:highlight w:val="none"/>
                <w:lang w:val="en-US" w:eastAsia="zh-CN" w:bidi="ar"/>
                <w14:textFill>
                  <w14:solidFill>
                    <w14:schemeClr w14:val="tx1"/>
                  </w14:solidFill>
                </w14:textFill>
              </w:rPr>
              <w:t>7.04</w:t>
            </w: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m</w:t>
            </w:r>
            <w:r>
              <w:rPr>
                <w:rFonts w:hint="default" w:ascii="Times New Roman" w:hAnsi="Times New Roman" w:eastAsia="宋体" w:cs="Times New Roman"/>
                <w:color w:val="000000" w:themeColor="text1"/>
                <w:kern w:val="2"/>
                <w:sz w:val="24"/>
                <w:szCs w:val="24"/>
                <w:highlight w:val="none"/>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/d，远远小于该污水处理厂剩余处理规模3000m</w:t>
            </w:r>
            <w:r>
              <w:rPr>
                <w:rFonts w:hint="default" w:ascii="Times New Roman" w:hAnsi="Times New Roman" w:eastAsia="宋体" w:cs="Times New Roman"/>
                <w:color w:val="000000" w:themeColor="text1"/>
                <w:kern w:val="2"/>
                <w:sz w:val="24"/>
                <w:szCs w:val="24"/>
                <w:highlight w:val="none"/>
                <w:vertAlign w:val="superscript"/>
                <w:lang w:val="en-US" w:eastAsia="zh-CN" w:bidi="ar"/>
                <w14:textFill>
                  <w14:solidFill>
                    <w14:schemeClr w14:val="tx1"/>
                  </w14:solidFill>
                </w14:textFill>
              </w:rPr>
              <w:t>3</w:t>
            </w: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/d，污水处理厂的剩余处理能力可满足项目需求。</w:t>
            </w:r>
          </w:p>
          <w:p w14:paraId="2883AC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eastAsia="Times New Roman" w:cs="Times New Roman"/>
                <w:b w:val="0"/>
                <w:bCs/>
                <w:color w:val="000000" w:themeColor="text1"/>
                <w:sz w:val="24"/>
                <w:highlight w:val="none"/>
                <w14:textFill>
                  <w14:solidFill>
                    <w14:schemeClr w14:val="tx1"/>
                  </w14:solidFill>
                </w14:textFill>
              </w:rPr>
            </w:pPr>
            <w:r>
              <w:rPr>
                <w:rFonts w:hint="default" w:ascii="Times New Roman" w:hAnsi="Times New Roman" w:eastAsia="Times New Roman" w:cs="Times New Roman"/>
                <w:b/>
                <w:bCs w:val="0"/>
                <w:color w:val="000000" w:themeColor="text1"/>
                <w:sz w:val="24"/>
                <w:highlight w:val="none"/>
                <w:lang w:val="en-US" w:eastAsia="zh-CN"/>
                <w14:textFill>
                  <w14:solidFill>
                    <w14:schemeClr w14:val="tx1"/>
                  </w14:solidFill>
                </w14:textFill>
              </w:rPr>
              <w:t>2.</w:t>
            </w:r>
            <w:r>
              <w:rPr>
                <w:rFonts w:hint="eastAsia" w:ascii="Times New Roman" w:hAnsi="Times New Roman" w:eastAsia="Times New Roman" w:cs="Times New Roman"/>
                <w:b/>
                <w:bCs w:val="0"/>
                <w:color w:val="000000" w:themeColor="text1"/>
                <w:sz w:val="24"/>
                <w:highlight w:val="none"/>
                <w:lang w:val="en-US" w:eastAsia="zh-CN"/>
                <w14:textFill>
                  <w14:solidFill>
                    <w14:schemeClr w14:val="tx1"/>
                  </w14:solidFill>
                </w14:textFill>
              </w:rPr>
              <w:t>4.</w:t>
            </w:r>
            <w:r>
              <w:rPr>
                <w:rFonts w:hint="eastAsia" w:ascii="Times New Roman" w:hAnsi="Times New Roman" w:eastAsia="宋体" w:cs="Times New Roman"/>
                <w:b/>
                <w:bCs w:val="0"/>
                <w:color w:val="000000" w:themeColor="text1"/>
                <w:sz w:val="24"/>
                <w:highlight w:val="none"/>
                <w:lang w:val="en-US" w:eastAsia="zh-CN"/>
                <w14:textFill>
                  <w14:solidFill>
                    <w14:schemeClr w14:val="tx1"/>
                  </w14:solidFill>
                </w14:textFill>
              </w:rPr>
              <w:t>3</w:t>
            </w:r>
            <w:r>
              <w:rPr>
                <w:rFonts w:hint="default" w:ascii="Times New Roman" w:hAnsi="Times New Roman" w:eastAsia="宋体" w:cs="Times New Roman"/>
                <w:b/>
                <w:bCs w:val="0"/>
                <w:color w:val="000000" w:themeColor="text1"/>
                <w:sz w:val="24"/>
                <w:highlight w:val="none"/>
                <w:lang w:val="en-US" w:eastAsia="zh-CN"/>
                <w14:textFill>
                  <w14:solidFill>
                    <w14:schemeClr w14:val="tx1"/>
                  </w14:solidFill>
                </w14:textFill>
              </w:rPr>
              <w:t>设计进、出水水质</w:t>
            </w:r>
          </w:p>
          <w:p w14:paraId="1BCBC3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eastAsia="Times New Roman" w:cs="Times New Roman"/>
                <w:b w:val="0"/>
                <w:bCs/>
                <w:color w:val="000000" w:themeColor="text1"/>
                <w:sz w:val="24"/>
                <w:highlight w:val="none"/>
                <w14:textFill>
                  <w14:solidFill>
                    <w14:schemeClr w14:val="tx1"/>
                  </w14:solidFill>
                </w14:textFill>
              </w:rPr>
            </w:pPr>
            <w:r>
              <w:rPr>
                <w:rFonts w:hint="default" w:ascii="Times New Roman" w:hAnsi="Times New Roman" w:eastAsia="Times New Roman" w:cs="Times New Roman"/>
                <w:b w:val="0"/>
                <w:bCs/>
                <w:color w:val="000000" w:themeColor="text1"/>
                <w:sz w:val="24"/>
                <w:highlight w:val="none"/>
                <w14:textFill>
                  <w14:solidFill>
                    <w14:schemeClr w14:val="tx1"/>
                  </w14:solidFill>
                </w14:textFill>
              </w:rPr>
              <w:t>汤阴固现污水处理有限公司设计进水水质为COD≤390mg/L、BOD</w:t>
            </w:r>
            <w:r>
              <w:rPr>
                <w:rFonts w:hint="default" w:ascii="Times New Roman" w:hAnsi="Times New Roman" w:eastAsia="Times New Roman" w:cs="Times New Roman"/>
                <w:b w:val="0"/>
                <w:bCs/>
                <w:color w:val="000000" w:themeColor="text1"/>
                <w:sz w:val="24"/>
                <w:highlight w:val="none"/>
                <w:vertAlign w:val="subscript"/>
                <w14:textFill>
                  <w14:solidFill>
                    <w14:schemeClr w14:val="tx1"/>
                  </w14:solidFill>
                </w14:textFill>
              </w:rPr>
              <w:t>5</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≤190mg/L、NH</w:t>
            </w:r>
            <w:r>
              <w:rPr>
                <w:rFonts w:hint="default" w:ascii="Times New Roman" w:hAnsi="Times New Roman" w:eastAsia="Times New Roman" w:cs="Times New Roman"/>
                <w:b w:val="0"/>
                <w:bCs/>
                <w:color w:val="000000" w:themeColor="text1"/>
                <w:sz w:val="24"/>
                <w:highlight w:val="none"/>
                <w:vertAlign w:val="subscript"/>
                <w14:textFill>
                  <w14:solidFill>
                    <w14:schemeClr w14:val="tx1"/>
                  </w14:solidFill>
                </w14:textFill>
              </w:rPr>
              <w:t>3</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-N≤35mg/L、SS≤280mg/L</w:t>
            </w:r>
            <w:r>
              <w:rPr>
                <w:rFonts w:hint="eastAsia" w:eastAsia="宋体" w:cs="Times New Roman"/>
                <w:b w:val="0"/>
                <w:bCs/>
                <w:color w:val="000000" w:themeColor="text1"/>
                <w:sz w:val="24"/>
                <w:highlight w:val="none"/>
                <w:lang w:eastAsia="zh-CN"/>
                <w14:textFill>
                  <w14:solidFill>
                    <w14:schemeClr w14:val="tx1"/>
                  </w14:solidFill>
                </w14:textFill>
              </w:rPr>
              <w:t>、</w:t>
            </w:r>
            <w:r>
              <w:rPr>
                <w:rFonts w:hint="eastAsia" w:eastAsia="宋体" w:cs="Times New Roman"/>
                <w:b w:val="0"/>
                <w:bCs/>
                <w:color w:val="000000" w:themeColor="text1"/>
                <w:sz w:val="24"/>
                <w:highlight w:val="none"/>
                <w:lang w:val="en-US" w:eastAsia="zh-CN"/>
                <w14:textFill>
                  <w14:solidFill>
                    <w14:schemeClr w14:val="tx1"/>
                  </w14:solidFill>
                </w14:textFill>
              </w:rPr>
              <w:t>TP</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w:t>
            </w:r>
            <w:r>
              <w:rPr>
                <w:rFonts w:hint="eastAsia" w:ascii="Times New Roman" w:hAnsi="Times New Roman" w:eastAsia="宋体" w:cs="Times New Roman"/>
                <w:b w:val="0"/>
                <w:bCs/>
                <w:color w:val="000000" w:themeColor="text1"/>
                <w:sz w:val="24"/>
                <w:highlight w:val="none"/>
                <w:lang w:val="en-US" w:eastAsia="zh-CN"/>
                <w14:textFill>
                  <w14:solidFill>
                    <w14:schemeClr w14:val="tx1"/>
                  </w14:solidFill>
                </w14:textFill>
              </w:rPr>
              <w:t>5</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mg/L设计出水水质《城镇污水处理厂污染物排放标准》（GB18918-2002）一级A标准，即COD≤50mg/L、BOD</w:t>
            </w:r>
            <w:r>
              <w:rPr>
                <w:rFonts w:hint="default" w:ascii="Times New Roman" w:hAnsi="Times New Roman" w:eastAsia="Times New Roman" w:cs="Times New Roman"/>
                <w:b w:val="0"/>
                <w:bCs/>
                <w:color w:val="000000" w:themeColor="text1"/>
                <w:sz w:val="24"/>
                <w:highlight w:val="none"/>
                <w:vertAlign w:val="subscript"/>
                <w14:textFill>
                  <w14:solidFill>
                    <w14:schemeClr w14:val="tx1"/>
                  </w14:solidFill>
                </w14:textFill>
              </w:rPr>
              <w:t>5</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≤10mg/L、NH</w:t>
            </w:r>
            <w:r>
              <w:rPr>
                <w:rFonts w:hint="default" w:ascii="Times New Roman" w:hAnsi="Times New Roman" w:eastAsia="Times New Roman" w:cs="Times New Roman"/>
                <w:b w:val="0"/>
                <w:bCs/>
                <w:color w:val="000000" w:themeColor="text1"/>
                <w:sz w:val="24"/>
                <w:highlight w:val="none"/>
                <w:vertAlign w:val="subscript"/>
                <w14:textFill>
                  <w14:solidFill>
                    <w14:schemeClr w14:val="tx1"/>
                  </w14:solidFill>
                </w14:textFill>
              </w:rPr>
              <w:t>3</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-N≤5mg/L、SS≤10mg/L</w:t>
            </w:r>
            <w:r>
              <w:rPr>
                <w:rFonts w:hint="eastAsia" w:eastAsia="宋体" w:cs="Times New Roman"/>
                <w:b w:val="0"/>
                <w:bCs/>
                <w:color w:val="000000" w:themeColor="text1"/>
                <w:sz w:val="24"/>
                <w:highlight w:val="none"/>
                <w:lang w:eastAsia="zh-CN"/>
                <w14:textFill>
                  <w14:solidFill>
                    <w14:schemeClr w14:val="tx1"/>
                  </w14:solidFill>
                </w14:textFill>
              </w:rPr>
              <w:t>、</w:t>
            </w:r>
            <w:r>
              <w:rPr>
                <w:rFonts w:hint="eastAsia" w:eastAsia="宋体" w:cs="Times New Roman"/>
                <w:b w:val="0"/>
                <w:bCs/>
                <w:color w:val="000000" w:themeColor="text1"/>
                <w:sz w:val="24"/>
                <w:highlight w:val="none"/>
                <w:lang w:val="en-US" w:eastAsia="zh-CN"/>
                <w14:textFill>
                  <w14:solidFill>
                    <w14:schemeClr w14:val="tx1"/>
                  </w14:solidFill>
                </w14:textFill>
              </w:rPr>
              <w:t>TP</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w:t>
            </w:r>
            <w:r>
              <w:rPr>
                <w:rFonts w:hint="eastAsia" w:ascii="Times New Roman" w:hAnsi="Times New Roman" w:eastAsia="宋体" w:cs="Times New Roman"/>
                <w:b w:val="0"/>
                <w:bCs/>
                <w:color w:val="000000" w:themeColor="text1"/>
                <w:sz w:val="24"/>
                <w:highlight w:val="none"/>
                <w:lang w:val="en-US" w:eastAsia="zh-CN"/>
                <w14:textFill>
                  <w14:solidFill>
                    <w14:schemeClr w14:val="tx1"/>
                  </w14:solidFill>
                </w14:textFill>
              </w:rPr>
              <w:t>15</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mg/L。经调查，该污水处理厂运行稳定，出水水质可满足《城镇污水处理厂污染物排放标准》（GB18918-2002）一级A标准要求。汤阴固现污水处理有限</w:t>
            </w:r>
            <w:r>
              <w:rPr>
                <w:rFonts w:hint="default" w:ascii="Times New Roman" w:hAnsi="Times New Roman" w:eastAsia="Times New Roman" w:cs="Times New Roman"/>
                <w:b w:val="0"/>
                <w:bCs/>
                <w:color w:val="000000" w:themeColor="text1"/>
                <w:sz w:val="24"/>
                <w:highlight w:val="none"/>
                <w:u w:val="none"/>
                <w14:textFill>
                  <w14:solidFill>
                    <w14:schemeClr w14:val="tx1"/>
                  </w14:solidFill>
                </w14:textFill>
              </w:rPr>
              <w:t>公司于2019年6月21日首次申领排污许可证，于</w:t>
            </w:r>
            <w:r>
              <w:rPr>
                <w:rFonts w:hint="eastAsia" w:eastAsia="宋体" w:cs="Times New Roman"/>
                <w:b w:val="0"/>
                <w:bCs/>
                <w:color w:val="000000" w:themeColor="text1"/>
                <w:sz w:val="24"/>
                <w:highlight w:val="none"/>
                <w:u w:val="none"/>
                <w:lang w:val="en-US" w:eastAsia="zh-CN"/>
                <w14:textFill>
                  <w14:solidFill>
                    <w14:schemeClr w14:val="tx1"/>
                  </w14:solidFill>
                </w14:textFill>
              </w:rPr>
              <w:t>2024</w:t>
            </w:r>
            <w:r>
              <w:rPr>
                <w:rFonts w:hint="default" w:ascii="Times New Roman" w:hAnsi="Times New Roman" w:eastAsia="Times New Roman" w:cs="Times New Roman"/>
                <w:b w:val="0"/>
                <w:bCs/>
                <w:color w:val="000000" w:themeColor="text1"/>
                <w:sz w:val="24"/>
                <w:highlight w:val="none"/>
                <w:u w:val="none"/>
                <w14:textFill>
                  <w14:solidFill>
                    <w14:schemeClr w14:val="tx1"/>
                  </w14:solidFill>
                </w14:textFill>
              </w:rPr>
              <w:t>年</w:t>
            </w:r>
            <w:r>
              <w:rPr>
                <w:rFonts w:hint="eastAsia" w:eastAsia="宋体" w:cs="Times New Roman"/>
                <w:b w:val="0"/>
                <w:bCs/>
                <w:color w:val="000000" w:themeColor="text1"/>
                <w:sz w:val="24"/>
                <w:highlight w:val="none"/>
                <w:u w:val="none"/>
                <w:lang w:val="en-US" w:eastAsia="zh-CN"/>
                <w14:textFill>
                  <w14:solidFill>
                    <w14:schemeClr w14:val="tx1"/>
                  </w14:solidFill>
                </w14:textFill>
              </w:rPr>
              <w:t>2</w:t>
            </w:r>
            <w:r>
              <w:rPr>
                <w:rFonts w:hint="default" w:ascii="Times New Roman" w:hAnsi="Times New Roman" w:eastAsia="Times New Roman" w:cs="Times New Roman"/>
                <w:b w:val="0"/>
                <w:bCs/>
                <w:color w:val="000000" w:themeColor="text1"/>
                <w:sz w:val="24"/>
                <w:highlight w:val="none"/>
                <w:u w:val="none"/>
                <w14:textFill>
                  <w14:solidFill>
                    <w14:schemeClr w14:val="tx1"/>
                  </w14:solidFill>
                </w14:textFill>
              </w:rPr>
              <w:t>月</w:t>
            </w:r>
            <w:r>
              <w:rPr>
                <w:rFonts w:hint="eastAsia" w:eastAsia="宋体" w:cs="Times New Roman"/>
                <w:b w:val="0"/>
                <w:bCs/>
                <w:color w:val="000000" w:themeColor="text1"/>
                <w:sz w:val="24"/>
                <w:highlight w:val="none"/>
                <w:u w:val="none"/>
                <w:lang w:val="en-US" w:eastAsia="zh-CN"/>
                <w14:textFill>
                  <w14:solidFill>
                    <w14:schemeClr w14:val="tx1"/>
                  </w14:solidFill>
                </w14:textFill>
              </w:rPr>
              <w:t>7日</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重新申请排污许可证，许可证编号：91410523MA45LLXE5D001Y。本项目废水经</w:t>
            </w:r>
            <w:r>
              <w:rPr>
                <w:rFonts w:hint="eastAsia" w:ascii="Times New Roman" w:hAnsi="Times New Roman" w:eastAsia="宋体" w:cs="Times New Roman"/>
                <w:b w:val="0"/>
                <w:bCs/>
                <w:color w:val="000000" w:themeColor="text1"/>
                <w:sz w:val="24"/>
                <w:highlight w:val="none"/>
                <w:lang w:val="en-US" w:eastAsia="zh-CN"/>
                <w14:textFill>
                  <w14:solidFill>
                    <w14:schemeClr w14:val="tx1"/>
                  </w14:solidFill>
                </w14:textFill>
              </w:rPr>
              <w:t>污水处理站及</w:t>
            </w:r>
            <w:r>
              <w:rPr>
                <w:rFonts w:hint="eastAsia" w:eastAsia="宋体" w:cs="Times New Roman"/>
                <w:b w:val="0"/>
                <w:bCs/>
                <w:color w:val="000000" w:themeColor="text1"/>
                <w:sz w:val="24"/>
                <w:highlight w:val="none"/>
                <w:lang w:eastAsia="zh-CN"/>
                <w14:textFill>
                  <w14:solidFill>
                    <w14:schemeClr w14:val="tx1"/>
                  </w14:solidFill>
                </w14:textFill>
              </w:rPr>
              <w:t>化粪池预处理</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后废水水质为COD</w:t>
            </w:r>
            <w:r>
              <w:rPr>
                <w:rFonts w:hint="eastAsia" w:cs="Times New Roman"/>
                <w:b w:val="0"/>
                <w:bCs/>
                <w:color w:val="000000" w:themeColor="text1"/>
                <w:sz w:val="24"/>
                <w:highlight w:val="none"/>
                <w:lang w:val="en-US" w:eastAsia="zh-CN"/>
                <w14:textFill>
                  <w14:solidFill>
                    <w14:schemeClr w14:val="tx1"/>
                  </w14:solidFill>
                </w14:textFill>
              </w:rPr>
              <w:t>298.8</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mg/L、BOD</w:t>
            </w:r>
            <w:r>
              <w:rPr>
                <w:rFonts w:hint="default" w:ascii="Times New Roman" w:hAnsi="Times New Roman" w:eastAsia="Times New Roman" w:cs="Times New Roman"/>
                <w:b w:val="0"/>
                <w:bCs/>
                <w:color w:val="000000" w:themeColor="text1"/>
                <w:sz w:val="24"/>
                <w:highlight w:val="none"/>
                <w:vertAlign w:val="subscript"/>
                <w14:textFill>
                  <w14:solidFill>
                    <w14:schemeClr w14:val="tx1"/>
                  </w14:solidFill>
                </w14:textFill>
              </w:rPr>
              <w:t>5</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w:t>
            </w:r>
            <w:r>
              <w:rPr>
                <w:rFonts w:hint="eastAsia" w:cs="Times New Roman"/>
                <w:b w:val="0"/>
                <w:bCs/>
                <w:color w:val="000000" w:themeColor="text1"/>
                <w:sz w:val="24"/>
                <w:highlight w:val="none"/>
                <w:lang w:val="en-US" w:eastAsia="zh-CN"/>
                <w14:textFill>
                  <w14:solidFill>
                    <w14:schemeClr w14:val="tx1"/>
                  </w14:solidFill>
                </w14:textFill>
              </w:rPr>
              <w:t>181.9</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mg/L、NH</w:t>
            </w:r>
            <w:r>
              <w:rPr>
                <w:rFonts w:hint="default" w:ascii="Times New Roman" w:hAnsi="Times New Roman" w:eastAsia="Times New Roman" w:cs="Times New Roman"/>
                <w:b w:val="0"/>
                <w:bCs/>
                <w:color w:val="000000" w:themeColor="text1"/>
                <w:sz w:val="24"/>
                <w:highlight w:val="none"/>
                <w:vertAlign w:val="subscript"/>
                <w14:textFill>
                  <w14:solidFill>
                    <w14:schemeClr w14:val="tx1"/>
                  </w14:solidFill>
                </w14:textFill>
              </w:rPr>
              <w:t>3</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-N≤</w:t>
            </w:r>
            <w:r>
              <w:rPr>
                <w:rFonts w:hint="eastAsia" w:cs="Times New Roman"/>
                <w:b w:val="0"/>
                <w:bCs/>
                <w:color w:val="000000" w:themeColor="text1"/>
                <w:sz w:val="24"/>
                <w:highlight w:val="none"/>
                <w:lang w:val="en-US" w:eastAsia="zh-CN"/>
                <w14:textFill>
                  <w14:solidFill>
                    <w14:schemeClr w14:val="tx1"/>
                  </w14:solidFill>
                </w14:textFill>
              </w:rPr>
              <w:t>29.6</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mg/L、SS≤</w:t>
            </w:r>
            <w:r>
              <w:rPr>
                <w:rFonts w:hint="eastAsia" w:cs="Times New Roman"/>
                <w:b w:val="0"/>
                <w:bCs/>
                <w:color w:val="000000" w:themeColor="text1"/>
                <w:sz w:val="24"/>
                <w:highlight w:val="none"/>
                <w:lang w:val="en-US" w:eastAsia="zh-CN"/>
                <w14:textFill>
                  <w14:solidFill>
                    <w14:schemeClr w14:val="tx1"/>
                  </w14:solidFill>
                </w14:textFill>
              </w:rPr>
              <w:t>70</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mg/L</w:t>
            </w:r>
            <w:r>
              <w:rPr>
                <w:rFonts w:hint="eastAsia" w:eastAsia="宋体" w:cs="Times New Roman"/>
                <w:b w:val="0"/>
                <w:bCs/>
                <w:color w:val="000000" w:themeColor="text1"/>
                <w:sz w:val="24"/>
                <w:highlight w:val="none"/>
                <w:lang w:eastAsia="zh-CN"/>
                <w14:textFill>
                  <w14:solidFill>
                    <w14:schemeClr w14:val="tx1"/>
                  </w14:solidFill>
                </w14:textFill>
              </w:rPr>
              <w:t>、</w:t>
            </w:r>
            <w:r>
              <w:rPr>
                <w:rFonts w:hint="eastAsia" w:eastAsia="宋体" w:cs="Times New Roman"/>
                <w:b w:val="0"/>
                <w:bCs/>
                <w:color w:val="000000" w:themeColor="text1"/>
                <w:sz w:val="24"/>
                <w:highlight w:val="none"/>
                <w:lang w:val="en-US" w:eastAsia="zh-CN"/>
                <w14:textFill>
                  <w14:solidFill>
                    <w14:schemeClr w14:val="tx1"/>
                  </w14:solidFill>
                </w14:textFill>
              </w:rPr>
              <w:t>TP</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w:t>
            </w:r>
            <w:r>
              <w:rPr>
                <w:rFonts w:hint="eastAsia" w:eastAsia="宋体" w:cs="Times New Roman"/>
                <w:b w:val="0"/>
                <w:bCs/>
                <w:color w:val="000000" w:themeColor="text1"/>
                <w:sz w:val="24"/>
                <w:highlight w:val="none"/>
                <w:lang w:val="en-US" w:eastAsia="zh-CN"/>
                <w14:textFill>
                  <w14:solidFill>
                    <w14:schemeClr w14:val="tx1"/>
                  </w14:solidFill>
                </w14:textFill>
              </w:rPr>
              <w:t>4.9</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mg/L，可以满足该污水处理厂接管标准要求（COD≤</w:t>
            </w:r>
            <w:r>
              <w:rPr>
                <w:rFonts w:hint="eastAsia" w:eastAsia="宋体" w:cs="Times New Roman"/>
                <w:b w:val="0"/>
                <w:bCs/>
                <w:color w:val="000000" w:themeColor="text1"/>
                <w:sz w:val="24"/>
                <w:highlight w:val="none"/>
                <w:lang w:val="en-US" w:eastAsia="zh-CN"/>
                <w14:textFill>
                  <w14:solidFill>
                    <w14:schemeClr w14:val="tx1"/>
                  </w14:solidFill>
                </w14:textFill>
              </w:rPr>
              <w:t>390</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mg/L、BOD</w:t>
            </w:r>
            <w:r>
              <w:rPr>
                <w:rFonts w:hint="default" w:ascii="Times New Roman" w:hAnsi="Times New Roman" w:eastAsia="Times New Roman" w:cs="Times New Roman"/>
                <w:b w:val="0"/>
                <w:bCs/>
                <w:color w:val="000000" w:themeColor="text1"/>
                <w:sz w:val="24"/>
                <w:highlight w:val="none"/>
                <w:vertAlign w:val="subscript"/>
                <w14:textFill>
                  <w14:solidFill>
                    <w14:schemeClr w14:val="tx1"/>
                  </w14:solidFill>
                </w14:textFill>
              </w:rPr>
              <w:t>5</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w:t>
            </w:r>
            <w:r>
              <w:rPr>
                <w:rFonts w:hint="eastAsia" w:eastAsia="宋体" w:cs="Times New Roman"/>
                <w:b w:val="0"/>
                <w:bCs/>
                <w:color w:val="000000" w:themeColor="text1"/>
                <w:sz w:val="24"/>
                <w:highlight w:val="none"/>
                <w:lang w:val="en-US" w:eastAsia="zh-CN"/>
                <w14:textFill>
                  <w14:solidFill>
                    <w14:schemeClr w14:val="tx1"/>
                  </w14:solidFill>
                </w14:textFill>
              </w:rPr>
              <w:t>190</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mg/L、NH</w:t>
            </w:r>
            <w:r>
              <w:rPr>
                <w:rFonts w:hint="default" w:ascii="Times New Roman" w:hAnsi="Times New Roman" w:eastAsia="Times New Roman" w:cs="Times New Roman"/>
                <w:b w:val="0"/>
                <w:bCs/>
                <w:color w:val="000000" w:themeColor="text1"/>
                <w:sz w:val="24"/>
                <w:highlight w:val="none"/>
                <w:vertAlign w:val="subscript"/>
                <w14:textFill>
                  <w14:solidFill>
                    <w14:schemeClr w14:val="tx1"/>
                  </w14:solidFill>
                </w14:textFill>
              </w:rPr>
              <w:t>3</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-N≤35mg/L、SS≤210mg/L）和《</w:t>
            </w:r>
            <w:r>
              <w:rPr>
                <w:rFonts w:hint="default" w:ascii="Times New Roman" w:hAnsi="Times New Roman" w:eastAsia="Times New Roman" w:cs="Times New Roman"/>
                <w:b w:val="0"/>
                <w:bCs/>
                <w:color w:val="000000" w:themeColor="text1"/>
                <w:sz w:val="24"/>
                <w:highlight w:val="none"/>
                <w:lang w:val="en-US" w:eastAsia="zh-CN"/>
                <w14:textFill>
                  <w14:solidFill>
                    <w14:schemeClr w14:val="tx1"/>
                  </w14:solidFill>
                </w14:textFill>
              </w:rPr>
              <w:t>食品加工制造业水污染物排放标准</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w:t>
            </w:r>
            <w:r>
              <w:rPr>
                <w:rFonts w:hint="default" w:ascii="Times New Roman" w:hAnsi="Times New Roman" w:eastAsia="Times New Roman" w:cs="Times New Roman"/>
                <w:b w:val="0"/>
                <w:bCs/>
                <w:color w:val="000000" w:themeColor="text1"/>
                <w:sz w:val="24"/>
                <w:highlight w:val="none"/>
                <w:lang w:val="en-US" w:eastAsia="zh-CN"/>
                <w14:textFill>
                  <w14:solidFill>
                    <w14:schemeClr w14:val="tx1"/>
                  </w14:solidFill>
                </w14:textFill>
              </w:rPr>
              <w:t>GB 46817-2025</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）表</w:t>
            </w:r>
            <w:r>
              <w:rPr>
                <w:rFonts w:hint="default" w:ascii="Times New Roman" w:hAnsi="Times New Roman" w:eastAsia="Times New Roman" w:cs="Times New Roman"/>
                <w:b w:val="0"/>
                <w:bCs/>
                <w:color w:val="000000" w:themeColor="text1"/>
                <w:sz w:val="24"/>
                <w:highlight w:val="none"/>
                <w:lang w:val="en-US" w:eastAsia="zh-CN"/>
                <w14:textFill>
                  <w14:solidFill>
                    <w14:schemeClr w14:val="tx1"/>
                  </w14:solidFill>
                </w14:textFill>
              </w:rPr>
              <w:t>1间接排放</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标准（COD≤500mg/L、BOD</w:t>
            </w:r>
            <w:r>
              <w:rPr>
                <w:rFonts w:hint="default" w:ascii="Times New Roman" w:hAnsi="Times New Roman" w:eastAsia="Times New Roman" w:cs="Times New Roman"/>
                <w:b w:val="0"/>
                <w:bCs/>
                <w:color w:val="000000" w:themeColor="text1"/>
                <w:sz w:val="24"/>
                <w:highlight w:val="none"/>
                <w:vertAlign w:val="subscript"/>
                <w14:textFill>
                  <w14:solidFill>
                    <w14:schemeClr w14:val="tx1"/>
                  </w14:solidFill>
                </w14:textFill>
              </w:rPr>
              <w:t>5</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≤3</w:t>
            </w:r>
            <w:r>
              <w:rPr>
                <w:rFonts w:hint="eastAsia" w:ascii="Times New Roman" w:hAnsi="Times New Roman" w:eastAsia="宋体" w:cs="Times New Roman"/>
                <w:b w:val="0"/>
                <w:bCs/>
                <w:color w:val="000000" w:themeColor="text1"/>
                <w:sz w:val="24"/>
                <w:highlight w:val="none"/>
                <w:lang w:val="en-US" w:eastAsia="zh-CN"/>
                <w14:textFill>
                  <w14:solidFill>
                    <w14:schemeClr w14:val="tx1"/>
                  </w14:solidFill>
                </w14:textFill>
              </w:rPr>
              <w:t>5</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0mg/L、SS≤400mg/L</w:t>
            </w:r>
            <w:r>
              <w:rPr>
                <w:rFonts w:hint="eastAsia" w:ascii="Times New Roman" w:hAnsi="Times New Roman" w:eastAsia="宋体" w:cs="Times New Roman"/>
                <w:b w:val="0"/>
                <w:bCs/>
                <w:color w:val="000000" w:themeColor="text1"/>
                <w:sz w:val="24"/>
                <w:highlight w:val="none"/>
                <w:lang w:eastAsia="zh-CN"/>
                <w14:textFill>
                  <w14:solidFill>
                    <w14:schemeClr w14:val="tx1"/>
                  </w14:solidFill>
                </w14:textFill>
              </w:rPr>
              <w:t>、</w:t>
            </w:r>
            <w:r>
              <w:rPr>
                <w:rFonts w:hint="eastAsia" w:ascii="Times New Roman" w:hAnsi="Times New Roman" w:eastAsia="宋体" w:cs="Times New Roman"/>
                <w:b w:val="0"/>
                <w:bCs/>
                <w:color w:val="000000" w:themeColor="text1"/>
                <w:sz w:val="24"/>
                <w:highlight w:val="none"/>
                <w:lang w:val="en-US" w:eastAsia="zh-CN"/>
                <w14:textFill>
                  <w14:solidFill>
                    <w14:schemeClr w14:val="tx1"/>
                  </w14:solidFill>
                </w14:textFill>
              </w:rPr>
              <w:t>氨氮≤45mg/L</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w:t>
            </w:r>
          </w:p>
          <w:p w14:paraId="7E4D55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eastAsia="Times New Roman" w:cs="Times New Roman"/>
                <w:b w:val="0"/>
                <w:bCs/>
                <w:color w:val="000000" w:themeColor="text1"/>
                <w:sz w:val="24"/>
                <w:highlight w:val="none"/>
                <w14:textFill>
                  <w14:solidFill>
                    <w14:schemeClr w14:val="tx1"/>
                  </w14:solidFill>
                </w14:textFill>
              </w:rPr>
            </w:pPr>
            <w:r>
              <w:rPr>
                <w:rFonts w:hint="default" w:ascii="Times New Roman" w:hAnsi="Times New Roman" w:eastAsia="Times New Roman" w:cs="Times New Roman"/>
                <w:b w:val="0"/>
                <w:bCs/>
                <w:color w:val="000000" w:themeColor="text1"/>
                <w:sz w:val="24"/>
                <w:highlight w:val="none"/>
                <w14:textFill>
                  <w14:solidFill>
                    <w14:schemeClr w14:val="tx1"/>
                  </w14:solidFill>
                </w14:textFill>
              </w:rPr>
              <w:t>综上所述，本项目产生的</w:t>
            </w:r>
            <w:r>
              <w:rPr>
                <w:rFonts w:hint="eastAsia" w:eastAsia="宋体" w:cs="Times New Roman"/>
                <w:b w:val="0"/>
                <w:bCs/>
                <w:color w:val="000000" w:themeColor="text1"/>
                <w:sz w:val="24"/>
                <w:highlight w:val="none"/>
                <w:lang w:val="en-US" w:eastAsia="zh-CN"/>
                <w14:textFill>
                  <w14:solidFill>
                    <w14:schemeClr w14:val="tx1"/>
                  </w14:solidFill>
                </w14:textFill>
              </w:rPr>
              <w:t>废水</w:t>
            </w:r>
            <w:r>
              <w:rPr>
                <w:rFonts w:hint="default" w:ascii="Times New Roman" w:hAnsi="Times New Roman" w:eastAsia="Times New Roman" w:cs="Times New Roman"/>
                <w:b w:val="0"/>
                <w:bCs/>
                <w:color w:val="000000" w:themeColor="text1"/>
                <w:sz w:val="24"/>
                <w:highlight w:val="none"/>
                <w14:textFill>
                  <w14:solidFill>
                    <w14:schemeClr w14:val="tx1"/>
                  </w14:solidFill>
                </w14:textFill>
              </w:rPr>
              <w:t>排入汤阴固现污水处理有限公司合理可行。</w:t>
            </w:r>
          </w:p>
          <w:p w14:paraId="39403B4B">
            <w:pPr>
              <w:pStyle w:val="102"/>
              <w:spacing w:before="120" w:after="120"/>
              <w:ind w:firstLine="240"/>
              <w:rPr>
                <w:lang w:bidi="ar"/>
              </w:rPr>
            </w:pPr>
            <w:r>
              <w:rPr>
                <w:lang w:bidi="ar"/>
              </w:rPr>
              <w:t>2.3排放口基本情况及监测要求</w:t>
            </w:r>
          </w:p>
          <w:p w14:paraId="2370DB9A">
            <w:pPr>
              <w:pStyle w:val="100"/>
              <w:snapToGrid w:val="0"/>
              <w:ind w:leftChars="0" w:firstLineChars="0"/>
            </w:pPr>
            <w:r>
              <w:t>项目</w:t>
            </w:r>
            <w:r>
              <w:rPr>
                <w:bCs/>
              </w:rPr>
              <w:t>废水类别、污染物及污染治理设施信息</w:t>
            </w:r>
            <w:r>
              <w:t>详见下表。</w:t>
            </w:r>
          </w:p>
          <w:p w14:paraId="13F7134A">
            <w:pPr>
              <w:pStyle w:val="56"/>
              <w:keepNext w:val="0"/>
              <w:keepLines w:val="0"/>
              <w:pageBreakBefore w:val="0"/>
              <w:widowControl w:val="0"/>
              <w:numPr>
                <w:ilvl w:val="0"/>
                <w:numId w:val="0"/>
              </w:numPr>
              <w:kinsoku/>
              <w:wordWrap/>
              <w:overflowPunct/>
              <w:topLinePunct w:val="0"/>
              <w:autoSpaceDE w:val="0"/>
              <w:autoSpaceDN w:val="0"/>
              <w:bidi w:val="0"/>
              <w:adjustRightInd w:val="0"/>
              <w:snapToGrid/>
              <w:spacing w:before="120"/>
              <w:ind w:left="0" w:leftChars="0"/>
              <w:textAlignment w:val="auto"/>
            </w:pPr>
            <w:r>
              <w:rPr>
                <w:rFonts w:hint="eastAsia"/>
                <w:lang w:val="en-US" w:eastAsia="zh-CN"/>
              </w:rPr>
              <w:t xml:space="preserve">表32 </w:t>
            </w:r>
            <w:r>
              <w:t>项目废水类别、污染物及污染治理设施信息</w:t>
            </w:r>
          </w:p>
          <w:tbl>
            <w:tblPr>
              <w:tblStyle w:val="47"/>
              <w:tblW w:w="8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80"/>
              <w:gridCol w:w="857"/>
              <w:gridCol w:w="700"/>
              <w:gridCol w:w="572"/>
              <w:gridCol w:w="769"/>
              <w:gridCol w:w="820"/>
              <w:gridCol w:w="904"/>
              <w:gridCol w:w="641"/>
              <w:gridCol w:w="798"/>
              <w:gridCol w:w="1571"/>
            </w:tblGrid>
            <w:tr w14:paraId="0200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53" w:type="pct"/>
                  <w:vMerge w:val="restart"/>
                  <w:vAlign w:val="center"/>
                </w:tcPr>
                <w:p w14:paraId="093238A3">
                  <w:pPr>
                    <w:pStyle w:val="104"/>
                    <w:rPr>
                      <w:rFonts w:hAnsi="Times New Roman"/>
                    </w:rPr>
                  </w:pPr>
                  <w:r>
                    <w:rPr>
                      <w:rFonts w:hAnsi="Times New Roman"/>
                    </w:rPr>
                    <w:t>废水类别a</w:t>
                  </w:r>
                </w:p>
              </w:tc>
              <w:tc>
                <w:tcPr>
                  <w:tcW w:w="521" w:type="pct"/>
                  <w:vMerge w:val="restart"/>
                  <w:vAlign w:val="center"/>
                </w:tcPr>
                <w:p w14:paraId="54044772">
                  <w:pPr>
                    <w:pStyle w:val="104"/>
                    <w:rPr>
                      <w:rFonts w:hAnsi="Times New Roman"/>
                    </w:rPr>
                  </w:pPr>
                  <w:r>
                    <w:rPr>
                      <w:rFonts w:hAnsi="Times New Roman"/>
                    </w:rPr>
                    <w:t>污染物种类b</w:t>
                  </w:r>
                </w:p>
              </w:tc>
              <w:tc>
                <w:tcPr>
                  <w:tcW w:w="426" w:type="pct"/>
                  <w:vMerge w:val="restart"/>
                  <w:vAlign w:val="center"/>
                </w:tcPr>
                <w:p w14:paraId="3191322C">
                  <w:pPr>
                    <w:pStyle w:val="104"/>
                    <w:rPr>
                      <w:rFonts w:hAnsi="Times New Roman"/>
                    </w:rPr>
                  </w:pPr>
                  <w:r>
                    <w:rPr>
                      <w:rFonts w:hAnsi="Times New Roman"/>
                    </w:rPr>
                    <w:t>排放去向c</w:t>
                  </w:r>
                </w:p>
              </w:tc>
              <w:tc>
                <w:tcPr>
                  <w:tcW w:w="348" w:type="pct"/>
                  <w:vMerge w:val="restart"/>
                  <w:vAlign w:val="center"/>
                </w:tcPr>
                <w:p w14:paraId="47A16FCD">
                  <w:pPr>
                    <w:pStyle w:val="104"/>
                    <w:rPr>
                      <w:rFonts w:hAnsi="Times New Roman"/>
                    </w:rPr>
                  </w:pPr>
                  <w:r>
                    <w:rPr>
                      <w:rFonts w:hAnsi="Times New Roman"/>
                    </w:rPr>
                    <w:t>排放规律d</w:t>
                  </w:r>
                </w:p>
              </w:tc>
              <w:tc>
                <w:tcPr>
                  <w:tcW w:w="1517" w:type="pct"/>
                  <w:gridSpan w:val="3"/>
                  <w:vAlign w:val="center"/>
                </w:tcPr>
                <w:p w14:paraId="017CC043">
                  <w:pPr>
                    <w:pStyle w:val="104"/>
                    <w:rPr>
                      <w:rFonts w:hAnsi="Times New Roman"/>
                    </w:rPr>
                  </w:pPr>
                  <w:r>
                    <w:rPr>
                      <w:rFonts w:hAnsi="Times New Roman"/>
                    </w:rPr>
                    <w:t>污染治理设施</w:t>
                  </w:r>
                </w:p>
              </w:tc>
              <w:tc>
                <w:tcPr>
                  <w:tcW w:w="390" w:type="pct"/>
                  <w:vMerge w:val="restart"/>
                  <w:vAlign w:val="center"/>
                </w:tcPr>
                <w:p w14:paraId="1B40DCBE">
                  <w:pPr>
                    <w:pStyle w:val="104"/>
                    <w:rPr>
                      <w:rFonts w:hAnsi="Times New Roman"/>
                    </w:rPr>
                  </w:pPr>
                  <w:r>
                    <w:rPr>
                      <w:rFonts w:hAnsi="Times New Roman"/>
                    </w:rPr>
                    <w:t>排放口编号f</w:t>
                  </w:r>
                </w:p>
              </w:tc>
              <w:tc>
                <w:tcPr>
                  <w:tcW w:w="485" w:type="pct"/>
                  <w:vMerge w:val="restart"/>
                  <w:vAlign w:val="center"/>
                </w:tcPr>
                <w:p w14:paraId="4FB21425">
                  <w:pPr>
                    <w:pStyle w:val="104"/>
                    <w:rPr>
                      <w:rFonts w:hAnsi="Times New Roman"/>
                    </w:rPr>
                  </w:pPr>
                  <w:r>
                    <w:rPr>
                      <w:rFonts w:hAnsi="Times New Roman"/>
                    </w:rPr>
                    <w:t>排放口设置是否符合要求g</w:t>
                  </w:r>
                </w:p>
              </w:tc>
              <w:tc>
                <w:tcPr>
                  <w:tcW w:w="955" w:type="pct"/>
                  <w:vMerge w:val="restart"/>
                  <w:vAlign w:val="center"/>
                </w:tcPr>
                <w:p w14:paraId="5CD1CA07">
                  <w:pPr>
                    <w:pStyle w:val="104"/>
                    <w:rPr>
                      <w:rFonts w:hAnsi="Times New Roman"/>
                    </w:rPr>
                  </w:pPr>
                  <w:r>
                    <w:rPr>
                      <w:rFonts w:hAnsi="Times New Roman"/>
                    </w:rPr>
                    <w:t>排放口类型</w:t>
                  </w:r>
                </w:p>
              </w:tc>
            </w:tr>
            <w:tr w14:paraId="7C94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53" w:type="pct"/>
                  <w:vMerge w:val="continue"/>
                  <w:vAlign w:val="center"/>
                </w:tcPr>
                <w:p w14:paraId="6F90018D">
                  <w:pPr>
                    <w:pStyle w:val="104"/>
                    <w:rPr>
                      <w:rFonts w:hAnsi="Times New Roman"/>
                    </w:rPr>
                  </w:pPr>
                </w:p>
              </w:tc>
              <w:tc>
                <w:tcPr>
                  <w:tcW w:w="521" w:type="pct"/>
                  <w:vMerge w:val="continue"/>
                  <w:vAlign w:val="center"/>
                </w:tcPr>
                <w:p w14:paraId="66DD9ACC">
                  <w:pPr>
                    <w:pStyle w:val="104"/>
                    <w:rPr>
                      <w:rFonts w:hAnsi="Times New Roman"/>
                    </w:rPr>
                  </w:pPr>
                </w:p>
              </w:tc>
              <w:tc>
                <w:tcPr>
                  <w:tcW w:w="426" w:type="pct"/>
                  <w:vMerge w:val="continue"/>
                  <w:vAlign w:val="center"/>
                </w:tcPr>
                <w:p w14:paraId="0DE82FC6">
                  <w:pPr>
                    <w:pStyle w:val="104"/>
                    <w:rPr>
                      <w:rFonts w:hAnsi="Times New Roman"/>
                    </w:rPr>
                  </w:pPr>
                </w:p>
              </w:tc>
              <w:tc>
                <w:tcPr>
                  <w:tcW w:w="348" w:type="pct"/>
                  <w:vMerge w:val="continue"/>
                  <w:vAlign w:val="center"/>
                </w:tcPr>
                <w:p w14:paraId="75654FC1">
                  <w:pPr>
                    <w:pStyle w:val="104"/>
                    <w:rPr>
                      <w:rFonts w:hAnsi="Times New Roman"/>
                    </w:rPr>
                  </w:pPr>
                </w:p>
              </w:tc>
              <w:tc>
                <w:tcPr>
                  <w:tcW w:w="468" w:type="pct"/>
                  <w:vAlign w:val="center"/>
                </w:tcPr>
                <w:p w14:paraId="2FF7566F">
                  <w:pPr>
                    <w:pStyle w:val="104"/>
                    <w:rPr>
                      <w:rFonts w:hAnsi="Times New Roman"/>
                    </w:rPr>
                  </w:pPr>
                  <w:r>
                    <w:rPr>
                      <w:rFonts w:hAnsi="Times New Roman"/>
                    </w:rPr>
                    <w:t>污染治理设施编号</w:t>
                  </w:r>
                </w:p>
              </w:tc>
              <w:tc>
                <w:tcPr>
                  <w:tcW w:w="499" w:type="pct"/>
                  <w:vAlign w:val="center"/>
                </w:tcPr>
                <w:p w14:paraId="6FA143B7">
                  <w:pPr>
                    <w:pStyle w:val="104"/>
                    <w:rPr>
                      <w:rFonts w:hAnsi="Times New Roman"/>
                    </w:rPr>
                  </w:pPr>
                  <w:r>
                    <w:rPr>
                      <w:rFonts w:hAnsi="Times New Roman"/>
                    </w:rPr>
                    <w:t>污染治理设施名称e</w:t>
                  </w:r>
                </w:p>
              </w:tc>
              <w:tc>
                <w:tcPr>
                  <w:tcW w:w="549" w:type="pct"/>
                  <w:vAlign w:val="center"/>
                </w:tcPr>
                <w:p w14:paraId="32069F6E">
                  <w:pPr>
                    <w:pStyle w:val="104"/>
                    <w:rPr>
                      <w:rFonts w:hAnsi="Times New Roman"/>
                    </w:rPr>
                  </w:pPr>
                  <w:r>
                    <w:rPr>
                      <w:rFonts w:hAnsi="Times New Roman"/>
                    </w:rPr>
                    <w:t>污染治理设施工艺</w:t>
                  </w:r>
                </w:p>
              </w:tc>
              <w:tc>
                <w:tcPr>
                  <w:tcW w:w="390" w:type="pct"/>
                  <w:vMerge w:val="continue"/>
                  <w:vAlign w:val="center"/>
                </w:tcPr>
                <w:p w14:paraId="100AAFFF">
                  <w:pPr>
                    <w:pStyle w:val="104"/>
                    <w:rPr>
                      <w:rFonts w:hAnsi="Times New Roman"/>
                    </w:rPr>
                  </w:pPr>
                </w:p>
              </w:tc>
              <w:tc>
                <w:tcPr>
                  <w:tcW w:w="485" w:type="pct"/>
                  <w:vMerge w:val="continue"/>
                  <w:vAlign w:val="center"/>
                </w:tcPr>
                <w:p w14:paraId="636D97BA">
                  <w:pPr>
                    <w:pStyle w:val="104"/>
                    <w:rPr>
                      <w:rFonts w:hAnsi="Times New Roman"/>
                    </w:rPr>
                  </w:pPr>
                </w:p>
              </w:tc>
              <w:tc>
                <w:tcPr>
                  <w:tcW w:w="955" w:type="pct"/>
                  <w:vMerge w:val="continue"/>
                  <w:vAlign w:val="center"/>
                </w:tcPr>
                <w:p w14:paraId="5499F574">
                  <w:pPr>
                    <w:pStyle w:val="104"/>
                    <w:rPr>
                      <w:rFonts w:hAnsi="Times New Roman"/>
                    </w:rPr>
                  </w:pPr>
                </w:p>
              </w:tc>
            </w:tr>
            <w:tr w14:paraId="625A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353" w:type="pct"/>
                  <w:vAlign w:val="center"/>
                </w:tcPr>
                <w:p w14:paraId="01C11B9A">
                  <w:pPr>
                    <w:pStyle w:val="104"/>
                    <w:rPr>
                      <w:rFonts w:hint="eastAsia" w:hAnsi="Times New Roman" w:eastAsia="宋体"/>
                      <w:lang w:val="en-US" w:eastAsia="zh-CN"/>
                    </w:rPr>
                  </w:pPr>
                  <w:r>
                    <w:rPr>
                      <w:rFonts w:hint="eastAsia" w:hAnsi="Times New Roman"/>
                      <w:lang w:val="en-US" w:eastAsia="zh-CN"/>
                    </w:rPr>
                    <w:t>生产</w:t>
                  </w:r>
                  <w:r>
                    <w:rPr>
                      <w:rFonts w:hint="eastAsia" w:hAnsi="Times New Roman"/>
                    </w:rPr>
                    <w:t>废</w:t>
                  </w:r>
                  <w:r>
                    <w:rPr>
                      <w:rFonts w:hAnsi="Times New Roman"/>
                    </w:rPr>
                    <w:t>水</w:t>
                  </w:r>
                  <w:r>
                    <w:rPr>
                      <w:rFonts w:hint="eastAsia" w:hAnsi="Times New Roman"/>
                      <w:lang w:val="en-US" w:eastAsia="zh-CN"/>
                    </w:rPr>
                    <w:t>等</w:t>
                  </w:r>
                </w:p>
              </w:tc>
              <w:tc>
                <w:tcPr>
                  <w:tcW w:w="521" w:type="pct"/>
                  <w:vMerge w:val="restart"/>
                  <w:vAlign w:val="center"/>
                </w:tcPr>
                <w:p w14:paraId="12D3AF49">
                  <w:pPr>
                    <w:pStyle w:val="104"/>
                    <w:rPr>
                      <w:rFonts w:hAnsi="Times New Roman"/>
                    </w:rPr>
                  </w:pPr>
                  <w:r>
                    <w:rPr>
                      <w:rFonts w:hint="eastAsia"/>
                      <w:b w:val="0"/>
                      <w:bCs w:val="0"/>
                      <w:szCs w:val="21"/>
                      <w:u w:val="none"/>
                      <w:lang w:val="en-US" w:eastAsia="zh-CN"/>
                    </w:rPr>
                    <w:t>流量、</w:t>
                  </w:r>
                  <w:r>
                    <w:rPr>
                      <w:b w:val="0"/>
                      <w:bCs w:val="0"/>
                      <w:szCs w:val="21"/>
                      <w:u w:val="none"/>
                    </w:rPr>
                    <w:t>pH</w:t>
                  </w:r>
                  <w:r>
                    <w:rPr>
                      <w:rFonts w:hint="eastAsia"/>
                      <w:b w:val="0"/>
                      <w:bCs w:val="0"/>
                      <w:szCs w:val="21"/>
                      <w:u w:val="none"/>
                    </w:rPr>
                    <w:t>、</w:t>
                  </w:r>
                  <w:r>
                    <w:rPr>
                      <w:b w:val="0"/>
                      <w:bCs w:val="0"/>
                      <w:szCs w:val="21"/>
                      <w:u w:val="none"/>
                    </w:rPr>
                    <w:t>COD</w:t>
                  </w:r>
                  <w:r>
                    <w:rPr>
                      <w:rFonts w:hint="eastAsia"/>
                      <w:b w:val="0"/>
                      <w:bCs w:val="0"/>
                      <w:szCs w:val="21"/>
                      <w:u w:val="none"/>
                    </w:rPr>
                    <w:t>、</w:t>
                  </w:r>
                  <w:r>
                    <w:rPr>
                      <w:b w:val="0"/>
                      <w:bCs w:val="0"/>
                      <w:szCs w:val="21"/>
                      <w:u w:val="none"/>
                    </w:rPr>
                    <w:t>BOD</w:t>
                  </w:r>
                  <w:r>
                    <w:rPr>
                      <w:b w:val="0"/>
                      <w:bCs w:val="0"/>
                      <w:szCs w:val="21"/>
                      <w:u w:val="none"/>
                      <w:vertAlign w:val="subscript"/>
                    </w:rPr>
                    <w:t>5</w:t>
                  </w:r>
                  <w:r>
                    <w:rPr>
                      <w:rFonts w:hint="eastAsia"/>
                      <w:b w:val="0"/>
                      <w:bCs w:val="0"/>
                      <w:szCs w:val="21"/>
                      <w:u w:val="none"/>
                    </w:rPr>
                    <w:t>、</w:t>
                  </w:r>
                  <w:r>
                    <w:rPr>
                      <w:b w:val="0"/>
                      <w:bCs w:val="0"/>
                      <w:szCs w:val="21"/>
                      <w:u w:val="none"/>
                    </w:rPr>
                    <w:t>SS</w:t>
                  </w:r>
                  <w:r>
                    <w:rPr>
                      <w:rFonts w:hint="eastAsia"/>
                      <w:b w:val="0"/>
                      <w:bCs w:val="0"/>
                      <w:szCs w:val="21"/>
                      <w:u w:val="none"/>
                    </w:rPr>
                    <w:t>、</w:t>
                  </w:r>
                  <w:r>
                    <w:rPr>
                      <w:b w:val="0"/>
                      <w:bCs w:val="0"/>
                      <w:u w:val="none"/>
                    </w:rPr>
                    <w:t>NH</w:t>
                  </w:r>
                  <w:r>
                    <w:rPr>
                      <w:b w:val="0"/>
                      <w:bCs w:val="0"/>
                      <w:u w:val="none"/>
                      <w:vertAlign w:val="subscript"/>
                    </w:rPr>
                    <w:t>3</w:t>
                  </w:r>
                  <w:r>
                    <w:rPr>
                      <w:b w:val="0"/>
                      <w:bCs w:val="0"/>
                      <w:u w:val="none"/>
                    </w:rPr>
                    <w:t>-N</w:t>
                  </w:r>
                  <w:r>
                    <w:rPr>
                      <w:rFonts w:hint="eastAsia"/>
                      <w:b w:val="0"/>
                      <w:bCs w:val="0"/>
                      <w:u w:val="none"/>
                    </w:rPr>
                    <w:t>、</w:t>
                  </w:r>
                  <w:r>
                    <w:rPr>
                      <w:rFonts w:hint="eastAsia"/>
                      <w:b w:val="0"/>
                      <w:bCs w:val="0"/>
                      <w:szCs w:val="21"/>
                      <w:u w:val="none"/>
                    </w:rPr>
                    <w:t>TN、TP</w:t>
                  </w:r>
                  <w:r>
                    <w:rPr>
                      <w:rFonts w:hint="eastAsia"/>
                      <w:b w:val="0"/>
                      <w:bCs w:val="0"/>
                      <w:szCs w:val="21"/>
                      <w:u w:val="none"/>
                      <w:lang w:eastAsia="zh-CN"/>
                    </w:rPr>
                    <w:t>、</w:t>
                  </w:r>
                  <w:r>
                    <w:rPr>
                      <w:rFonts w:hint="eastAsia"/>
                      <w:b w:val="0"/>
                      <w:bCs w:val="0"/>
                      <w:szCs w:val="21"/>
                      <w:u w:val="none"/>
                      <w:lang w:val="en-US" w:eastAsia="zh-CN"/>
                    </w:rPr>
                    <w:t>色度、动植物油、大肠菌群数</w:t>
                  </w:r>
                  <w:r>
                    <w:rPr>
                      <w:rFonts w:hAnsi="Times New Roman"/>
                    </w:rPr>
                    <w:t xml:space="preserve"> </w:t>
                  </w:r>
                </w:p>
              </w:tc>
              <w:tc>
                <w:tcPr>
                  <w:tcW w:w="426" w:type="pct"/>
                  <w:vAlign w:val="center"/>
                </w:tcPr>
                <w:p w14:paraId="316BEBC0">
                  <w:pPr>
                    <w:pStyle w:val="104"/>
                    <w:rPr>
                      <w:rFonts w:hAnsi="Times New Roman"/>
                    </w:rPr>
                  </w:pPr>
                  <w:r>
                    <w:rPr>
                      <w:rFonts w:hint="default" w:hAnsi="Times New Roman"/>
                    </w:rPr>
                    <w:t>汤阴固现污水处理有限公司</w:t>
                  </w:r>
                </w:p>
              </w:tc>
              <w:tc>
                <w:tcPr>
                  <w:tcW w:w="348" w:type="pct"/>
                  <w:vAlign w:val="center"/>
                </w:tcPr>
                <w:p w14:paraId="5B20A1A6">
                  <w:pPr>
                    <w:pStyle w:val="104"/>
                    <w:rPr>
                      <w:rFonts w:hAnsi="Times New Roman"/>
                    </w:rPr>
                  </w:pPr>
                  <w:r>
                    <w:rPr>
                      <w:rFonts w:hAnsi="Times New Roman"/>
                    </w:rPr>
                    <w:t>间接排放</w:t>
                  </w:r>
                </w:p>
              </w:tc>
              <w:tc>
                <w:tcPr>
                  <w:tcW w:w="468" w:type="pct"/>
                  <w:vAlign w:val="center"/>
                </w:tcPr>
                <w:p w14:paraId="202B1CCE">
                  <w:pPr>
                    <w:pStyle w:val="104"/>
                    <w:rPr>
                      <w:rFonts w:hAnsi="Times New Roman"/>
                    </w:rPr>
                  </w:pPr>
                  <w:r>
                    <w:rPr>
                      <w:rFonts w:hAnsi="Times New Roman"/>
                    </w:rPr>
                    <w:t>TW00</w:t>
                  </w:r>
                  <w:r>
                    <w:rPr>
                      <w:rFonts w:hint="eastAsia" w:hAnsi="Times New Roman"/>
                    </w:rPr>
                    <w:t>1</w:t>
                  </w:r>
                </w:p>
              </w:tc>
              <w:tc>
                <w:tcPr>
                  <w:tcW w:w="499" w:type="pct"/>
                  <w:vAlign w:val="center"/>
                </w:tcPr>
                <w:p w14:paraId="6E4DBBA9">
                  <w:pPr>
                    <w:pStyle w:val="104"/>
                    <w:rPr>
                      <w:rFonts w:hAnsi="Times New Roman"/>
                    </w:rPr>
                  </w:pPr>
                  <w:r>
                    <w:rPr>
                      <w:rFonts w:hint="eastAsia" w:hAnsi="Times New Roman"/>
                      <w:lang w:val="en-US" w:eastAsia="zh-CN"/>
                    </w:rPr>
                    <w:t>物理法+厌氧/好氧组合法+化学法</w:t>
                  </w:r>
                </w:p>
              </w:tc>
              <w:tc>
                <w:tcPr>
                  <w:tcW w:w="549" w:type="pct"/>
                  <w:vAlign w:val="center"/>
                </w:tcPr>
                <w:p w14:paraId="27124C9C">
                  <w:pPr>
                    <w:pStyle w:val="104"/>
                    <w:rPr>
                      <w:rFonts w:hAnsi="Times New Roman"/>
                    </w:rPr>
                  </w:pPr>
                  <w:r>
                    <w:rPr>
                      <w:rFonts w:hint="eastAsia" w:hAnsi="Times New Roman"/>
                      <w:lang w:val="en-US" w:eastAsia="zh-CN"/>
                    </w:rPr>
                    <w:t>物理法+厌氧/好氧组合法+化学法</w:t>
                  </w:r>
                </w:p>
              </w:tc>
              <w:tc>
                <w:tcPr>
                  <w:tcW w:w="390" w:type="pct"/>
                  <w:vAlign w:val="center"/>
                </w:tcPr>
                <w:p w14:paraId="5D3FCC45">
                  <w:pPr>
                    <w:pStyle w:val="104"/>
                    <w:rPr>
                      <w:rFonts w:hAnsi="Times New Roman"/>
                    </w:rPr>
                  </w:pPr>
                  <w:r>
                    <w:rPr>
                      <w:rFonts w:hAnsi="Times New Roman"/>
                    </w:rPr>
                    <w:t>DW00</w:t>
                  </w:r>
                  <w:r>
                    <w:rPr>
                      <w:rFonts w:hint="eastAsia" w:hAnsi="Times New Roman"/>
                    </w:rPr>
                    <w:t>1</w:t>
                  </w:r>
                </w:p>
              </w:tc>
              <w:tc>
                <w:tcPr>
                  <w:tcW w:w="485" w:type="pct"/>
                  <w:vAlign w:val="center"/>
                </w:tcPr>
                <w:p w14:paraId="1841F4DC">
                  <w:pPr>
                    <w:pStyle w:val="104"/>
                    <w:rPr>
                      <w:rFonts w:hAnsi="Times New Roman"/>
                    </w:rPr>
                  </w:pPr>
                  <w:r>
                    <w:rPr>
                      <w:rFonts w:ascii="Segoe UI Symbol" w:hAnsi="Segoe UI Symbol" w:cs="Segoe UI Symbol"/>
                    </w:rPr>
                    <w:t>☑</w:t>
                  </w:r>
                  <w:r>
                    <w:rPr>
                      <w:rFonts w:hAnsi="Times New Roman"/>
                    </w:rPr>
                    <w:t>是</w:t>
                  </w:r>
                </w:p>
                <w:p w14:paraId="183C4D2D">
                  <w:pPr>
                    <w:pStyle w:val="104"/>
                    <w:rPr>
                      <w:rFonts w:hAnsi="Times New Roman"/>
                    </w:rPr>
                  </w:pPr>
                  <w:r>
                    <w:rPr>
                      <w:rFonts w:hAnsi="Times New Roman"/>
                    </w:rPr>
                    <w:t>□否</w:t>
                  </w:r>
                </w:p>
              </w:tc>
              <w:tc>
                <w:tcPr>
                  <w:tcW w:w="955" w:type="pct"/>
                  <w:vAlign w:val="center"/>
                </w:tcPr>
                <w:p w14:paraId="58EE952D">
                  <w:pPr>
                    <w:pStyle w:val="104"/>
                    <w:jc w:val="left"/>
                    <w:rPr>
                      <w:rFonts w:hAnsi="Times New Roman"/>
                    </w:rPr>
                  </w:pPr>
                  <w:r>
                    <w:rPr>
                      <w:rFonts w:ascii="Segoe UI Symbol" w:hAnsi="Segoe UI Symbol" w:cs="Segoe UI Symbol"/>
                    </w:rPr>
                    <w:t>☑</w:t>
                  </w:r>
                  <w:r>
                    <w:rPr>
                      <w:rFonts w:hAnsi="Times New Roman"/>
                    </w:rPr>
                    <w:t>企业排口</w:t>
                  </w:r>
                </w:p>
                <w:p w14:paraId="50D8C571">
                  <w:pPr>
                    <w:pStyle w:val="104"/>
                    <w:jc w:val="left"/>
                    <w:rPr>
                      <w:rFonts w:hAnsi="Times New Roman"/>
                    </w:rPr>
                  </w:pPr>
                  <w:r>
                    <w:rPr>
                      <w:rFonts w:hAnsi="Times New Roman"/>
                    </w:rPr>
                    <w:t>□雨水排放</w:t>
                  </w:r>
                </w:p>
                <w:p w14:paraId="0C8C1930">
                  <w:pPr>
                    <w:pStyle w:val="104"/>
                    <w:jc w:val="left"/>
                    <w:rPr>
                      <w:rFonts w:hAnsi="Times New Roman"/>
                    </w:rPr>
                  </w:pPr>
                  <w:r>
                    <w:rPr>
                      <w:rFonts w:hAnsi="Times New Roman"/>
                    </w:rPr>
                    <w:t>□清净下水排放</w:t>
                  </w:r>
                </w:p>
                <w:p w14:paraId="7D0C450A">
                  <w:pPr>
                    <w:pStyle w:val="104"/>
                    <w:jc w:val="left"/>
                    <w:rPr>
                      <w:rFonts w:hAnsi="Times New Roman"/>
                    </w:rPr>
                  </w:pPr>
                  <w:r>
                    <w:rPr>
                      <w:rFonts w:hAnsi="Times New Roman"/>
                    </w:rPr>
                    <w:t>□温排水排放</w:t>
                  </w:r>
                </w:p>
                <w:p w14:paraId="3D726B58">
                  <w:pPr>
                    <w:pStyle w:val="104"/>
                    <w:jc w:val="left"/>
                    <w:rPr>
                      <w:rFonts w:hAnsi="Times New Roman"/>
                    </w:rPr>
                  </w:pPr>
                  <w:r>
                    <w:rPr>
                      <w:rFonts w:hAnsi="Times New Roman"/>
                    </w:rPr>
                    <w:t>□车间或车间处理设施排放口</w:t>
                  </w:r>
                </w:p>
              </w:tc>
            </w:tr>
            <w:tr w14:paraId="0427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353" w:type="pct"/>
                  <w:vAlign w:val="center"/>
                </w:tcPr>
                <w:p w14:paraId="303AF1DF">
                  <w:pPr>
                    <w:pStyle w:val="104"/>
                    <w:rPr>
                      <w:rFonts w:hAnsi="Times New Roman"/>
                    </w:rPr>
                  </w:pPr>
                  <w:r>
                    <w:rPr>
                      <w:rFonts w:hAnsi="Times New Roman"/>
                    </w:rPr>
                    <w:t>生活污水</w:t>
                  </w:r>
                </w:p>
              </w:tc>
              <w:tc>
                <w:tcPr>
                  <w:tcW w:w="521" w:type="pct"/>
                  <w:vMerge w:val="continue"/>
                  <w:vAlign w:val="center"/>
                </w:tcPr>
                <w:p w14:paraId="22243408">
                  <w:pPr>
                    <w:pStyle w:val="104"/>
                    <w:rPr>
                      <w:rFonts w:hAnsi="Times New Roman"/>
                    </w:rPr>
                  </w:pPr>
                </w:p>
              </w:tc>
              <w:tc>
                <w:tcPr>
                  <w:tcW w:w="426" w:type="pct"/>
                  <w:vAlign w:val="center"/>
                </w:tcPr>
                <w:p w14:paraId="1297514F">
                  <w:pPr>
                    <w:pStyle w:val="104"/>
                    <w:rPr>
                      <w:rFonts w:hAnsi="Times New Roman"/>
                    </w:rPr>
                  </w:pPr>
                  <w:r>
                    <w:rPr>
                      <w:rFonts w:hint="default" w:hAnsi="Times New Roman"/>
                    </w:rPr>
                    <w:t>汤阴固现污水处理有限公司</w:t>
                  </w:r>
                </w:p>
              </w:tc>
              <w:tc>
                <w:tcPr>
                  <w:tcW w:w="348" w:type="pct"/>
                  <w:vAlign w:val="center"/>
                </w:tcPr>
                <w:p w14:paraId="7DBD0EFA">
                  <w:pPr>
                    <w:pStyle w:val="104"/>
                    <w:rPr>
                      <w:rFonts w:hAnsi="Times New Roman"/>
                    </w:rPr>
                  </w:pPr>
                  <w:r>
                    <w:rPr>
                      <w:rFonts w:hAnsi="Times New Roman"/>
                    </w:rPr>
                    <w:t>间接排放</w:t>
                  </w:r>
                </w:p>
              </w:tc>
              <w:tc>
                <w:tcPr>
                  <w:tcW w:w="468" w:type="pct"/>
                  <w:vAlign w:val="center"/>
                </w:tcPr>
                <w:p w14:paraId="47BF304F">
                  <w:pPr>
                    <w:pStyle w:val="104"/>
                    <w:rPr>
                      <w:rFonts w:hAnsi="Times New Roman"/>
                    </w:rPr>
                  </w:pPr>
                  <w:r>
                    <w:rPr>
                      <w:rFonts w:hAnsi="Times New Roman"/>
                    </w:rPr>
                    <w:t>TW002</w:t>
                  </w:r>
                </w:p>
              </w:tc>
              <w:tc>
                <w:tcPr>
                  <w:tcW w:w="499" w:type="pct"/>
                  <w:vAlign w:val="center"/>
                </w:tcPr>
                <w:p w14:paraId="790DACF6">
                  <w:pPr>
                    <w:pStyle w:val="104"/>
                    <w:rPr>
                      <w:rFonts w:hAnsi="Times New Roman"/>
                    </w:rPr>
                  </w:pPr>
                  <w:r>
                    <w:rPr>
                      <w:rFonts w:hint="eastAsia" w:hAnsi="Times New Roman"/>
                      <w:lang w:val="en-US" w:eastAsia="zh-CN"/>
                    </w:rPr>
                    <w:t>5</w:t>
                  </w:r>
                  <w:r>
                    <w:rPr>
                      <w:rFonts w:hAnsi="Times New Roman"/>
                    </w:rPr>
                    <w:t>m</w:t>
                  </w:r>
                  <w:r>
                    <w:rPr>
                      <w:rFonts w:hAnsi="Times New Roman"/>
                      <w:vertAlign w:val="superscript"/>
                    </w:rPr>
                    <w:t>3</w:t>
                  </w:r>
                  <w:r>
                    <w:rPr>
                      <w:rFonts w:hAnsi="Times New Roman"/>
                    </w:rPr>
                    <w:t>化粪池</w:t>
                  </w:r>
                </w:p>
              </w:tc>
              <w:tc>
                <w:tcPr>
                  <w:tcW w:w="549" w:type="pct"/>
                  <w:vAlign w:val="center"/>
                </w:tcPr>
                <w:p w14:paraId="6F50A7BD">
                  <w:pPr>
                    <w:pStyle w:val="104"/>
                    <w:rPr>
                      <w:rFonts w:hAnsi="Times New Roman"/>
                    </w:rPr>
                  </w:pPr>
                  <w:r>
                    <w:rPr>
                      <w:rFonts w:hint="eastAsia" w:hAnsi="Times New Roman"/>
                    </w:rPr>
                    <w:t>化粪池沉淀</w:t>
                  </w:r>
                </w:p>
              </w:tc>
              <w:tc>
                <w:tcPr>
                  <w:tcW w:w="390" w:type="pct"/>
                  <w:vAlign w:val="center"/>
                </w:tcPr>
                <w:p w14:paraId="789963FC">
                  <w:pPr>
                    <w:pStyle w:val="104"/>
                    <w:rPr>
                      <w:rFonts w:hAnsi="Times New Roman"/>
                    </w:rPr>
                  </w:pPr>
                  <w:r>
                    <w:rPr>
                      <w:rFonts w:hAnsi="Times New Roman"/>
                    </w:rPr>
                    <w:t>DW00</w:t>
                  </w:r>
                  <w:r>
                    <w:rPr>
                      <w:rFonts w:hint="eastAsia" w:hAnsi="Times New Roman"/>
                    </w:rPr>
                    <w:t>1</w:t>
                  </w:r>
                </w:p>
              </w:tc>
              <w:tc>
                <w:tcPr>
                  <w:tcW w:w="485" w:type="pct"/>
                  <w:vAlign w:val="center"/>
                </w:tcPr>
                <w:p w14:paraId="2EB2638D">
                  <w:pPr>
                    <w:pStyle w:val="104"/>
                    <w:rPr>
                      <w:rFonts w:hAnsi="Times New Roman"/>
                    </w:rPr>
                  </w:pPr>
                  <w:r>
                    <w:rPr>
                      <w:rFonts w:ascii="Segoe UI Symbol" w:hAnsi="Segoe UI Symbol" w:cs="Segoe UI Symbol"/>
                    </w:rPr>
                    <w:t>☑</w:t>
                  </w:r>
                  <w:r>
                    <w:rPr>
                      <w:rFonts w:hAnsi="Times New Roman"/>
                    </w:rPr>
                    <w:t>是</w:t>
                  </w:r>
                </w:p>
                <w:p w14:paraId="641FC838">
                  <w:pPr>
                    <w:pStyle w:val="104"/>
                    <w:rPr>
                      <w:rFonts w:hAnsi="Times New Roman"/>
                    </w:rPr>
                  </w:pPr>
                  <w:r>
                    <w:rPr>
                      <w:rFonts w:hAnsi="Times New Roman"/>
                    </w:rPr>
                    <w:t>□否</w:t>
                  </w:r>
                </w:p>
              </w:tc>
              <w:tc>
                <w:tcPr>
                  <w:tcW w:w="955" w:type="pct"/>
                  <w:vAlign w:val="center"/>
                </w:tcPr>
                <w:p w14:paraId="5166B1C2">
                  <w:pPr>
                    <w:pStyle w:val="104"/>
                    <w:jc w:val="left"/>
                    <w:rPr>
                      <w:rFonts w:hAnsi="Times New Roman"/>
                    </w:rPr>
                  </w:pPr>
                  <w:r>
                    <w:rPr>
                      <w:rFonts w:ascii="Segoe UI Symbol" w:hAnsi="Segoe UI Symbol" w:cs="Segoe UI Symbol"/>
                    </w:rPr>
                    <w:t>☑</w:t>
                  </w:r>
                  <w:r>
                    <w:rPr>
                      <w:rFonts w:hAnsi="Times New Roman"/>
                    </w:rPr>
                    <w:t>企业排口</w:t>
                  </w:r>
                </w:p>
                <w:p w14:paraId="27433A05">
                  <w:pPr>
                    <w:pStyle w:val="104"/>
                    <w:jc w:val="left"/>
                    <w:rPr>
                      <w:rFonts w:hAnsi="Times New Roman"/>
                    </w:rPr>
                  </w:pPr>
                  <w:r>
                    <w:rPr>
                      <w:rFonts w:hAnsi="Times New Roman"/>
                    </w:rPr>
                    <w:t>□雨水排放</w:t>
                  </w:r>
                </w:p>
                <w:p w14:paraId="4B7C8FF5">
                  <w:pPr>
                    <w:pStyle w:val="104"/>
                    <w:jc w:val="left"/>
                    <w:rPr>
                      <w:rFonts w:hAnsi="Times New Roman"/>
                    </w:rPr>
                  </w:pPr>
                  <w:r>
                    <w:rPr>
                      <w:rFonts w:hAnsi="Times New Roman"/>
                    </w:rPr>
                    <w:t>□清净下水排放</w:t>
                  </w:r>
                </w:p>
                <w:p w14:paraId="0400332C">
                  <w:pPr>
                    <w:pStyle w:val="104"/>
                    <w:jc w:val="left"/>
                    <w:rPr>
                      <w:rFonts w:hAnsi="Times New Roman"/>
                    </w:rPr>
                  </w:pPr>
                  <w:r>
                    <w:rPr>
                      <w:rFonts w:hAnsi="Times New Roman"/>
                    </w:rPr>
                    <w:t>□温排水排放</w:t>
                  </w:r>
                </w:p>
                <w:p w14:paraId="271CBDD4">
                  <w:pPr>
                    <w:pStyle w:val="104"/>
                    <w:jc w:val="left"/>
                    <w:rPr>
                      <w:rFonts w:hAnsi="Times New Roman"/>
                    </w:rPr>
                  </w:pPr>
                  <w:r>
                    <w:rPr>
                      <w:rFonts w:hAnsi="Times New Roman"/>
                    </w:rPr>
                    <w:t>□车间或车间处理设施排放口</w:t>
                  </w:r>
                </w:p>
              </w:tc>
            </w:tr>
          </w:tbl>
          <w:p w14:paraId="5212D999">
            <w:pPr>
              <w:pStyle w:val="261"/>
              <w:ind w:firstLine="240"/>
            </w:pPr>
            <w:r>
              <w:t>2.4</w:t>
            </w:r>
            <w:r>
              <w:rPr>
                <w:rFonts w:hint="eastAsia"/>
              </w:rPr>
              <w:t>监测计划</w:t>
            </w:r>
          </w:p>
          <w:p w14:paraId="36C79C9E">
            <w:pPr>
              <w:spacing w:line="360" w:lineRule="auto"/>
              <w:ind w:firstLine="480" w:firstLineChars="200"/>
              <w:rPr>
                <w:sz w:val="24"/>
              </w:rPr>
            </w:pPr>
            <w:r>
              <w:rPr>
                <w:sz w:val="24"/>
              </w:rPr>
              <w:t>本项目的国民经济行业类别为</w:t>
            </w:r>
            <w:r>
              <w:rPr>
                <w:rFonts w:hint="eastAsia"/>
                <w:sz w:val="24"/>
                <w:lang w:val="en-US" w:eastAsia="zh-CN"/>
              </w:rPr>
              <w:t>C146调味品、发酵制品制造</w:t>
            </w:r>
            <w:r>
              <w:rPr>
                <w:sz w:val="24"/>
              </w:rPr>
              <w:t>，根据《固定污染源排污许可分类管理名录》（2019年版）规定，企业属于</w:t>
            </w:r>
            <w:r>
              <w:rPr>
                <w:rFonts w:hint="eastAsia"/>
                <w:sz w:val="24"/>
                <w:lang w:val="en-US" w:eastAsia="zh-CN"/>
              </w:rPr>
              <w:t>简化</w:t>
            </w:r>
            <w:r>
              <w:rPr>
                <w:sz w:val="24"/>
              </w:rPr>
              <w:t>管理，需开展自行监测</w:t>
            </w:r>
            <w:r>
              <w:rPr>
                <w:rFonts w:hint="eastAsia"/>
                <w:sz w:val="24"/>
              </w:rPr>
              <w:t>。营运期自行监测建议如下：</w:t>
            </w:r>
          </w:p>
          <w:p w14:paraId="089D136B">
            <w:pPr>
              <w:pStyle w:val="144"/>
              <w:spacing w:before="120" w:after="120"/>
            </w:pPr>
            <w:r>
              <w:t>根据《排污单位自行监测技术指南</w:t>
            </w:r>
            <w:r>
              <w:rPr>
                <w:rFonts w:hint="eastAsia"/>
              </w:rPr>
              <w:t xml:space="preserve"> </w:t>
            </w:r>
            <w:r>
              <w:t>总则》（HJ819-2017）</w:t>
            </w:r>
            <w:r>
              <w:rPr>
                <w:rFonts w:hint="eastAsia"/>
                <w:lang w:val="en-US" w:eastAsia="zh-CN"/>
              </w:rPr>
              <w:t>及</w:t>
            </w:r>
            <w:r>
              <w:rPr>
                <w:rFonts w:hint="eastAsia"/>
              </w:rPr>
              <w:t>《排污单位自行监测技术指南 食品制造》（HJ 1084—2020），</w:t>
            </w:r>
            <w:r>
              <w:t>厂区废水总排口</w:t>
            </w:r>
            <w:r>
              <w:rPr>
                <w:rFonts w:hint="eastAsia"/>
              </w:rPr>
              <w:t>DW</w:t>
            </w:r>
            <w:r>
              <w:t>001</w:t>
            </w:r>
            <w:r>
              <w:rPr>
                <w:rFonts w:hint="eastAsia"/>
              </w:rPr>
              <w:t>检测</w:t>
            </w:r>
            <w:r>
              <w:t>方案如下：</w:t>
            </w:r>
          </w:p>
          <w:p w14:paraId="1AD66137">
            <w:pPr>
              <w:pStyle w:val="56"/>
              <w:numPr>
                <w:ilvl w:val="0"/>
                <w:numId w:val="0"/>
              </w:numPr>
              <w:spacing w:before="120"/>
              <w:ind w:left="3150" w:leftChars="0"/>
              <w:jc w:val="both"/>
              <w:rPr>
                <w:rFonts w:ascii="Times New Roman" w:hAnsi="Times New Roman"/>
              </w:rPr>
            </w:pPr>
            <w:r>
              <w:rPr>
                <w:rFonts w:hint="eastAsia"/>
                <w:lang w:val="en-US" w:eastAsia="zh-CN"/>
              </w:rPr>
              <w:t>表33</w:t>
            </w:r>
            <w:r>
              <w:t>本项目废水排放口监测方案</w:t>
            </w:r>
          </w:p>
          <w:tbl>
            <w:tblPr>
              <w:tblStyle w:val="47"/>
              <w:tblW w:w="8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984"/>
              <w:gridCol w:w="1134"/>
              <w:gridCol w:w="4049"/>
            </w:tblGrid>
            <w:tr w14:paraId="7FF5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2" w:type="dxa"/>
                  <w:vAlign w:val="center"/>
                </w:tcPr>
                <w:p w14:paraId="618ECCBF">
                  <w:pPr>
                    <w:pStyle w:val="257"/>
                  </w:pPr>
                  <w:r>
                    <w:t>监测点位</w:t>
                  </w:r>
                </w:p>
              </w:tc>
              <w:tc>
                <w:tcPr>
                  <w:tcW w:w="1984" w:type="dxa"/>
                  <w:vAlign w:val="center"/>
                </w:tcPr>
                <w:p w14:paraId="64A7069B">
                  <w:pPr>
                    <w:pStyle w:val="257"/>
                  </w:pPr>
                  <w:r>
                    <w:t>监测指标</w:t>
                  </w:r>
                </w:p>
              </w:tc>
              <w:tc>
                <w:tcPr>
                  <w:tcW w:w="1134" w:type="dxa"/>
                  <w:vAlign w:val="center"/>
                </w:tcPr>
                <w:p w14:paraId="565B5B09">
                  <w:pPr>
                    <w:pStyle w:val="257"/>
                  </w:pPr>
                  <w:r>
                    <w:t>监测频次</w:t>
                  </w:r>
                </w:p>
              </w:tc>
              <w:tc>
                <w:tcPr>
                  <w:tcW w:w="4049" w:type="dxa"/>
                  <w:vAlign w:val="center"/>
                </w:tcPr>
                <w:p w14:paraId="36881754">
                  <w:pPr>
                    <w:pStyle w:val="257"/>
                  </w:pPr>
                  <w:r>
                    <w:t>执行排放标准</w:t>
                  </w:r>
                </w:p>
              </w:tc>
            </w:tr>
            <w:tr w14:paraId="1E7E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2" w:type="dxa"/>
                  <w:vAlign w:val="center"/>
                </w:tcPr>
                <w:p w14:paraId="3C7BFD47">
                  <w:pPr>
                    <w:pStyle w:val="257"/>
                  </w:pPr>
                  <w:r>
                    <w:t>厂区总排口</w:t>
                  </w:r>
                </w:p>
              </w:tc>
              <w:tc>
                <w:tcPr>
                  <w:tcW w:w="1984" w:type="dxa"/>
                  <w:vAlign w:val="center"/>
                </w:tcPr>
                <w:p w14:paraId="63E9A124">
                  <w:pPr>
                    <w:jc w:val="center"/>
                    <w:rPr>
                      <w:rFonts w:hint="default" w:eastAsia="宋体"/>
                      <w:szCs w:val="21"/>
                      <w:lang w:val="en-US" w:eastAsia="zh-CN"/>
                    </w:rPr>
                  </w:pPr>
                  <w:r>
                    <w:rPr>
                      <w:rFonts w:hint="eastAsia"/>
                      <w:b w:val="0"/>
                      <w:bCs w:val="0"/>
                      <w:szCs w:val="21"/>
                      <w:u w:val="none"/>
                      <w:lang w:val="en-US" w:eastAsia="zh-CN"/>
                    </w:rPr>
                    <w:t>流量、</w:t>
                  </w:r>
                  <w:r>
                    <w:rPr>
                      <w:b w:val="0"/>
                      <w:bCs w:val="0"/>
                      <w:szCs w:val="21"/>
                      <w:u w:val="none"/>
                    </w:rPr>
                    <w:t>pH</w:t>
                  </w:r>
                  <w:r>
                    <w:rPr>
                      <w:rFonts w:hint="eastAsia"/>
                      <w:b w:val="0"/>
                      <w:bCs w:val="0"/>
                      <w:szCs w:val="21"/>
                      <w:u w:val="none"/>
                    </w:rPr>
                    <w:t>、</w:t>
                  </w:r>
                  <w:r>
                    <w:rPr>
                      <w:b w:val="0"/>
                      <w:bCs w:val="0"/>
                      <w:szCs w:val="21"/>
                      <w:u w:val="none"/>
                    </w:rPr>
                    <w:t>COD</w:t>
                  </w:r>
                  <w:r>
                    <w:rPr>
                      <w:rFonts w:hint="eastAsia"/>
                      <w:b w:val="0"/>
                      <w:bCs w:val="0"/>
                      <w:szCs w:val="21"/>
                      <w:u w:val="none"/>
                    </w:rPr>
                    <w:t>、</w:t>
                  </w:r>
                  <w:r>
                    <w:rPr>
                      <w:b w:val="0"/>
                      <w:bCs w:val="0"/>
                      <w:szCs w:val="21"/>
                      <w:u w:val="none"/>
                    </w:rPr>
                    <w:t>BOD</w:t>
                  </w:r>
                  <w:r>
                    <w:rPr>
                      <w:b w:val="0"/>
                      <w:bCs w:val="0"/>
                      <w:szCs w:val="21"/>
                      <w:u w:val="none"/>
                      <w:vertAlign w:val="subscript"/>
                    </w:rPr>
                    <w:t>5</w:t>
                  </w:r>
                  <w:r>
                    <w:rPr>
                      <w:rFonts w:hint="eastAsia"/>
                      <w:b w:val="0"/>
                      <w:bCs w:val="0"/>
                      <w:szCs w:val="21"/>
                      <w:u w:val="none"/>
                    </w:rPr>
                    <w:t>、</w:t>
                  </w:r>
                  <w:r>
                    <w:rPr>
                      <w:b w:val="0"/>
                      <w:bCs w:val="0"/>
                      <w:szCs w:val="21"/>
                      <w:u w:val="none"/>
                    </w:rPr>
                    <w:t>SS</w:t>
                  </w:r>
                  <w:r>
                    <w:rPr>
                      <w:rFonts w:hint="eastAsia"/>
                      <w:b w:val="0"/>
                      <w:bCs w:val="0"/>
                      <w:szCs w:val="21"/>
                      <w:u w:val="none"/>
                    </w:rPr>
                    <w:t>、</w:t>
                  </w:r>
                  <w:r>
                    <w:rPr>
                      <w:b w:val="0"/>
                      <w:bCs w:val="0"/>
                      <w:u w:val="none"/>
                    </w:rPr>
                    <w:t>NH</w:t>
                  </w:r>
                  <w:r>
                    <w:rPr>
                      <w:b w:val="0"/>
                      <w:bCs w:val="0"/>
                      <w:u w:val="none"/>
                      <w:vertAlign w:val="subscript"/>
                    </w:rPr>
                    <w:t>3</w:t>
                  </w:r>
                  <w:r>
                    <w:rPr>
                      <w:b w:val="0"/>
                      <w:bCs w:val="0"/>
                      <w:u w:val="none"/>
                    </w:rPr>
                    <w:t>-N</w:t>
                  </w:r>
                  <w:r>
                    <w:rPr>
                      <w:rFonts w:hint="eastAsia"/>
                      <w:b w:val="0"/>
                      <w:bCs w:val="0"/>
                      <w:u w:val="none"/>
                    </w:rPr>
                    <w:t>、</w:t>
                  </w:r>
                  <w:r>
                    <w:rPr>
                      <w:rFonts w:hint="eastAsia"/>
                      <w:b w:val="0"/>
                      <w:bCs w:val="0"/>
                      <w:szCs w:val="21"/>
                      <w:u w:val="none"/>
                    </w:rPr>
                    <w:t>TN、TP</w:t>
                  </w:r>
                  <w:r>
                    <w:rPr>
                      <w:rFonts w:hint="eastAsia"/>
                      <w:b w:val="0"/>
                      <w:bCs w:val="0"/>
                      <w:szCs w:val="21"/>
                      <w:u w:val="none"/>
                      <w:lang w:eastAsia="zh-CN"/>
                    </w:rPr>
                    <w:t>、</w:t>
                  </w:r>
                  <w:r>
                    <w:rPr>
                      <w:rFonts w:hint="eastAsia"/>
                      <w:b w:val="0"/>
                      <w:bCs w:val="0"/>
                      <w:szCs w:val="21"/>
                      <w:u w:val="none"/>
                      <w:lang w:val="en-US" w:eastAsia="zh-CN"/>
                    </w:rPr>
                    <w:t>色度、动植物油、大肠菌群数</w:t>
                  </w:r>
                </w:p>
              </w:tc>
              <w:tc>
                <w:tcPr>
                  <w:tcW w:w="1134" w:type="dxa"/>
                  <w:vAlign w:val="center"/>
                </w:tcPr>
                <w:p w14:paraId="0AF15AC7">
                  <w:pPr>
                    <w:jc w:val="center"/>
                    <w:rPr>
                      <w:szCs w:val="21"/>
                    </w:rPr>
                  </w:pPr>
                  <w:r>
                    <w:rPr>
                      <w:szCs w:val="21"/>
                    </w:rPr>
                    <w:t>1次/</w:t>
                  </w:r>
                  <w:r>
                    <w:rPr>
                      <w:rFonts w:hint="eastAsia"/>
                      <w:szCs w:val="21"/>
                    </w:rPr>
                    <w:t>半年</w:t>
                  </w:r>
                </w:p>
              </w:tc>
              <w:tc>
                <w:tcPr>
                  <w:tcW w:w="4049" w:type="dxa"/>
                  <w:vAlign w:val="center"/>
                </w:tcPr>
                <w:p w14:paraId="5706FBE4">
                  <w:pPr>
                    <w:pStyle w:val="257"/>
                  </w:pPr>
                  <w:r>
                    <w:rPr>
                      <w:rFonts w:hint="eastAsia"/>
                      <w:szCs w:val="28"/>
                    </w:rPr>
                    <w:t>《</w:t>
                  </w:r>
                  <w:r>
                    <w:rPr>
                      <w:rFonts w:hint="eastAsia"/>
                      <w:szCs w:val="28"/>
                      <w:lang w:val="en-US" w:eastAsia="zh-CN"/>
                    </w:rPr>
                    <w:t>食品加工制造业水污染物排放标准</w:t>
                  </w:r>
                  <w:r>
                    <w:rPr>
                      <w:rFonts w:hint="eastAsia"/>
                      <w:szCs w:val="28"/>
                    </w:rPr>
                    <w:t>》（</w:t>
                  </w:r>
                  <w:r>
                    <w:rPr>
                      <w:rFonts w:hint="eastAsia"/>
                      <w:szCs w:val="28"/>
                      <w:lang w:val="en-US" w:eastAsia="zh-CN"/>
                    </w:rPr>
                    <w:t>GB 46817—2025</w:t>
                  </w:r>
                  <w:r>
                    <w:rPr>
                      <w:rFonts w:hint="eastAsia"/>
                      <w:szCs w:val="28"/>
                    </w:rPr>
                    <w:t>）表</w:t>
                  </w:r>
                  <w:r>
                    <w:rPr>
                      <w:rFonts w:hint="eastAsia"/>
                      <w:szCs w:val="28"/>
                      <w:lang w:val="en-US" w:eastAsia="zh-CN"/>
                    </w:rPr>
                    <w:t>1间接排放</w:t>
                  </w:r>
                  <w:r>
                    <w:rPr>
                      <w:rFonts w:hint="eastAsia"/>
                      <w:szCs w:val="28"/>
                    </w:rPr>
                    <w:t>标准</w:t>
                  </w:r>
                  <w:r>
                    <w:rPr>
                      <w:bCs/>
                    </w:rPr>
                    <w:t>及</w:t>
                  </w:r>
                  <w:r>
                    <w:rPr>
                      <w:rFonts w:hint="eastAsia"/>
                      <w:bCs/>
                      <w:kern w:val="44"/>
                      <w:lang w:eastAsia="zh-CN"/>
                    </w:rPr>
                    <w:t>汤阴固现污水处理有限公司</w:t>
                  </w:r>
                  <w:r>
                    <w:rPr>
                      <w:bCs/>
                    </w:rPr>
                    <w:t>收水水质</w:t>
                  </w:r>
                </w:p>
              </w:tc>
            </w:tr>
          </w:tbl>
          <w:p w14:paraId="2E2D2C70">
            <w:pPr>
              <w:pStyle w:val="98"/>
              <w:spacing w:before="120" w:after="120"/>
              <w:rPr>
                <w:rFonts w:ascii="Times New Roman" w:hAnsi="Times New Roman"/>
              </w:rPr>
            </w:pPr>
            <w:bookmarkStart w:id="40" w:name="_Toc197848441"/>
            <w:r>
              <w:rPr>
                <w:rFonts w:ascii="Times New Roman" w:hAnsi="Times New Roman"/>
              </w:rPr>
              <w:t>3、噪声</w:t>
            </w:r>
            <w:bookmarkEnd w:id="40"/>
          </w:p>
          <w:p w14:paraId="2AA5CB35">
            <w:pPr>
              <w:pStyle w:val="102"/>
              <w:spacing w:before="120" w:after="120" w:line="360" w:lineRule="auto"/>
              <w:ind w:firstLine="240"/>
            </w:pPr>
            <w:r>
              <w:t>3.1噪声源强及降噪措施</w:t>
            </w:r>
          </w:p>
          <w:p w14:paraId="7F5F4390">
            <w:pPr>
              <w:pStyle w:val="100"/>
            </w:pPr>
            <w:r>
              <w:t>本项目噪声来源主要是</w:t>
            </w:r>
            <w:r>
              <w:rPr>
                <w:rFonts w:hint="eastAsia"/>
                <w:lang w:val="en-US" w:eastAsia="zh-CN"/>
              </w:rPr>
              <w:t>蒸汽发生器</w:t>
            </w:r>
            <w:r>
              <w:rPr>
                <w:kern w:val="0"/>
                <w:szCs w:val="21"/>
              </w:rPr>
              <w:t>、</w:t>
            </w:r>
            <w:r>
              <w:rPr>
                <w:rFonts w:hint="eastAsia"/>
                <w:kern w:val="0"/>
                <w:szCs w:val="21"/>
                <w:lang w:val="en-US" w:eastAsia="zh-CN"/>
              </w:rPr>
              <w:t>煮锅、炒锅、蒸锅</w:t>
            </w:r>
            <w:r>
              <w:rPr>
                <w:rFonts w:hint="eastAsia"/>
                <w:kern w:val="0"/>
                <w:szCs w:val="21"/>
              </w:rPr>
              <w:t>、</w:t>
            </w:r>
            <w:r>
              <w:rPr>
                <w:rFonts w:hint="eastAsia"/>
                <w:kern w:val="0"/>
                <w:szCs w:val="21"/>
                <w:lang w:val="en-US" w:eastAsia="zh-CN"/>
              </w:rPr>
              <w:t>洗瓶机</w:t>
            </w:r>
            <w:r>
              <w:rPr>
                <w:rFonts w:hint="eastAsia"/>
                <w:kern w:val="0"/>
                <w:szCs w:val="21"/>
              </w:rPr>
              <w:t>等</w:t>
            </w:r>
            <w:r>
              <w:t>噪声设备</w:t>
            </w:r>
            <w:r>
              <w:rPr>
                <w:rFonts w:hint="eastAsia"/>
              </w:rPr>
              <w:t>，</w:t>
            </w:r>
            <w:r>
              <w:t>采取合理措施后</w:t>
            </w:r>
            <w:r>
              <w:rPr>
                <w:rFonts w:hint="eastAsia"/>
              </w:rPr>
              <w:t>，</w:t>
            </w:r>
            <w:r>
              <w:t>隔音效果可达20dB（A）</w:t>
            </w:r>
            <w:r>
              <w:rPr>
                <w:rFonts w:hint="eastAsia"/>
              </w:rPr>
              <w:t>左右</w:t>
            </w:r>
            <w:r>
              <w:t>。按照</w:t>
            </w:r>
            <w:r>
              <w:rPr>
                <w:rFonts w:hint="eastAsia"/>
              </w:rPr>
              <w:t>《</w:t>
            </w:r>
            <w:r>
              <w:t>环境影响评价技术导则 声环境</w:t>
            </w:r>
            <w:r>
              <w:rPr>
                <w:rFonts w:hint="eastAsia"/>
              </w:rPr>
              <w:t>》</w:t>
            </w:r>
            <w:r>
              <w:t>（HJ2.4-2021）</w:t>
            </w:r>
            <w:r>
              <w:rPr>
                <w:rFonts w:hint="eastAsia"/>
              </w:rPr>
              <w:t>，本项目</w:t>
            </w:r>
            <w:r>
              <w:t>设备噪声源分布情况及治理措施见下表：</w:t>
            </w:r>
          </w:p>
          <w:p w14:paraId="4AD428E5">
            <w:pPr>
              <w:pStyle w:val="56"/>
              <w:keepNext w:val="0"/>
              <w:keepLines w:val="0"/>
              <w:pageBreakBefore w:val="0"/>
              <w:widowControl w:val="0"/>
              <w:numPr>
                <w:ilvl w:val="0"/>
                <w:numId w:val="0"/>
              </w:numPr>
              <w:kinsoku/>
              <w:wordWrap/>
              <w:overflowPunct/>
              <w:topLinePunct w:val="0"/>
              <w:autoSpaceDE w:val="0"/>
              <w:autoSpaceDN w:val="0"/>
              <w:bidi w:val="0"/>
              <w:adjustRightInd w:val="0"/>
              <w:snapToGrid/>
              <w:spacing w:before="120"/>
              <w:ind w:left="0" w:leftChars="0"/>
              <w:textAlignment w:val="auto"/>
            </w:pPr>
            <w:r>
              <w:rPr>
                <w:rFonts w:hint="eastAsia"/>
                <w:lang w:val="en-US" w:eastAsia="zh-CN"/>
              </w:rPr>
              <w:t>表34</w:t>
            </w:r>
            <w:r>
              <w:rPr>
                <w:rFonts w:hint="eastAsia"/>
              </w:rPr>
              <w:t>工业企业噪声源强调查清单（室内声源）</w:t>
            </w:r>
          </w:p>
          <w:tbl>
            <w:tblPr>
              <w:tblStyle w:val="47"/>
              <w:tblW w:w="4965"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461"/>
              <w:gridCol w:w="511"/>
              <w:gridCol w:w="1223"/>
              <w:gridCol w:w="778"/>
              <w:gridCol w:w="784"/>
              <w:gridCol w:w="633"/>
              <w:gridCol w:w="583"/>
              <w:gridCol w:w="834"/>
              <w:gridCol w:w="636"/>
              <w:gridCol w:w="636"/>
              <w:gridCol w:w="637"/>
              <w:gridCol w:w="627"/>
            </w:tblGrid>
            <w:tr w14:paraId="440D05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76" w:type="pct"/>
                  <w:vMerge w:val="restart"/>
                  <w:vAlign w:val="center"/>
                </w:tcPr>
                <w:p w14:paraId="671F54DC">
                  <w:pPr>
                    <w:pStyle w:val="257"/>
                  </w:pPr>
                  <w:r>
                    <w:t>序号</w:t>
                  </w:r>
                </w:p>
              </w:tc>
              <w:tc>
                <w:tcPr>
                  <w:tcW w:w="306" w:type="pct"/>
                  <w:vMerge w:val="restart"/>
                  <w:vAlign w:val="center"/>
                </w:tcPr>
                <w:p w14:paraId="65CF58ED">
                  <w:pPr>
                    <w:pStyle w:val="257"/>
                  </w:pPr>
                  <w:r>
                    <w:t>建筑物名称</w:t>
                  </w:r>
                </w:p>
              </w:tc>
              <w:tc>
                <w:tcPr>
                  <w:tcW w:w="732" w:type="pct"/>
                  <w:vMerge w:val="restart"/>
                  <w:vAlign w:val="center"/>
                </w:tcPr>
                <w:p w14:paraId="189D9086">
                  <w:pPr>
                    <w:pStyle w:val="257"/>
                  </w:pPr>
                  <w:r>
                    <w:t>声源名称</w:t>
                  </w:r>
                </w:p>
              </w:tc>
              <w:tc>
                <w:tcPr>
                  <w:tcW w:w="466" w:type="pct"/>
                  <w:vAlign w:val="center"/>
                </w:tcPr>
                <w:p w14:paraId="120880CB">
                  <w:pPr>
                    <w:pStyle w:val="257"/>
                  </w:pPr>
                  <w:r>
                    <w:t>声源</w:t>
                  </w:r>
                </w:p>
                <w:p w14:paraId="23FB5AD5">
                  <w:pPr>
                    <w:pStyle w:val="257"/>
                  </w:pPr>
                  <w:r>
                    <w:t>源强</w:t>
                  </w:r>
                </w:p>
              </w:tc>
              <w:tc>
                <w:tcPr>
                  <w:tcW w:w="1197" w:type="pct"/>
                  <w:gridSpan w:val="3"/>
                  <w:vAlign w:val="center"/>
                </w:tcPr>
                <w:p w14:paraId="1E161088">
                  <w:pPr>
                    <w:pStyle w:val="257"/>
                  </w:pPr>
                  <w:r>
                    <w:t>空间相对位置/m</w:t>
                  </w:r>
                </w:p>
              </w:tc>
              <w:tc>
                <w:tcPr>
                  <w:tcW w:w="499" w:type="pct"/>
                  <w:vMerge w:val="restart"/>
                  <w:vAlign w:val="center"/>
                </w:tcPr>
                <w:p w14:paraId="1E3ACB6D">
                  <w:pPr>
                    <w:pStyle w:val="257"/>
                  </w:pPr>
                  <w:r>
                    <w:t>声源控制措施</w:t>
                  </w:r>
                </w:p>
              </w:tc>
              <w:tc>
                <w:tcPr>
                  <w:tcW w:w="381" w:type="pct"/>
                  <w:vMerge w:val="restart"/>
                  <w:vAlign w:val="center"/>
                </w:tcPr>
                <w:p w14:paraId="1E5DF545">
                  <w:pPr>
                    <w:pStyle w:val="257"/>
                  </w:pPr>
                  <w:r>
                    <w:rPr>
                      <w:rFonts w:hint="eastAsia"/>
                    </w:rPr>
                    <w:t>距室内边界最近距离/m</w:t>
                  </w:r>
                </w:p>
              </w:tc>
              <w:tc>
                <w:tcPr>
                  <w:tcW w:w="381" w:type="pct"/>
                  <w:vMerge w:val="restart"/>
                  <w:vAlign w:val="center"/>
                </w:tcPr>
                <w:p w14:paraId="50A60EB9">
                  <w:pPr>
                    <w:pStyle w:val="257"/>
                  </w:pPr>
                  <w:r>
                    <w:rPr>
                      <w:rFonts w:hint="eastAsia"/>
                    </w:rPr>
                    <w:t>室内边界声级</w:t>
                  </w:r>
                </w:p>
              </w:tc>
              <w:tc>
                <w:tcPr>
                  <w:tcW w:w="381" w:type="pct"/>
                  <w:vMerge w:val="restart"/>
                  <w:vAlign w:val="center"/>
                </w:tcPr>
                <w:p w14:paraId="70EDCC58">
                  <w:pPr>
                    <w:pStyle w:val="257"/>
                  </w:pPr>
                  <w:r>
                    <w:t>运行时段</w:t>
                  </w:r>
                </w:p>
              </w:tc>
              <w:tc>
                <w:tcPr>
                  <w:tcW w:w="375" w:type="pct"/>
                  <w:vMerge w:val="restart"/>
                  <w:vAlign w:val="center"/>
                </w:tcPr>
                <w:p w14:paraId="0A989A52">
                  <w:pPr>
                    <w:pStyle w:val="257"/>
                  </w:pPr>
                  <w:r>
                    <w:rPr>
                      <w:rFonts w:hint="eastAsia"/>
                    </w:rPr>
                    <w:t>建筑物插入损失</w:t>
                  </w:r>
                </w:p>
              </w:tc>
            </w:tr>
            <w:tr w14:paraId="14F092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76" w:type="pct"/>
                  <w:vMerge w:val="continue"/>
                  <w:vAlign w:val="center"/>
                </w:tcPr>
                <w:p w14:paraId="4096E01E">
                  <w:pPr>
                    <w:pStyle w:val="257"/>
                  </w:pPr>
                </w:p>
              </w:tc>
              <w:tc>
                <w:tcPr>
                  <w:tcW w:w="306" w:type="pct"/>
                  <w:vMerge w:val="continue"/>
                  <w:vAlign w:val="center"/>
                </w:tcPr>
                <w:p w14:paraId="0DEB2CCE">
                  <w:pPr>
                    <w:pStyle w:val="257"/>
                  </w:pPr>
                </w:p>
              </w:tc>
              <w:tc>
                <w:tcPr>
                  <w:tcW w:w="732" w:type="pct"/>
                  <w:vMerge w:val="continue"/>
                  <w:vAlign w:val="center"/>
                </w:tcPr>
                <w:p w14:paraId="4F6DCC20">
                  <w:pPr>
                    <w:pStyle w:val="257"/>
                  </w:pPr>
                </w:p>
              </w:tc>
              <w:tc>
                <w:tcPr>
                  <w:tcW w:w="466" w:type="pct"/>
                  <w:tcBorders>
                    <w:right w:val="single" w:color="auto" w:sz="4" w:space="0"/>
                  </w:tcBorders>
                  <w:vAlign w:val="center"/>
                </w:tcPr>
                <w:p w14:paraId="60C700B0">
                  <w:pPr>
                    <w:pStyle w:val="257"/>
                  </w:pPr>
                  <w:r>
                    <w:rPr>
                      <w:bCs/>
                    </w:rPr>
                    <w:t>声功率级/dB(A)</w:t>
                  </w:r>
                </w:p>
              </w:tc>
              <w:tc>
                <w:tcPr>
                  <w:tcW w:w="469" w:type="pct"/>
                  <w:vAlign w:val="center"/>
                </w:tcPr>
                <w:p w14:paraId="39C17809">
                  <w:pPr>
                    <w:pStyle w:val="257"/>
                  </w:pPr>
                  <w:r>
                    <w:t>X</w:t>
                  </w:r>
                </w:p>
              </w:tc>
              <w:tc>
                <w:tcPr>
                  <w:tcW w:w="379" w:type="pct"/>
                  <w:vAlign w:val="center"/>
                </w:tcPr>
                <w:p w14:paraId="747AF33E">
                  <w:pPr>
                    <w:pStyle w:val="257"/>
                  </w:pPr>
                  <w:r>
                    <w:t>Y</w:t>
                  </w:r>
                </w:p>
              </w:tc>
              <w:tc>
                <w:tcPr>
                  <w:tcW w:w="348" w:type="pct"/>
                  <w:vAlign w:val="center"/>
                </w:tcPr>
                <w:p w14:paraId="5ABF8432">
                  <w:pPr>
                    <w:pStyle w:val="257"/>
                  </w:pPr>
                  <w:r>
                    <w:t>Z</w:t>
                  </w:r>
                </w:p>
              </w:tc>
              <w:tc>
                <w:tcPr>
                  <w:tcW w:w="499" w:type="pct"/>
                  <w:vMerge w:val="continue"/>
                  <w:vAlign w:val="center"/>
                </w:tcPr>
                <w:p w14:paraId="721F7600">
                  <w:pPr>
                    <w:pStyle w:val="257"/>
                  </w:pPr>
                </w:p>
              </w:tc>
              <w:tc>
                <w:tcPr>
                  <w:tcW w:w="381" w:type="pct"/>
                  <w:vMerge w:val="continue"/>
                  <w:vAlign w:val="center"/>
                </w:tcPr>
                <w:p w14:paraId="15830D72">
                  <w:pPr>
                    <w:pStyle w:val="257"/>
                  </w:pPr>
                </w:p>
              </w:tc>
              <w:tc>
                <w:tcPr>
                  <w:tcW w:w="381" w:type="pct"/>
                  <w:vMerge w:val="continue"/>
                  <w:vAlign w:val="center"/>
                </w:tcPr>
                <w:p w14:paraId="56966461">
                  <w:pPr>
                    <w:pStyle w:val="257"/>
                  </w:pPr>
                </w:p>
              </w:tc>
              <w:tc>
                <w:tcPr>
                  <w:tcW w:w="381" w:type="pct"/>
                  <w:vMerge w:val="continue"/>
                  <w:vAlign w:val="center"/>
                </w:tcPr>
                <w:p w14:paraId="146E6555">
                  <w:pPr>
                    <w:pStyle w:val="257"/>
                  </w:pPr>
                </w:p>
              </w:tc>
              <w:tc>
                <w:tcPr>
                  <w:tcW w:w="375" w:type="pct"/>
                  <w:vMerge w:val="continue"/>
                  <w:vAlign w:val="center"/>
                </w:tcPr>
                <w:p w14:paraId="29C2696F">
                  <w:pPr>
                    <w:pStyle w:val="257"/>
                  </w:pPr>
                </w:p>
              </w:tc>
            </w:tr>
            <w:tr w14:paraId="2ACA7E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76" w:type="pct"/>
                  <w:vAlign w:val="center"/>
                </w:tcPr>
                <w:p w14:paraId="577498A6">
                  <w:pPr>
                    <w:pStyle w:val="257"/>
                  </w:pPr>
                  <w:bookmarkStart w:id="41" w:name="_Hlk194486086"/>
                  <w:r>
                    <w:t>1</w:t>
                  </w:r>
                </w:p>
              </w:tc>
              <w:tc>
                <w:tcPr>
                  <w:tcW w:w="306" w:type="pct"/>
                  <w:vMerge w:val="restart"/>
                  <w:vAlign w:val="center"/>
                </w:tcPr>
                <w:p w14:paraId="604092E9">
                  <w:pPr>
                    <w:pStyle w:val="257"/>
                  </w:pPr>
                  <w:r>
                    <w:rPr>
                      <w:rFonts w:hint="eastAsia"/>
                    </w:rPr>
                    <w:t>生产车间</w:t>
                  </w:r>
                </w:p>
              </w:tc>
              <w:tc>
                <w:tcPr>
                  <w:tcW w:w="732" w:type="pct"/>
                  <w:vAlign w:val="center"/>
                </w:tcPr>
                <w:p w14:paraId="5C5CB288">
                  <w:pPr>
                    <w:pStyle w:val="257"/>
                    <w:rPr>
                      <w:rFonts w:hint="default" w:eastAsia="宋体"/>
                      <w:kern w:val="0"/>
                      <w:lang w:val="en-US" w:eastAsia="zh-CN"/>
                    </w:rPr>
                  </w:pPr>
                  <w:r>
                    <w:rPr>
                      <w:rFonts w:hint="eastAsia"/>
                      <w:kern w:val="0"/>
                      <w:lang w:val="en-US" w:eastAsia="zh-CN"/>
                    </w:rPr>
                    <w:t>蒸汽发生器</w:t>
                  </w:r>
                </w:p>
              </w:tc>
              <w:tc>
                <w:tcPr>
                  <w:tcW w:w="466" w:type="pct"/>
                  <w:tcBorders>
                    <w:right w:val="single" w:color="auto" w:sz="4" w:space="0"/>
                  </w:tcBorders>
                  <w:vAlign w:val="center"/>
                </w:tcPr>
                <w:p w14:paraId="0C5E3849">
                  <w:pPr>
                    <w:pStyle w:val="257"/>
                    <w:rPr>
                      <w:rFonts w:hint="default" w:eastAsia="宋体"/>
                      <w:lang w:val="en-US" w:eastAsia="zh-CN"/>
                    </w:rPr>
                  </w:pPr>
                  <w:r>
                    <w:rPr>
                      <w:rFonts w:hint="eastAsia"/>
                      <w:lang w:val="en-US" w:eastAsia="zh-CN"/>
                    </w:rPr>
                    <w:t>80</w:t>
                  </w:r>
                </w:p>
              </w:tc>
              <w:tc>
                <w:tcPr>
                  <w:tcW w:w="469" w:type="pct"/>
                  <w:vAlign w:val="center"/>
                </w:tcPr>
                <w:p w14:paraId="72393FA4">
                  <w:pPr>
                    <w:pStyle w:val="257"/>
                    <w:rPr>
                      <w:rFonts w:hint="default" w:eastAsia="宋体"/>
                      <w:lang w:val="en-US" w:eastAsia="zh-CN"/>
                    </w:rPr>
                  </w:pPr>
                  <w:r>
                    <w:rPr>
                      <w:rFonts w:hint="eastAsia"/>
                      <w:lang w:val="en-US" w:eastAsia="zh-CN"/>
                    </w:rPr>
                    <w:t>48</w:t>
                  </w:r>
                </w:p>
              </w:tc>
              <w:tc>
                <w:tcPr>
                  <w:tcW w:w="379" w:type="pct"/>
                  <w:vAlign w:val="center"/>
                </w:tcPr>
                <w:p w14:paraId="2434BCA8">
                  <w:pPr>
                    <w:pStyle w:val="257"/>
                    <w:rPr>
                      <w:rFonts w:hint="default" w:eastAsia="宋体"/>
                      <w:lang w:val="en-US" w:eastAsia="zh-CN"/>
                    </w:rPr>
                  </w:pPr>
                  <w:r>
                    <w:rPr>
                      <w:rFonts w:hint="eastAsia"/>
                      <w:lang w:val="en-US" w:eastAsia="zh-CN"/>
                    </w:rPr>
                    <w:t>31</w:t>
                  </w:r>
                </w:p>
              </w:tc>
              <w:tc>
                <w:tcPr>
                  <w:tcW w:w="348" w:type="pct"/>
                  <w:vAlign w:val="center"/>
                </w:tcPr>
                <w:p w14:paraId="680C0C39">
                  <w:pPr>
                    <w:pStyle w:val="257"/>
                    <w:rPr>
                      <w:rFonts w:hint="default" w:eastAsia="宋体"/>
                      <w:lang w:val="en-US" w:eastAsia="zh-CN"/>
                    </w:rPr>
                  </w:pPr>
                  <w:r>
                    <w:rPr>
                      <w:rFonts w:hint="eastAsia"/>
                      <w:lang w:val="en-US" w:eastAsia="zh-CN"/>
                    </w:rPr>
                    <w:t>1.5</w:t>
                  </w:r>
                </w:p>
              </w:tc>
              <w:tc>
                <w:tcPr>
                  <w:tcW w:w="499" w:type="pct"/>
                  <w:vMerge w:val="restart"/>
                  <w:vAlign w:val="center"/>
                </w:tcPr>
                <w:p w14:paraId="784D261F">
                  <w:pPr>
                    <w:pStyle w:val="257"/>
                  </w:pPr>
                  <w:r>
                    <w:rPr>
                      <w:rFonts w:hint="eastAsia"/>
                    </w:rPr>
                    <w:t>基础减振、封闭隔声</w:t>
                  </w:r>
                </w:p>
              </w:tc>
              <w:tc>
                <w:tcPr>
                  <w:tcW w:w="381" w:type="pct"/>
                  <w:vAlign w:val="center"/>
                </w:tcPr>
                <w:p w14:paraId="72700229">
                  <w:pPr>
                    <w:pStyle w:val="257"/>
                    <w:rPr>
                      <w:rFonts w:hint="eastAsia" w:eastAsia="宋体"/>
                      <w:color w:val="000000"/>
                      <w:kern w:val="0"/>
                      <w:sz w:val="22"/>
                      <w:szCs w:val="22"/>
                      <w:lang w:val="en-US" w:eastAsia="zh-CN"/>
                    </w:rPr>
                  </w:pPr>
                  <w:r>
                    <w:rPr>
                      <w:rFonts w:hint="eastAsia"/>
                      <w:color w:val="000000"/>
                      <w:kern w:val="0"/>
                      <w:sz w:val="22"/>
                      <w:szCs w:val="22"/>
                      <w:lang w:val="en-US" w:eastAsia="zh-CN"/>
                    </w:rPr>
                    <w:t>2</w:t>
                  </w:r>
                </w:p>
              </w:tc>
              <w:tc>
                <w:tcPr>
                  <w:tcW w:w="381" w:type="pct"/>
                  <w:vAlign w:val="center"/>
                </w:tcPr>
                <w:p w14:paraId="08788A02">
                  <w:pPr>
                    <w:pStyle w:val="257"/>
                    <w:rPr>
                      <w:rFonts w:hint="default" w:eastAsia="宋体"/>
                      <w:color w:val="000000"/>
                      <w:sz w:val="22"/>
                      <w:szCs w:val="22"/>
                      <w:lang w:val="en-US" w:eastAsia="zh-CN"/>
                    </w:rPr>
                  </w:pPr>
                  <w:r>
                    <w:rPr>
                      <w:rFonts w:hint="eastAsia"/>
                      <w:color w:val="000000"/>
                      <w:sz w:val="22"/>
                      <w:szCs w:val="22"/>
                      <w:lang w:val="en-US" w:eastAsia="zh-CN"/>
                    </w:rPr>
                    <w:t>53.9</w:t>
                  </w:r>
                </w:p>
              </w:tc>
              <w:tc>
                <w:tcPr>
                  <w:tcW w:w="381" w:type="pct"/>
                  <w:vAlign w:val="center"/>
                </w:tcPr>
                <w:p w14:paraId="5399031D">
                  <w:pPr>
                    <w:pStyle w:val="257"/>
                  </w:pPr>
                  <w:r>
                    <w:rPr>
                      <w:rFonts w:hint="eastAsia"/>
                    </w:rPr>
                    <w:t>昼</w:t>
                  </w:r>
                </w:p>
              </w:tc>
              <w:tc>
                <w:tcPr>
                  <w:tcW w:w="375" w:type="pct"/>
                  <w:vAlign w:val="center"/>
                </w:tcPr>
                <w:p w14:paraId="5F46B202">
                  <w:pPr>
                    <w:pStyle w:val="257"/>
                  </w:pPr>
                  <w:r>
                    <w:rPr>
                      <w:rFonts w:hint="eastAsia"/>
                    </w:rPr>
                    <w:t>~</w:t>
                  </w:r>
                  <w:r>
                    <w:t>20</w:t>
                  </w:r>
                </w:p>
              </w:tc>
            </w:tr>
            <w:bookmarkEnd w:id="41"/>
            <w:tr w14:paraId="4EC57F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76" w:type="pct"/>
                  <w:vAlign w:val="center"/>
                </w:tcPr>
                <w:p w14:paraId="107BA3B3">
                  <w:pPr>
                    <w:pStyle w:val="257"/>
                  </w:pPr>
                  <w:r>
                    <w:rPr>
                      <w:rFonts w:hint="eastAsia"/>
                    </w:rPr>
                    <w:t>2</w:t>
                  </w:r>
                </w:p>
              </w:tc>
              <w:tc>
                <w:tcPr>
                  <w:tcW w:w="306" w:type="pct"/>
                  <w:vMerge w:val="continue"/>
                  <w:vAlign w:val="center"/>
                </w:tcPr>
                <w:p w14:paraId="10CEFF7B">
                  <w:pPr>
                    <w:pStyle w:val="257"/>
                  </w:pPr>
                </w:p>
              </w:tc>
              <w:tc>
                <w:tcPr>
                  <w:tcW w:w="732" w:type="pct"/>
                  <w:vAlign w:val="center"/>
                </w:tcPr>
                <w:p w14:paraId="0134248A">
                  <w:pPr>
                    <w:pStyle w:val="257"/>
                    <w:rPr>
                      <w:rFonts w:hint="default" w:eastAsia="宋体"/>
                      <w:lang w:val="en-US" w:eastAsia="zh-CN"/>
                    </w:rPr>
                  </w:pPr>
                  <w:r>
                    <w:rPr>
                      <w:rFonts w:hint="eastAsia"/>
                      <w:lang w:val="en-US" w:eastAsia="zh-CN"/>
                    </w:rPr>
                    <w:t>水浴巴氏杀菌机</w:t>
                  </w:r>
                </w:p>
              </w:tc>
              <w:tc>
                <w:tcPr>
                  <w:tcW w:w="466" w:type="pct"/>
                  <w:tcBorders>
                    <w:right w:val="single" w:color="auto" w:sz="4" w:space="0"/>
                  </w:tcBorders>
                  <w:vAlign w:val="center"/>
                </w:tcPr>
                <w:p w14:paraId="0C2D7C76">
                  <w:pPr>
                    <w:pStyle w:val="257"/>
                    <w:rPr>
                      <w:rFonts w:hint="default" w:eastAsia="宋体"/>
                      <w:lang w:val="en-US" w:eastAsia="zh-CN"/>
                    </w:rPr>
                  </w:pPr>
                  <w:r>
                    <w:rPr>
                      <w:rFonts w:hint="eastAsia"/>
                      <w:lang w:val="en-US" w:eastAsia="zh-CN"/>
                    </w:rPr>
                    <w:t>80</w:t>
                  </w:r>
                </w:p>
              </w:tc>
              <w:tc>
                <w:tcPr>
                  <w:tcW w:w="469" w:type="pct"/>
                  <w:vAlign w:val="center"/>
                </w:tcPr>
                <w:p w14:paraId="0A126019">
                  <w:pPr>
                    <w:pStyle w:val="257"/>
                    <w:rPr>
                      <w:rFonts w:hint="default" w:eastAsia="宋体"/>
                      <w:lang w:val="en-US" w:eastAsia="zh-CN"/>
                    </w:rPr>
                  </w:pPr>
                  <w:r>
                    <w:rPr>
                      <w:rFonts w:hint="eastAsia"/>
                      <w:lang w:val="en-US" w:eastAsia="zh-CN"/>
                    </w:rPr>
                    <w:t>25</w:t>
                  </w:r>
                </w:p>
              </w:tc>
              <w:tc>
                <w:tcPr>
                  <w:tcW w:w="379" w:type="pct"/>
                  <w:vAlign w:val="center"/>
                </w:tcPr>
                <w:p w14:paraId="58060FBD">
                  <w:pPr>
                    <w:pStyle w:val="257"/>
                    <w:rPr>
                      <w:rFonts w:hint="default" w:eastAsia="宋体"/>
                      <w:lang w:val="en-US" w:eastAsia="zh-CN"/>
                    </w:rPr>
                  </w:pPr>
                  <w:r>
                    <w:rPr>
                      <w:rFonts w:hint="eastAsia"/>
                      <w:lang w:val="en-US" w:eastAsia="zh-CN"/>
                    </w:rPr>
                    <w:t>15</w:t>
                  </w:r>
                </w:p>
              </w:tc>
              <w:tc>
                <w:tcPr>
                  <w:tcW w:w="348" w:type="pct"/>
                  <w:vAlign w:val="center"/>
                </w:tcPr>
                <w:p w14:paraId="24A4C17C">
                  <w:pPr>
                    <w:pStyle w:val="257"/>
                    <w:rPr>
                      <w:rFonts w:hint="default" w:eastAsia="宋体"/>
                      <w:lang w:val="en-US" w:eastAsia="zh-CN"/>
                    </w:rPr>
                  </w:pPr>
                  <w:r>
                    <w:rPr>
                      <w:rFonts w:hint="eastAsia"/>
                      <w:lang w:val="en-US" w:eastAsia="zh-CN"/>
                    </w:rPr>
                    <w:t>0.5</w:t>
                  </w:r>
                </w:p>
              </w:tc>
              <w:tc>
                <w:tcPr>
                  <w:tcW w:w="499" w:type="pct"/>
                  <w:vMerge w:val="continue"/>
                  <w:vAlign w:val="center"/>
                </w:tcPr>
                <w:p w14:paraId="4BB2796A">
                  <w:pPr>
                    <w:pStyle w:val="257"/>
                  </w:pPr>
                </w:p>
              </w:tc>
              <w:tc>
                <w:tcPr>
                  <w:tcW w:w="381" w:type="pct"/>
                  <w:vAlign w:val="center"/>
                </w:tcPr>
                <w:p w14:paraId="01E18892">
                  <w:pPr>
                    <w:pStyle w:val="257"/>
                    <w:rPr>
                      <w:rFonts w:hint="eastAsia" w:eastAsia="宋体"/>
                      <w:color w:val="000000"/>
                      <w:sz w:val="22"/>
                      <w:szCs w:val="22"/>
                      <w:lang w:val="en-US" w:eastAsia="zh-CN"/>
                    </w:rPr>
                  </w:pPr>
                  <w:r>
                    <w:rPr>
                      <w:rFonts w:hint="eastAsia"/>
                      <w:color w:val="000000"/>
                      <w:sz w:val="22"/>
                      <w:szCs w:val="22"/>
                      <w:lang w:val="en-US" w:eastAsia="zh-CN"/>
                    </w:rPr>
                    <w:t>7</w:t>
                  </w:r>
                </w:p>
              </w:tc>
              <w:tc>
                <w:tcPr>
                  <w:tcW w:w="381" w:type="pct"/>
                  <w:vAlign w:val="center"/>
                </w:tcPr>
                <w:p w14:paraId="182522E3">
                  <w:pPr>
                    <w:pStyle w:val="257"/>
                    <w:rPr>
                      <w:rFonts w:hint="default" w:eastAsia="宋体"/>
                      <w:color w:val="000000"/>
                      <w:sz w:val="22"/>
                      <w:szCs w:val="22"/>
                      <w:lang w:val="en-US" w:eastAsia="zh-CN"/>
                    </w:rPr>
                  </w:pPr>
                  <w:r>
                    <w:rPr>
                      <w:rFonts w:hint="eastAsia"/>
                      <w:color w:val="000000"/>
                      <w:sz w:val="22"/>
                      <w:szCs w:val="22"/>
                      <w:lang w:val="en-US" w:eastAsia="zh-CN"/>
                    </w:rPr>
                    <w:t>43.1</w:t>
                  </w:r>
                </w:p>
              </w:tc>
              <w:tc>
                <w:tcPr>
                  <w:tcW w:w="381" w:type="pct"/>
                  <w:vAlign w:val="center"/>
                </w:tcPr>
                <w:p w14:paraId="32061A94">
                  <w:pPr>
                    <w:pStyle w:val="257"/>
                  </w:pPr>
                  <w:r>
                    <w:rPr>
                      <w:rFonts w:hint="eastAsia"/>
                    </w:rPr>
                    <w:t>昼</w:t>
                  </w:r>
                </w:p>
              </w:tc>
              <w:tc>
                <w:tcPr>
                  <w:tcW w:w="375" w:type="pct"/>
                  <w:vAlign w:val="center"/>
                </w:tcPr>
                <w:p w14:paraId="40EA8C52">
                  <w:pPr>
                    <w:pStyle w:val="257"/>
                  </w:pPr>
                  <w:r>
                    <w:rPr>
                      <w:rFonts w:hint="eastAsia"/>
                    </w:rPr>
                    <w:t>~</w:t>
                  </w:r>
                  <w:r>
                    <w:t>20</w:t>
                  </w:r>
                </w:p>
              </w:tc>
            </w:tr>
            <w:tr w14:paraId="038702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76" w:type="pct"/>
                  <w:vAlign w:val="center"/>
                </w:tcPr>
                <w:p w14:paraId="518C288C">
                  <w:pPr>
                    <w:pStyle w:val="257"/>
                  </w:pPr>
                  <w:bookmarkStart w:id="42" w:name="_Hlk194486489"/>
                  <w:r>
                    <w:rPr>
                      <w:rFonts w:hint="eastAsia"/>
                    </w:rPr>
                    <w:t>3</w:t>
                  </w:r>
                </w:p>
              </w:tc>
              <w:tc>
                <w:tcPr>
                  <w:tcW w:w="306" w:type="pct"/>
                  <w:vMerge w:val="continue"/>
                  <w:vAlign w:val="center"/>
                </w:tcPr>
                <w:p w14:paraId="6EB6A4BB">
                  <w:pPr>
                    <w:pStyle w:val="257"/>
                  </w:pPr>
                </w:p>
              </w:tc>
              <w:tc>
                <w:tcPr>
                  <w:tcW w:w="732" w:type="pct"/>
                  <w:vAlign w:val="center"/>
                </w:tcPr>
                <w:p w14:paraId="2054106D">
                  <w:pPr>
                    <w:jc w:val="center"/>
                    <w:rPr>
                      <w:rFonts w:hint="default" w:eastAsia="宋体"/>
                      <w:lang w:val="en-US" w:eastAsia="zh-CN"/>
                    </w:rPr>
                  </w:pPr>
                  <w:r>
                    <w:rPr>
                      <w:rFonts w:hint="eastAsia"/>
                      <w:lang w:val="en-US" w:eastAsia="zh-CN"/>
                    </w:rPr>
                    <w:t>烘箱</w:t>
                  </w:r>
                </w:p>
              </w:tc>
              <w:tc>
                <w:tcPr>
                  <w:tcW w:w="466" w:type="pct"/>
                  <w:tcBorders>
                    <w:right w:val="single" w:color="auto" w:sz="4" w:space="0"/>
                  </w:tcBorders>
                  <w:vAlign w:val="center"/>
                </w:tcPr>
                <w:p w14:paraId="2728E6F1">
                  <w:pPr>
                    <w:jc w:val="center"/>
                    <w:rPr>
                      <w:rFonts w:hint="default" w:eastAsia="宋体"/>
                      <w:szCs w:val="21"/>
                      <w:lang w:val="en-US" w:eastAsia="zh-CN"/>
                    </w:rPr>
                  </w:pPr>
                  <w:r>
                    <w:rPr>
                      <w:rFonts w:hint="eastAsia"/>
                      <w:szCs w:val="21"/>
                      <w:lang w:val="en-US" w:eastAsia="zh-CN"/>
                    </w:rPr>
                    <w:t>80</w:t>
                  </w:r>
                </w:p>
              </w:tc>
              <w:tc>
                <w:tcPr>
                  <w:tcW w:w="469" w:type="pct"/>
                  <w:vAlign w:val="center"/>
                </w:tcPr>
                <w:p w14:paraId="7058282B">
                  <w:pPr>
                    <w:pStyle w:val="257"/>
                    <w:rPr>
                      <w:rFonts w:hint="default" w:eastAsia="宋体"/>
                      <w:lang w:val="en-US" w:eastAsia="zh-CN"/>
                    </w:rPr>
                  </w:pPr>
                  <w:r>
                    <w:rPr>
                      <w:rFonts w:hint="eastAsia"/>
                      <w:lang w:val="en-US" w:eastAsia="zh-CN"/>
                    </w:rPr>
                    <w:t>20</w:t>
                  </w:r>
                </w:p>
              </w:tc>
              <w:tc>
                <w:tcPr>
                  <w:tcW w:w="379" w:type="pct"/>
                  <w:vAlign w:val="center"/>
                </w:tcPr>
                <w:p w14:paraId="6F26C91F">
                  <w:pPr>
                    <w:pStyle w:val="257"/>
                    <w:rPr>
                      <w:rFonts w:hint="default" w:eastAsia="宋体"/>
                      <w:lang w:val="en-US" w:eastAsia="zh-CN"/>
                    </w:rPr>
                  </w:pPr>
                  <w:r>
                    <w:rPr>
                      <w:rFonts w:hint="eastAsia"/>
                      <w:lang w:val="en-US" w:eastAsia="zh-CN"/>
                    </w:rPr>
                    <w:t>20</w:t>
                  </w:r>
                </w:p>
              </w:tc>
              <w:tc>
                <w:tcPr>
                  <w:tcW w:w="348" w:type="pct"/>
                  <w:vAlign w:val="center"/>
                </w:tcPr>
                <w:p w14:paraId="050A518E">
                  <w:pPr>
                    <w:pStyle w:val="257"/>
                    <w:rPr>
                      <w:rFonts w:hint="default" w:eastAsia="宋体"/>
                      <w:lang w:val="en-US" w:eastAsia="zh-CN"/>
                    </w:rPr>
                  </w:pPr>
                  <w:r>
                    <w:rPr>
                      <w:rFonts w:hint="eastAsia"/>
                      <w:lang w:val="en-US" w:eastAsia="zh-CN"/>
                    </w:rPr>
                    <w:t>2.0</w:t>
                  </w:r>
                </w:p>
              </w:tc>
              <w:tc>
                <w:tcPr>
                  <w:tcW w:w="499" w:type="pct"/>
                  <w:vMerge w:val="continue"/>
                  <w:vAlign w:val="center"/>
                </w:tcPr>
                <w:p w14:paraId="73E9758B">
                  <w:pPr>
                    <w:pStyle w:val="257"/>
                  </w:pPr>
                </w:p>
              </w:tc>
              <w:tc>
                <w:tcPr>
                  <w:tcW w:w="381" w:type="pct"/>
                  <w:vAlign w:val="center"/>
                </w:tcPr>
                <w:p w14:paraId="009251D4">
                  <w:pPr>
                    <w:pStyle w:val="257"/>
                    <w:rPr>
                      <w:rFonts w:hint="default" w:eastAsia="宋体"/>
                      <w:color w:val="000000"/>
                      <w:sz w:val="22"/>
                      <w:szCs w:val="22"/>
                      <w:lang w:val="en-US" w:eastAsia="zh-CN"/>
                    </w:rPr>
                  </w:pPr>
                  <w:r>
                    <w:rPr>
                      <w:rFonts w:hint="eastAsia"/>
                      <w:color w:val="000000"/>
                      <w:sz w:val="22"/>
                      <w:szCs w:val="22"/>
                      <w:lang w:val="en-US" w:eastAsia="zh-CN"/>
                    </w:rPr>
                    <w:t>10</w:t>
                  </w:r>
                </w:p>
              </w:tc>
              <w:tc>
                <w:tcPr>
                  <w:tcW w:w="381" w:type="pct"/>
                  <w:vAlign w:val="center"/>
                </w:tcPr>
                <w:p w14:paraId="72D6FA48">
                  <w:pPr>
                    <w:pStyle w:val="257"/>
                    <w:rPr>
                      <w:rFonts w:hint="default" w:eastAsia="宋体"/>
                      <w:color w:val="000000"/>
                      <w:sz w:val="22"/>
                      <w:szCs w:val="22"/>
                      <w:lang w:val="en-US" w:eastAsia="zh-CN"/>
                    </w:rPr>
                  </w:pPr>
                  <w:r>
                    <w:rPr>
                      <w:rFonts w:hint="eastAsia"/>
                      <w:color w:val="000000"/>
                      <w:sz w:val="22"/>
                      <w:szCs w:val="22"/>
                      <w:lang w:val="en-US" w:eastAsia="zh-CN"/>
                    </w:rPr>
                    <w:t>40</w:t>
                  </w:r>
                </w:p>
              </w:tc>
              <w:tc>
                <w:tcPr>
                  <w:tcW w:w="381" w:type="pct"/>
                  <w:vAlign w:val="center"/>
                </w:tcPr>
                <w:p w14:paraId="642CC5FE">
                  <w:pPr>
                    <w:pStyle w:val="257"/>
                  </w:pPr>
                  <w:r>
                    <w:rPr>
                      <w:rFonts w:hint="eastAsia"/>
                    </w:rPr>
                    <w:t>昼</w:t>
                  </w:r>
                </w:p>
              </w:tc>
              <w:tc>
                <w:tcPr>
                  <w:tcW w:w="375" w:type="pct"/>
                  <w:vAlign w:val="center"/>
                </w:tcPr>
                <w:p w14:paraId="1BB2D2E0">
                  <w:pPr>
                    <w:pStyle w:val="257"/>
                  </w:pPr>
                  <w:r>
                    <w:rPr>
                      <w:rFonts w:hint="eastAsia"/>
                    </w:rPr>
                    <w:t>~</w:t>
                  </w:r>
                  <w:r>
                    <w:t>20</w:t>
                  </w:r>
                </w:p>
              </w:tc>
            </w:tr>
            <w:tr w14:paraId="029CAA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76" w:type="pct"/>
                  <w:vAlign w:val="center"/>
                </w:tcPr>
                <w:p w14:paraId="1B79D3FF">
                  <w:pPr>
                    <w:pStyle w:val="257"/>
                  </w:pPr>
                  <w:r>
                    <w:rPr>
                      <w:rFonts w:hint="eastAsia"/>
                    </w:rPr>
                    <w:t>4</w:t>
                  </w:r>
                </w:p>
              </w:tc>
              <w:tc>
                <w:tcPr>
                  <w:tcW w:w="306" w:type="pct"/>
                  <w:vMerge w:val="continue"/>
                  <w:vAlign w:val="center"/>
                </w:tcPr>
                <w:p w14:paraId="30184970">
                  <w:pPr>
                    <w:pStyle w:val="257"/>
                  </w:pPr>
                </w:p>
              </w:tc>
              <w:tc>
                <w:tcPr>
                  <w:tcW w:w="732" w:type="pct"/>
                  <w:vAlign w:val="center"/>
                </w:tcPr>
                <w:p w14:paraId="31973CFC">
                  <w:pPr>
                    <w:pStyle w:val="257"/>
                    <w:rPr>
                      <w:rFonts w:hint="eastAsia" w:eastAsia="宋体"/>
                      <w:lang w:val="en-US" w:eastAsia="zh-CN"/>
                    </w:rPr>
                  </w:pPr>
                  <w:r>
                    <w:rPr>
                      <w:rFonts w:hint="eastAsia"/>
                      <w:lang w:val="en-US" w:eastAsia="zh-CN"/>
                    </w:rPr>
                    <w:t>洗瓶机</w:t>
                  </w:r>
                </w:p>
              </w:tc>
              <w:tc>
                <w:tcPr>
                  <w:tcW w:w="466" w:type="pct"/>
                  <w:tcBorders>
                    <w:right w:val="single" w:color="auto" w:sz="4" w:space="0"/>
                  </w:tcBorders>
                  <w:vAlign w:val="center"/>
                </w:tcPr>
                <w:p w14:paraId="7BB9434E">
                  <w:pPr>
                    <w:pStyle w:val="257"/>
                    <w:rPr>
                      <w:rFonts w:hint="default" w:eastAsia="宋体"/>
                      <w:lang w:val="en-US" w:eastAsia="zh-CN"/>
                    </w:rPr>
                  </w:pPr>
                  <w:r>
                    <w:rPr>
                      <w:rFonts w:hint="eastAsia"/>
                      <w:lang w:val="en-US" w:eastAsia="zh-CN"/>
                    </w:rPr>
                    <w:t>75</w:t>
                  </w:r>
                </w:p>
              </w:tc>
              <w:tc>
                <w:tcPr>
                  <w:tcW w:w="469" w:type="pct"/>
                  <w:vAlign w:val="center"/>
                </w:tcPr>
                <w:p w14:paraId="5F4B47C4">
                  <w:pPr>
                    <w:pStyle w:val="257"/>
                    <w:rPr>
                      <w:rFonts w:hint="default" w:eastAsia="宋体"/>
                      <w:lang w:val="en-US" w:eastAsia="zh-CN"/>
                    </w:rPr>
                  </w:pPr>
                  <w:r>
                    <w:rPr>
                      <w:rFonts w:hint="eastAsia"/>
                      <w:lang w:val="en-US" w:eastAsia="zh-CN"/>
                    </w:rPr>
                    <w:t>20</w:t>
                  </w:r>
                </w:p>
              </w:tc>
              <w:tc>
                <w:tcPr>
                  <w:tcW w:w="379" w:type="pct"/>
                  <w:vAlign w:val="center"/>
                </w:tcPr>
                <w:p w14:paraId="257A5154">
                  <w:pPr>
                    <w:pStyle w:val="257"/>
                    <w:rPr>
                      <w:rFonts w:hint="default" w:eastAsia="宋体"/>
                      <w:lang w:val="en-US" w:eastAsia="zh-CN"/>
                    </w:rPr>
                  </w:pPr>
                  <w:r>
                    <w:rPr>
                      <w:rFonts w:hint="eastAsia"/>
                      <w:lang w:val="en-US" w:eastAsia="zh-CN"/>
                    </w:rPr>
                    <w:t>15</w:t>
                  </w:r>
                </w:p>
              </w:tc>
              <w:tc>
                <w:tcPr>
                  <w:tcW w:w="348" w:type="pct"/>
                  <w:vAlign w:val="center"/>
                </w:tcPr>
                <w:p w14:paraId="76F4E0B9">
                  <w:pPr>
                    <w:pStyle w:val="257"/>
                    <w:rPr>
                      <w:rFonts w:hint="default" w:eastAsia="宋体"/>
                      <w:lang w:val="en-US" w:eastAsia="zh-CN"/>
                    </w:rPr>
                  </w:pPr>
                  <w:r>
                    <w:rPr>
                      <w:rFonts w:hint="eastAsia"/>
                      <w:lang w:val="en-US" w:eastAsia="zh-CN"/>
                    </w:rPr>
                    <w:t>1.0</w:t>
                  </w:r>
                </w:p>
              </w:tc>
              <w:tc>
                <w:tcPr>
                  <w:tcW w:w="499" w:type="pct"/>
                  <w:vMerge w:val="continue"/>
                  <w:vAlign w:val="center"/>
                </w:tcPr>
                <w:p w14:paraId="38443478">
                  <w:pPr>
                    <w:pStyle w:val="257"/>
                  </w:pPr>
                </w:p>
              </w:tc>
              <w:tc>
                <w:tcPr>
                  <w:tcW w:w="381" w:type="pct"/>
                  <w:vAlign w:val="center"/>
                </w:tcPr>
                <w:p w14:paraId="698D6C34">
                  <w:pPr>
                    <w:pStyle w:val="257"/>
                    <w:rPr>
                      <w:rFonts w:hint="default" w:eastAsia="宋体"/>
                      <w:color w:val="000000"/>
                      <w:sz w:val="22"/>
                      <w:szCs w:val="22"/>
                      <w:lang w:val="en-US" w:eastAsia="zh-CN"/>
                    </w:rPr>
                  </w:pPr>
                  <w:r>
                    <w:rPr>
                      <w:rFonts w:hint="eastAsia"/>
                      <w:color w:val="000000"/>
                      <w:sz w:val="22"/>
                      <w:szCs w:val="22"/>
                      <w:lang w:val="en-US" w:eastAsia="zh-CN"/>
                    </w:rPr>
                    <w:t>15</w:t>
                  </w:r>
                </w:p>
              </w:tc>
              <w:tc>
                <w:tcPr>
                  <w:tcW w:w="381" w:type="pct"/>
                  <w:vAlign w:val="center"/>
                </w:tcPr>
                <w:p w14:paraId="17C647B7">
                  <w:pPr>
                    <w:pStyle w:val="257"/>
                    <w:rPr>
                      <w:rFonts w:hint="default" w:eastAsia="宋体"/>
                      <w:color w:val="000000"/>
                      <w:sz w:val="22"/>
                      <w:szCs w:val="22"/>
                      <w:lang w:val="en-US" w:eastAsia="zh-CN"/>
                    </w:rPr>
                  </w:pPr>
                  <w:r>
                    <w:rPr>
                      <w:rFonts w:hint="eastAsia"/>
                      <w:color w:val="000000"/>
                      <w:sz w:val="22"/>
                      <w:szCs w:val="22"/>
                      <w:lang w:val="en-US" w:eastAsia="zh-CN"/>
                    </w:rPr>
                    <w:t>31.5</w:t>
                  </w:r>
                </w:p>
              </w:tc>
              <w:tc>
                <w:tcPr>
                  <w:tcW w:w="381" w:type="pct"/>
                  <w:vAlign w:val="center"/>
                </w:tcPr>
                <w:p w14:paraId="4C4E28E8">
                  <w:pPr>
                    <w:pStyle w:val="257"/>
                  </w:pPr>
                  <w:r>
                    <w:rPr>
                      <w:rFonts w:hint="eastAsia"/>
                    </w:rPr>
                    <w:t>昼</w:t>
                  </w:r>
                </w:p>
              </w:tc>
              <w:tc>
                <w:tcPr>
                  <w:tcW w:w="375" w:type="pct"/>
                  <w:vAlign w:val="center"/>
                </w:tcPr>
                <w:p w14:paraId="7EEF08A9">
                  <w:pPr>
                    <w:pStyle w:val="257"/>
                  </w:pPr>
                  <w:r>
                    <w:rPr>
                      <w:rFonts w:hint="eastAsia"/>
                    </w:rPr>
                    <w:t>~</w:t>
                  </w:r>
                  <w:r>
                    <w:t>20</w:t>
                  </w:r>
                </w:p>
              </w:tc>
            </w:tr>
            <w:bookmarkEnd w:id="42"/>
            <w:tr w14:paraId="560A48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276" w:type="pct"/>
                  <w:vAlign w:val="center"/>
                </w:tcPr>
                <w:p w14:paraId="7B5B6BFF">
                  <w:pPr>
                    <w:pStyle w:val="257"/>
                  </w:pPr>
                  <w:r>
                    <w:t>5</w:t>
                  </w:r>
                </w:p>
              </w:tc>
              <w:tc>
                <w:tcPr>
                  <w:tcW w:w="306" w:type="pct"/>
                  <w:vMerge w:val="continue"/>
                  <w:vAlign w:val="center"/>
                </w:tcPr>
                <w:p w14:paraId="3E0925C1">
                  <w:pPr>
                    <w:pStyle w:val="257"/>
                  </w:pPr>
                </w:p>
              </w:tc>
              <w:tc>
                <w:tcPr>
                  <w:tcW w:w="732" w:type="pct"/>
                  <w:vAlign w:val="center"/>
                </w:tcPr>
                <w:p w14:paraId="742131AF">
                  <w:pPr>
                    <w:pStyle w:val="257"/>
                    <w:rPr>
                      <w:rFonts w:hint="default" w:eastAsia="宋体"/>
                      <w:lang w:val="en-US" w:eastAsia="zh-CN"/>
                    </w:rPr>
                  </w:pPr>
                  <w:r>
                    <w:rPr>
                      <w:rFonts w:hint="eastAsia"/>
                      <w:lang w:val="en-US" w:eastAsia="zh-CN"/>
                    </w:rPr>
                    <w:t>灌装机</w:t>
                  </w:r>
                </w:p>
              </w:tc>
              <w:tc>
                <w:tcPr>
                  <w:tcW w:w="466" w:type="pct"/>
                  <w:vAlign w:val="center"/>
                </w:tcPr>
                <w:p w14:paraId="0D8F5410">
                  <w:pPr>
                    <w:pStyle w:val="257"/>
                    <w:rPr>
                      <w:rFonts w:hint="default" w:eastAsia="宋体"/>
                      <w:lang w:val="en-US" w:eastAsia="zh-CN"/>
                    </w:rPr>
                  </w:pPr>
                  <w:r>
                    <w:rPr>
                      <w:rFonts w:hint="eastAsia"/>
                      <w:lang w:val="en-US" w:eastAsia="zh-CN"/>
                    </w:rPr>
                    <w:t>75</w:t>
                  </w:r>
                </w:p>
              </w:tc>
              <w:tc>
                <w:tcPr>
                  <w:tcW w:w="469" w:type="pct"/>
                  <w:vAlign w:val="center"/>
                </w:tcPr>
                <w:p w14:paraId="591E2531">
                  <w:pPr>
                    <w:pStyle w:val="257"/>
                    <w:rPr>
                      <w:rFonts w:hint="default" w:eastAsia="宋体"/>
                      <w:lang w:val="en-US" w:eastAsia="zh-CN"/>
                    </w:rPr>
                  </w:pPr>
                  <w:r>
                    <w:rPr>
                      <w:rFonts w:hint="eastAsia"/>
                      <w:lang w:val="en-US" w:eastAsia="zh-CN"/>
                    </w:rPr>
                    <w:t>20</w:t>
                  </w:r>
                </w:p>
              </w:tc>
              <w:tc>
                <w:tcPr>
                  <w:tcW w:w="379" w:type="pct"/>
                  <w:vAlign w:val="center"/>
                </w:tcPr>
                <w:p w14:paraId="1D791E7D">
                  <w:pPr>
                    <w:pStyle w:val="257"/>
                    <w:rPr>
                      <w:rFonts w:hint="default" w:eastAsia="宋体"/>
                      <w:lang w:val="en-US" w:eastAsia="zh-CN"/>
                    </w:rPr>
                  </w:pPr>
                  <w:r>
                    <w:rPr>
                      <w:rFonts w:hint="eastAsia"/>
                      <w:lang w:val="en-US" w:eastAsia="zh-CN"/>
                    </w:rPr>
                    <w:t>12</w:t>
                  </w:r>
                </w:p>
              </w:tc>
              <w:tc>
                <w:tcPr>
                  <w:tcW w:w="348" w:type="pct"/>
                  <w:vAlign w:val="center"/>
                </w:tcPr>
                <w:p w14:paraId="7C196E29">
                  <w:pPr>
                    <w:pStyle w:val="257"/>
                    <w:rPr>
                      <w:rFonts w:hint="default" w:eastAsia="宋体"/>
                      <w:lang w:val="en-US" w:eastAsia="zh-CN"/>
                    </w:rPr>
                  </w:pPr>
                  <w:r>
                    <w:rPr>
                      <w:rFonts w:hint="eastAsia"/>
                      <w:lang w:val="en-US" w:eastAsia="zh-CN"/>
                    </w:rPr>
                    <w:t>1.0</w:t>
                  </w:r>
                </w:p>
              </w:tc>
              <w:tc>
                <w:tcPr>
                  <w:tcW w:w="499" w:type="pct"/>
                  <w:vMerge w:val="continue"/>
                  <w:vAlign w:val="center"/>
                </w:tcPr>
                <w:p w14:paraId="2EDB4443">
                  <w:pPr>
                    <w:pStyle w:val="257"/>
                  </w:pPr>
                </w:p>
              </w:tc>
              <w:tc>
                <w:tcPr>
                  <w:tcW w:w="381" w:type="pct"/>
                  <w:vAlign w:val="center"/>
                </w:tcPr>
                <w:p w14:paraId="77FE6F70">
                  <w:pPr>
                    <w:pStyle w:val="257"/>
                    <w:rPr>
                      <w:rFonts w:hint="default" w:eastAsia="宋体"/>
                      <w:color w:val="000000"/>
                      <w:sz w:val="22"/>
                      <w:szCs w:val="22"/>
                      <w:lang w:val="en-US" w:eastAsia="zh-CN"/>
                    </w:rPr>
                  </w:pPr>
                  <w:r>
                    <w:rPr>
                      <w:rFonts w:hint="eastAsia"/>
                      <w:color w:val="000000"/>
                      <w:sz w:val="22"/>
                      <w:szCs w:val="22"/>
                      <w:lang w:val="en-US" w:eastAsia="zh-CN"/>
                    </w:rPr>
                    <w:t>12</w:t>
                  </w:r>
                </w:p>
              </w:tc>
              <w:tc>
                <w:tcPr>
                  <w:tcW w:w="381" w:type="pct"/>
                  <w:vAlign w:val="center"/>
                </w:tcPr>
                <w:p w14:paraId="17680118">
                  <w:pPr>
                    <w:pStyle w:val="257"/>
                    <w:rPr>
                      <w:rFonts w:hint="default" w:eastAsia="宋体"/>
                      <w:color w:val="000000"/>
                      <w:sz w:val="22"/>
                      <w:szCs w:val="22"/>
                      <w:lang w:val="en-US" w:eastAsia="zh-CN"/>
                    </w:rPr>
                  </w:pPr>
                  <w:r>
                    <w:rPr>
                      <w:rFonts w:hint="eastAsia"/>
                      <w:color w:val="000000"/>
                      <w:sz w:val="22"/>
                      <w:szCs w:val="22"/>
                      <w:lang w:val="en-US" w:eastAsia="zh-CN"/>
                    </w:rPr>
                    <w:t>33.4</w:t>
                  </w:r>
                </w:p>
              </w:tc>
              <w:tc>
                <w:tcPr>
                  <w:tcW w:w="381" w:type="pct"/>
                  <w:vAlign w:val="center"/>
                </w:tcPr>
                <w:p w14:paraId="5CB1855A">
                  <w:pPr>
                    <w:pStyle w:val="257"/>
                  </w:pPr>
                  <w:r>
                    <w:rPr>
                      <w:rFonts w:hint="eastAsia"/>
                    </w:rPr>
                    <w:t>昼</w:t>
                  </w:r>
                </w:p>
              </w:tc>
              <w:tc>
                <w:tcPr>
                  <w:tcW w:w="375" w:type="pct"/>
                  <w:vAlign w:val="center"/>
                </w:tcPr>
                <w:p w14:paraId="4FE1507F">
                  <w:pPr>
                    <w:pStyle w:val="257"/>
                  </w:pPr>
                  <w:r>
                    <w:rPr>
                      <w:rFonts w:hint="eastAsia"/>
                    </w:rPr>
                    <w:t>~</w:t>
                  </w:r>
                  <w:r>
                    <w:t>20</w:t>
                  </w:r>
                </w:p>
              </w:tc>
            </w:tr>
          </w:tbl>
          <w:p w14:paraId="12C0FD4F">
            <w:pPr>
              <w:pStyle w:val="56"/>
              <w:numPr>
                <w:ilvl w:val="0"/>
                <w:numId w:val="0"/>
              </w:numPr>
              <w:spacing w:before="120"/>
              <w:ind w:left="3150" w:leftChars="0"/>
              <w:jc w:val="both"/>
              <w:rPr>
                <w:rFonts w:ascii="Times New Roman" w:hAnsi="Times New Roman" w:cs="Times New Roman"/>
                <w:szCs w:val="22"/>
              </w:rPr>
            </w:pPr>
            <w:r>
              <w:rPr>
                <w:rFonts w:hint="eastAsia" w:ascii="Times New Roman" w:hAnsi="Times New Roman" w:cs="Times New Roman"/>
                <w:lang w:val="en-US" w:eastAsia="zh-CN"/>
              </w:rPr>
              <w:t xml:space="preserve">表35 </w:t>
            </w:r>
            <w:r>
              <w:rPr>
                <w:rFonts w:ascii="Times New Roman" w:hAnsi="Times New Roman" w:cs="Times New Roman"/>
              </w:rPr>
              <w:t>工业企业噪声源强调查清单（室外声源）</w:t>
            </w:r>
          </w:p>
          <w:tbl>
            <w:tblPr>
              <w:tblStyle w:val="48"/>
              <w:tblW w:w="8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380"/>
              <w:gridCol w:w="964"/>
              <w:gridCol w:w="825"/>
              <w:gridCol w:w="826"/>
              <w:gridCol w:w="826"/>
              <w:gridCol w:w="744"/>
              <w:gridCol w:w="1198"/>
            </w:tblGrid>
            <w:tr w14:paraId="2A81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582" w:type="dxa"/>
                  <w:vMerge w:val="restart"/>
                  <w:vAlign w:val="center"/>
                </w:tcPr>
                <w:p w14:paraId="3BD2E3A5">
                  <w:pPr>
                    <w:pStyle w:val="257"/>
                  </w:pPr>
                  <w:r>
                    <w:t>声源名称</w:t>
                  </w:r>
                </w:p>
              </w:tc>
              <w:tc>
                <w:tcPr>
                  <w:tcW w:w="2344" w:type="dxa"/>
                  <w:gridSpan w:val="2"/>
                  <w:vAlign w:val="center"/>
                </w:tcPr>
                <w:p w14:paraId="000266E5">
                  <w:pPr>
                    <w:pStyle w:val="257"/>
                  </w:pPr>
                  <w:r>
                    <w:t>声源源强</w:t>
                  </w:r>
                </w:p>
              </w:tc>
              <w:tc>
                <w:tcPr>
                  <w:tcW w:w="2477" w:type="dxa"/>
                  <w:gridSpan w:val="3"/>
                  <w:vAlign w:val="center"/>
                </w:tcPr>
                <w:p w14:paraId="1AA1EB55">
                  <w:pPr>
                    <w:pStyle w:val="257"/>
                  </w:pPr>
                  <w:r>
                    <w:t>空间相对位置m</w:t>
                  </w:r>
                </w:p>
              </w:tc>
              <w:tc>
                <w:tcPr>
                  <w:tcW w:w="744" w:type="dxa"/>
                  <w:vMerge w:val="restart"/>
                  <w:vAlign w:val="center"/>
                </w:tcPr>
                <w:p w14:paraId="7E89175A">
                  <w:pPr>
                    <w:pStyle w:val="257"/>
                  </w:pPr>
                  <w:r>
                    <w:t>运行时段</w:t>
                  </w:r>
                </w:p>
              </w:tc>
              <w:tc>
                <w:tcPr>
                  <w:tcW w:w="1198" w:type="dxa"/>
                  <w:vMerge w:val="restart"/>
                  <w:vAlign w:val="center"/>
                </w:tcPr>
                <w:p w14:paraId="79394E9B">
                  <w:pPr>
                    <w:pStyle w:val="257"/>
                  </w:pPr>
                  <w:r>
                    <w:t>声源控制措施</w:t>
                  </w:r>
                </w:p>
              </w:tc>
            </w:tr>
            <w:tr w14:paraId="14E8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582" w:type="dxa"/>
                  <w:vMerge w:val="continue"/>
                  <w:vAlign w:val="center"/>
                </w:tcPr>
                <w:p w14:paraId="334E43CB">
                  <w:pPr>
                    <w:pStyle w:val="257"/>
                  </w:pPr>
                </w:p>
              </w:tc>
              <w:tc>
                <w:tcPr>
                  <w:tcW w:w="1380" w:type="dxa"/>
                  <w:vAlign w:val="center"/>
                </w:tcPr>
                <w:p w14:paraId="702CAFE7">
                  <w:pPr>
                    <w:pStyle w:val="257"/>
                  </w:pPr>
                  <w:r>
                    <w:t>（声压级/（dB（A））</w:t>
                  </w:r>
                </w:p>
              </w:tc>
              <w:tc>
                <w:tcPr>
                  <w:tcW w:w="964" w:type="dxa"/>
                  <w:vAlign w:val="center"/>
                </w:tcPr>
                <w:p w14:paraId="69BDDF24">
                  <w:pPr>
                    <w:pStyle w:val="257"/>
                  </w:pPr>
                  <w:r>
                    <w:t>距声源距离/m</w:t>
                  </w:r>
                </w:p>
              </w:tc>
              <w:tc>
                <w:tcPr>
                  <w:tcW w:w="825" w:type="dxa"/>
                  <w:vAlign w:val="center"/>
                </w:tcPr>
                <w:p w14:paraId="17AFFF41">
                  <w:pPr>
                    <w:pStyle w:val="257"/>
                  </w:pPr>
                  <w:r>
                    <w:t>X</w:t>
                  </w:r>
                </w:p>
              </w:tc>
              <w:tc>
                <w:tcPr>
                  <w:tcW w:w="826" w:type="dxa"/>
                  <w:vAlign w:val="center"/>
                </w:tcPr>
                <w:p w14:paraId="30883386">
                  <w:pPr>
                    <w:pStyle w:val="257"/>
                  </w:pPr>
                  <w:r>
                    <w:t>Y</w:t>
                  </w:r>
                </w:p>
              </w:tc>
              <w:tc>
                <w:tcPr>
                  <w:tcW w:w="826" w:type="dxa"/>
                  <w:vAlign w:val="center"/>
                </w:tcPr>
                <w:p w14:paraId="4801D333">
                  <w:pPr>
                    <w:pStyle w:val="257"/>
                  </w:pPr>
                  <w:r>
                    <w:t>Z</w:t>
                  </w:r>
                </w:p>
              </w:tc>
              <w:tc>
                <w:tcPr>
                  <w:tcW w:w="744" w:type="dxa"/>
                  <w:vMerge w:val="continue"/>
                  <w:vAlign w:val="center"/>
                </w:tcPr>
                <w:p w14:paraId="2FFFC5A2">
                  <w:pPr>
                    <w:pStyle w:val="257"/>
                  </w:pPr>
                </w:p>
              </w:tc>
              <w:tc>
                <w:tcPr>
                  <w:tcW w:w="1198" w:type="dxa"/>
                  <w:vMerge w:val="continue"/>
                  <w:vAlign w:val="center"/>
                </w:tcPr>
                <w:p w14:paraId="646669C0">
                  <w:pPr>
                    <w:pStyle w:val="257"/>
                  </w:pPr>
                </w:p>
              </w:tc>
            </w:tr>
            <w:tr w14:paraId="4C12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582" w:type="dxa"/>
                  <w:vAlign w:val="center"/>
                </w:tcPr>
                <w:p w14:paraId="0E1145FB">
                  <w:pPr>
                    <w:pStyle w:val="257"/>
                  </w:pPr>
                  <w:r>
                    <w:rPr>
                      <w:rFonts w:hint="eastAsia"/>
                      <w:lang w:val="en-US" w:eastAsia="zh-CN"/>
                    </w:rPr>
                    <w:t>废气</w:t>
                  </w:r>
                  <w:r>
                    <w:t>处理设施引风机</w:t>
                  </w:r>
                </w:p>
              </w:tc>
              <w:tc>
                <w:tcPr>
                  <w:tcW w:w="1380" w:type="dxa"/>
                  <w:vAlign w:val="center"/>
                </w:tcPr>
                <w:p w14:paraId="1EE73F99">
                  <w:pPr>
                    <w:pStyle w:val="257"/>
                  </w:pPr>
                  <w:r>
                    <w:t>85</w:t>
                  </w:r>
                </w:p>
              </w:tc>
              <w:tc>
                <w:tcPr>
                  <w:tcW w:w="964" w:type="dxa"/>
                  <w:vAlign w:val="center"/>
                </w:tcPr>
                <w:p w14:paraId="662FDB07">
                  <w:pPr>
                    <w:pStyle w:val="257"/>
                  </w:pPr>
                  <w:r>
                    <w:t>0.5</w:t>
                  </w:r>
                </w:p>
              </w:tc>
              <w:tc>
                <w:tcPr>
                  <w:tcW w:w="825" w:type="dxa"/>
                  <w:vAlign w:val="center"/>
                </w:tcPr>
                <w:p w14:paraId="276CFD31">
                  <w:pPr>
                    <w:pStyle w:val="257"/>
                    <w:rPr>
                      <w:rFonts w:hint="default" w:eastAsia="宋体"/>
                      <w:lang w:val="en-US" w:eastAsia="zh-CN"/>
                    </w:rPr>
                  </w:pPr>
                  <w:r>
                    <w:rPr>
                      <w:rFonts w:hint="eastAsia"/>
                      <w:lang w:val="en-US" w:eastAsia="zh-CN"/>
                    </w:rPr>
                    <w:t>8</w:t>
                  </w:r>
                </w:p>
              </w:tc>
              <w:tc>
                <w:tcPr>
                  <w:tcW w:w="826" w:type="dxa"/>
                  <w:vAlign w:val="center"/>
                </w:tcPr>
                <w:p w14:paraId="5D000FD7">
                  <w:pPr>
                    <w:pStyle w:val="257"/>
                    <w:rPr>
                      <w:rFonts w:hint="default" w:eastAsia="宋体"/>
                      <w:lang w:val="en-US" w:eastAsia="zh-CN"/>
                    </w:rPr>
                  </w:pPr>
                  <w:r>
                    <w:rPr>
                      <w:rFonts w:hint="eastAsia"/>
                      <w:lang w:val="en-US" w:eastAsia="zh-CN"/>
                    </w:rPr>
                    <w:t>32</w:t>
                  </w:r>
                </w:p>
              </w:tc>
              <w:tc>
                <w:tcPr>
                  <w:tcW w:w="826" w:type="dxa"/>
                  <w:vAlign w:val="center"/>
                </w:tcPr>
                <w:p w14:paraId="47C9D4E9">
                  <w:pPr>
                    <w:pStyle w:val="257"/>
                  </w:pPr>
                  <w:r>
                    <w:t>0.5</w:t>
                  </w:r>
                </w:p>
              </w:tc>
              <w:tc>
                <w:tcPr>
                  <w:tcW w:w="744" w:type="dxa"/>
                  <w:vAlign w:val="center"/>
                </w:tcPr>
                <w:p w14:paraId="07ED3958">
                  <w:pPr>
                    <w:pStyle w:val="257"/>
                  </w:pPr>
                  <w:r>
                    <w:t>昼</w:t>
                  </w:r>
                </w:p>
              </w:tc>
              <w:tc>
                <w:tcPr>
                  <w:tcW w:w="1198" w:type="dxa"/>
                  <w:vAlign w:val="center"/>
                </w:tcPr>
                <w:p w14:paraId="643E152E">
                  <w:pPr>
                    <w:pStyle w:val="257"/>
                  </w:pPr>
                  <w:r>
                    <w:t>基础减振、隔声罩</w:t>
                  </w:r>
                </w:p>
              </w:tc>
            </w:tr>
          </w:tbl>
          <w:p w14:paraId="4F46E7CC">
            <w:pPr>
              <w:pStyle w:val="261"/>
              <w:ind w:firstLine="240"/>
            </w:pPr>
            <w:r>
              <w:rPr>
                <w:rFonts w:hint="eastAsia"/>
              </w:rPr>
              <w:t>3.2预测</w:t>
            </w:r>
            <w:r>
              <w:t>模式</w:t>
            </w:r>
          </w:p>
          <w:p w14:paraId="435FA3E3">
            <w:pPr>
              <w:pStyle w:val="144"/>
            </w:pPr>
            <w:r>
              <w:t>预测模式采用《环境影响评价技术导则</w:t>
            </w:r>
            <w:r>
              <w:rPr>
                <w:rFonts w:hint="eastAsia"/>
              </w:rPr>
              <w:t>——</w:t>
            </w:r>
            <w:r>
              <w:t>声环境》(HJ2.4-2021)中推荐的</w:t>
            </w:r>
            <w:r>
              <w:rPr>
                <w:rFonts w:hint="eastAsia"/>
              </w:rPr>
              <w:t>工业</w:t>
            </w:r>
            <w:r>
              <w:t>噪声预测计算模型。噪声在传播过程中受到多种因素的干扰，使其产生衰减，根据建设项目噪声源和环境特征，预测过程中考虑了建筑物的屏障作用、空气吸收。</w:t>
            </w:r>
          </w:p>
          <w:p w14:paraId="409089CD">
            <w:pPr>
              <w:pStyle w:val="108"/>
              <w:spacing w:before="120" w:after="120"/>
              <w:ind w:firstLine="480"/>
            </w:pPr>
            <w:r>
              <w:rPr>
                <w:rFonts w:hint="eastAsia"/>
              </w:rPr>
              <w:t>（1）室内声源等效为</w:t>
            </w:r>
            <w:r>
              <w:t>室外声源</w:t>
            </w:r>
          </w:p>
          <w:p w14:paraId="330EBF27">
            <w:pPr>
              <w:pStyle w:val="144"/>
            </w:pPr>
            <w:r>
              <w:rPr>
                <w:rFonts w:hint="eastAsia" w:ascii="宋体" w:hAnsi="宋体"/>
              </w:rPr>
              <w:t>①</w:t>
            </w:r>
            <w:r>
              <w:rPr>
                <w:rFonts w:hint="eastAsia"/>
              </w:rPr>
              <w:t>声源位于室内，室内声源可采用等效室外声源声功率级法进行计算。某一室内声源靠近围护结构处产生的倍频带声压级或A 声级：</w:t>
            </w:r>
          </w:p>
          <w:p w14:paraId="29FA3DA7">
            <w:pPr>
              <w:adjustRightInd w:val="0"/>
              <w:spacing w:line="360" w:lineRule="auto"/>
              <w:ind w:left="23" w:leftChars="11" w:firstLine="420" w:firstLineChars="200"/>
              <w:rPr>
                <w:color w:val="000000"/>
              </w:rPr>
            </w:pPr>
            <w:r>
              <w:drawing>
                <wp:inline distT="0" distB="0" distL="0" distR="0">
                  <wp:extent cx="2138680" cy="58039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138680" cy="580390"/>
                          </a:xfrm>
                          <a:prstGeom prst="rect">
                            <a:avLst/>
                          </a:prstGeom>
                          <a:noFill/>
                          <a:ln>
                            <a:noFill/>
                          </a:ln>
                        </pic:spPr>
                      </pic:pic>
                    </a:graphicData>
                  </a:graphic>
                </wp:inline>
              </w:drawing>
            </w:r>
          </w:p>
          <w:p w14:paraId="1D7DF61E">
            <w:pPr>
              <w:pStyle w:val="144"/>
              <w:rPr>
                <w:color w:val="000000"/>
              </w:rPr>
            </w:pPr>
            <w:r>
              <w:rPr>
                <w:rFonts w:hint="eastAsia"/>
              </w:rPr>
              <w:t>式中：</w:t>
            </w:r>
            <w:r>
              <w:t>L</w:t>
            </w:r>
            <w:r>
              <w:rPr>
                <w:vertAlign w:val="subscript"/>
              </w:rPr>
              <w:t>p1</w:t>
            </w:r>
            <w:r>
              <w:t>——</w:t>
            </w:r>
            <w:r>
              <w:rPr>
                <w:rFonts w:hint="eastAsia"/>
              </w:rPr>
              <w:t>靠近开口处（或窗户）室内某倍频带的声压级或</w:t>
            </w:r>
            <w:r>
              <w:t>A</w:t>
            </w:r>
            <w:r>
              <w:rPr>
                <w:rFonts w:hint="eastAsia"/>
              </w:rPr>
              <w:t>声级，</w:t>
            </w:r>
            <w:r>
              <w:t>dB</w:t>
            </w:r>
            <w:r>
              <w:rPr>
                <w:rFonts w:hint="eastAsia"/>
              </w:rPr>
              <w:t>；</w:t>
            </w:r>
            <w:r>
              <w:t>L</w:t>
            </w:r>
            <w:r>
              <w:rPr>
                <w:vertAlign w:val="subscript"/>
              </w:rPr>
              <w:t>w</w:t>
            </w:r>
            <w:r>
              <w:t>——</w:t>
            </w:r>
            <w:r>
              <w:rPr>
                <w:rFonts w:hint="eastAsia"/>
              </w:rPr>
              <w:t>点声源声功率级（</w:t>
            </w:r>
            <w:r>
              <w:t xml:space="preserve">A </w:t>
            </w:r>
            <w:r>
              <w:rPr>
                <w:rFonts w:hint="eastAsia"/>
              </w:rPr>
              <w:t>计权或倍频带），</w:t>
            </w:r>
            <w:r>
              <w:t>dB</w:t>
            </w:r>
            <w:r>
              <w:rPr>
                <w:rFonts w:hint="eastAsia"/>
              </w:rPr>
              <w:t>；</w:t>
            </w:r>
            <w:r>
              <w:t>Q——</w:t>
            </w:r>
            <w:r>
              <w:rPr>
                <w:rFonts w:hint="eastAsia"/>
              </w:rPr>
              <w:t>指向性因数；通常对无指向性声源，当声源放在房间中心时，</w:t>
            </w:r>
            <w:r>
              <w:t>Q=1</w:t>
            </w:r>
            <w:r>
              <w:rPr>
                <w:rFonts w:hint="eastAsia"/>
              </w:rPr>
              <w:t>；当放在一面墙的中心时，</w:t>
            </w:r>
            <w:r>
              <w:t>Q=2</w:t>
            </w:r>
            <w:r>
              <w:rPr>
                <w:rFonts w:hint="eastAsia"/>
              </w:rPr>
              <w:t>；当放在两面墙夹角处时，</w:t>
            </w:r>
            <w:r>
              <w:t>Q=4</w:t>
            </w:r>
            <w:r>
              <w:rPr>
                <w:rFonts w:hint="eastAsia"/>
              </w:rPr>
              <w:t>；当放在三面墙夹角处时，</w:t>
            </w:r>
            <w:r>
              <w:t>Q=8</w:t>
            </w:r>
            <w:r>
              <w:rPr>
                <w:rFonts w:hint="eastAsia"/>
              </w:rPr>
              <w:t>；</w:t>
            </w:r>
            <w:r>
              <w:t>R——</w:t>
            </w:r>
            <w:r>
              <w:rPr>
                <w:rFonts w:hint="eastAsia"/>
              </w:rPr>
              <w:t>房间常数；R=S</w:t>
            </w:r>
            <w:r>
              <w:t>α/(1-α)</w:t>
            </w:r>
            <w:r>
              <w:rPr>
                <w:rFonts w:hint="eastAsia"/>
              </w:rPr>
              <w:t>，</w:t>
            </w:r>
            <w:r>
              <w:t>S</w:t>
            </w:r>
            <w:r>
              <w:rPr>
                <w:rFonts w:hint="eastAsia"/>
              </w:rPr>
              <w:t>为房间内表面面积，</w:t>
            </w:r>
            <w:r>
              <w:t>m</w:t>
            </w:r>
            <w:r>
              <w:rPr>
                <w:vertAlign w:val="superscript"/>
              </w:rPr>
              <w:t>2</w:t>
            </w:r>
            <w:r>
              <w:rPr>
                <w:rFonts w:hint="eastAsia"/>
              </w:rPr>
              <w:t>；</w:t>
            </w:r>
            <w:r>
              <w:t>α</w:t>
            </w:r>
            <w:r>
              <w:rPr>
                <w:rFonts w:hint="eastAsia"/>
              </w:rPr>
              <w:t>为平均吸声系数（根据《机械工业厂房建筑设计规范》（GB50681-2011）的相关内容“13.1.5：在板式结构的屏蔽室内，钢板的吸声系数约为0.01，房间的平均吸声系数为0.015～0.025），本项目</w:t>
            </w:r>
            <w:r>
              <w:t>取</w:t>
            </w:r>
            <w:r>
              <w:rPr>
                <w:rFonts w:hint="eastAsia"/>
              </w:rPr>
              <w:t>均值0.02。</w:t>
            </w:r>
            <w:r>
              <w:t>r——</w:t>
            </w:r>
            <w:r>
              <w:rPr>
                <w:rFonts w:hint="eastAsia"/>
              </w:rPr>
              <w:t>声源到靠近围护结构某点处的距离，</w:t>
            </w:r>
            <w:r>
              <w:t>m</w:t>
            </w:r>
            <w:r>
              <w:rPr>
                <w:rFonts w:hint="eastAsia"/>
              </w:rPr>
              <w:t>。</w:t>
            </w:r>
          </w:p>
          <w:p w14:paraId="69B7C125">
            <w:pPr>
              <w:pStyle w:val="144"/>
            </w:pPr>
            <w:r>
              <w:rPr>
                <w:rFonts w:hint="eastAsia" w:ascii="宋体" w:hAnsi="宋体"/>
              </w:rPr>
              <w:t>②</w:t>
            </w:r>
            <w:r>
              <w:rPr>
                <w:rFonts w:hint="eastAsia"/>
              </w:rPr>
              <w:t>所有室内声源在围护结构处产生的i 倍频带叠加声压级：</w:t>
            </w:r>
          </w:p>
          <w:p w14:paraId="3BC6CF71">
            <w:pPr>
              <w:pStyle w:val="144"/>
            </w:pPr>
            <w:r>
              <w:drawing>
                <wp:inline distT="0" distB="0" distL="0" distR="0">
                  <wp:extent cx="1844675" cy="540385"/>
                  <wp:effectExtent l="0" t="0" r="317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844675" cy="540385"/>
                          </a:xfrm>
                          <a:prstGeom prst="rect">
                            <a:avLst/>
                          </a:prstGeom>
                          <a:noFill/>
                          <a:ln>
                            <a:noFill/>
                          </a:ln>
                        </pic:spPr>
                      </pic:pic>
                    </a:graphicData>
                  </a:graphic>
                </wp:inline>
              </w:drawing>
            </w:r>
          </w:p>
          <w:p w14:paraId="47C7963D">
            <w:pPr>
              <w:pStyle w:val="144"/>
            </w:pPr>
            <w:r>
              <w:rPr>
                <w:rFonts w:hint="eastAsia"/>
              </w:rPr>
              <w:t>其中L</w:t>
            </w:r>
            <w:r>
              <w:rPr>
                <w:rFonts w:hint="eastAsia"/>
                <w:vertAlign w:val="subscript"/>
              </w:rPr>
              <w:t>p1i</w:t>
            </w:r>
            <w:r>
              <w:rPr>
                <w:rFonts w:hint="eastAsia"/>
              </w:rPr>
              <w:t>(T)</w:t>
            </w:r>
            <w:r>
              <w:t>——</w:t>
            </w:r>
            <w:r>
              <w:rPr>
                <w:rFonts w:hint="eastAsia"/>
              </w:rPr>
              <w:t>靠近围护结构处室内N 个声源i 倍频带的叠加声压级，dB；L</w:t>
            </w:r>
            <w:r>
              <w:rPr>
                <w:rFonts w:hint="eastAsia"/>
                <w:vertAlign w:val="subscript"/>
              </w:rPr>
              <w:t>p</w:t>
            </w:r>
            <w:r>
              <w:rPr>
                <w:vertAlign w:val="subscript"/>
              </w:rPr>
              <w:t>1i</w:t>
            </w:r>
            <w:r>
              <w:rPr>
                <w:rFonts w:hint="eastAsia"/>
                <w:vertAlign w:val="subscript"/>
              </w:rPr>
              <w:t>j</w:t>
            </w:r>
            <w:r>
              <w:t>——</w:t>
            </w:r>
            <w:r>
              <w:rPr>
                <w:rFonts w:hint="eastAsia"/>
              </w:rPr>
              <w:t>室内j 声源i 倍频带的声压级，dB；</w:t>
            </w:r>
            <w:r>
              <w:rPr>
                <w:szCs w:val="21"/>
              </w:rPr>
              <w:t>N——</w:t>
            </w:r>
            <w:r>
              <w:rPr>
                <w:rFonts w:hint="eastAsia" w:ascii="宋体" w:cs="宋体"/>
                <w:szCs w:val="21"/>
              </w:rPr>
              <w:t>室内声源总数。</w:t>
            </w:r>
          </w:p>
          <w:p w14:paraId="17C8522F">
            <w:pPr>
              <w:pStyle w:val="144"/>
            </w:pPr>
            <w:r>
              <w:rPr>
                <w:rFonts w:hint="eastAsia" w:ascii="宋体" w:hAnsi="宋体"/>
              </w:rPr>
              <w:t>③计算出靠近室外围护结构处的声压级:</w:t>
            </w:r>
          </w:p>
          <w:p w14:paraId="2766D645">
            <w:pPr>
              <w:pStyle w:val="144"/>
            </w:pPr>
            <w:r>
              <w:drawing>
                <wp:inline distT="0" distB="0" distL="0" distR="0">
                  <wp:extent cx="1932305" cy="294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932305" cy="294005"/>
                          </a:xfrm>
                          <a:prstGeom prst="rect">
                            <a:avLst/>
                          </a:prstGeom>
                          <a:noFill/>
                          <a:ln>
                            <a:noFill/>
                          </a:ln>
                        </pic:spPr>
                      </pic:pic>
                    </a:graphicData>
                  </a:graphic>
                </wp:inline>
              </w:drawing>
            </w:r>
          </w:p>
          <w:p w14:paraId="7EEDEDF7">
            <w:pPr>
              <w:pStyle w:val="144"/>
            </w:pPr>
            <w:r>
              <w:rPr>
                <w:rFonts w:hint="eastAsia"/>
              </w:rPr>
              <w:t>式中：</w:t>
            </w:r>
          </w:p>
          <w:p w14:paraId="235BFA8F">
            <w:pPr>
              <w:pStyle w:val="144"/>
            </w:pPr>
            <w:r>
              <w:t>L</w:t>
            </w:r>
            <w:r>
              <w:rPr>
                <w:vertAlign w:val="subscript"/>
              </w:rPr>
              <w:t>p2i</w:t>
            </w:r>
            <w:r>
              <w:rPr>
                <w:rFonts w:hint="eastAsia"/>
                <w:color w:val="000000"/>
              </w:rPr>
              <w:t>(T)</w:t>
            </w:r>
            <w:r>
              <w:t>——</w:t>
            </w:r>
            <w:r>
              <w:rPr>
                <w:rFonts w:hint="eastAsia"/>
              </w:rPr>
              <w:t>靠近围护结构处室外</w:t>
            </w:r>
            <w:r>
              <w:t>N</w:t>
            </w:r>
            <w:r>
              <w:rPr>
                <w:rFonts w:hint="eastAsia"/>
              </w:rPr>
              <w:t>个声源</w:t>
            </w:r>
            <w:r>
              <w:t>i</w:t>
            </w:r>
            <w:r>
              <w:rPr>
                <w:rFonts w:hint="eastAsia"/>
              </w:rPr>
              <w:t>倍频带的叠加声压级，</w:t>
            </w:r>
            <w:r>
              <w:t>dB</w:t>
            </w:r>
            <w:r>
              <w:rPr>
                <w:rFonts w:hint="eastAsia"/>
              </w:rPr>
              <w:t>；</w:t>
            </w:r>
            <w:r>
              <w:t>L</w:t>
            </w:r>
            <w:r>
              <w:rPr>
                <w:vertAlign w:val="subscript"/>
              </w:rPr>
              <w:t>p1i</w:t>
            </w:r>
            <w:r>
              <w:rPr>
                <w:rFonts w:hint="eastAsia"/>
                <w:color w:val="000000"/>
              </w:rPr>
              <w:t>(T)</w:t>
            </w:r>
            <w:r>
              <w:t>——</w:t>
            </w:r>
            <w:r>
              <w:rPr>
                <w:rFonts w:hint="eastAsia"/>
              </w:rPr>
              <w:t>靠近围护结构处室内</w:t>
            </w:r>
            <w:r>
              <w:t xml:space="preserve">N </w:t>
            </w:r>
            <w:r>
              <w:rPr>
                <w:rFonts w:hint="eastAsia"/>
              </w:rPr>
              <w:t>个声源</w:t>
            </w:r>
            <w:r>
              <w:t xml:space="preserve">i </w:t>
            </w:r>
            <w:r>
              <w:rPr>
                <w:rFonts w:hint="eastAsia"/>
              </w:rPr>
              <w:t>倍频带的叠加声压级，</w:t>
            </w:r>
            <w:r>
              <w:t>dB</w:t>
            </w:r>
            <w:r>
              <w:rPr>
                <w:rFonts w:hint="eastAsia"/>
              </w:rPr>
              <w:t>；</w:t>
            </w:r>
            <w:r>
              <w:t>TL</w:t>
            </w:r>
            <w:r>
              <w:rPr>
                <w:vertAlign w:val="subscript"/>
              </w:rPr>
              <w:t>i</w:t>
            </w:r>
            <w:r>
              <w:t>—</w:t>
            </w:r>
            <w:r>
              <w:rPr>
                <w:rFonts w:hint="eastAsia"/>
              </w:rPr>
              <w:t>围护结构</w:t>
            </w:r>
            <w:r>
              <w:t>i</w:t>
            </w:r>
            <w:r>
              <w:rPr>
                <w:rFonts w:hint="eastAsia"/>
              </w:rPr>
              <w:t>倍频带的隔声量，</w:t>
            </w:r>
            <w:r>
              <w:t>dB</w:t>
            </w:r>
            <w:r>
              <w:rPr>
                <w:rFonts w:hint="eastAsia"/>
              </w:rPr>
              <w:t>。根据《噪声与振动控制工程手册》（马大猷）P283，表 5.1-18，常用墙板隔声量图表，项目厂房隔声保守取单层1mm厚钢板的平均隔声量28dB，本项目</w:t>
            </w:r>
            <w:r>
              <w:t>保守取值</w:t>
            </w:r>
            <w:r>
              <w:rPr>
                <w:rFonts w:hint="eastAsia"/>
              </w:rPr>
              <w:t>20dB。</w:t>
            </w:r>
          </w:p>
          <w:p w14:paraId="2604DA30">
            <w:pPr>
              <w:pStyle w:val="144"/>
            </w:pPr>
            <w:r>
              <w:rPr>
                <w:rFonts w:hint="eastAsia" w:ascii="宋体" w:hAnsi="宋体"/>
              </w:rPr>
              <w:t>④</w:t>
            </w:r>
            <w:r>
              <w:rPr>
                <w:rFonts w:hint="eastAsia"/>
              </w:rPr>
              <w:t>将室外声源的声压级和透过面积换算成等效的室外声源</w:t>
            </w:r>
            <w:r>
              <w:t>：</w:t>
            </w:r>
          </w:p>
          <w:p w14:paraId="3311FED5">
            <w:pPr>
              <w:pStyle w:val="144"/>
            </w:pPr>
            <w:r>
              <w:rPr>
                <w:rFonts w:hint="eastAsia"/>
              </w:rPr>
              <w:t>L</w:t>
            </w:r>
            <w:r>
              <w:rPr>
                <w:rFonts w:hint="eastAsia"/>
                <w:vertAlign w:val="subscript"/>
              </w:rPr>
              <w:t>w</w:t>
            </w:r>
            <w:r>
              <w:t>=L</w:t>
            </w:r>
            <w:r>
              <w:rPr>
                <w:vertAlign w:val="subscript"/>
              </w:rPr>
              <w:t>p2</w:t>
            </w:r>
            <w:r>
              <w:t>(T)+10lgS</w:t>
            </w:r>
          </w:p>
          <w:p w14:paraId="43E151FA">
            <w:pPr>
              <w:pStyle w:val="144"/>
            </w:pPr>
            <w:r>
              <w:rPr>
                <w:rFonts w:hint="eastAsia"/>
              </w:rPr>
              <w:t>式中：</w:t>
            </w:r>
            <w:r>
              <w:t>L</w:t>
            </w:r>
            <w:r>
              <w:rPr>
                <w:vertAlign w:val="subscript"/>
              </w:rPr>
              <w:t>w</w:t>
            </w:r>
            <w:r>
              <w:t>——</w:t>
            </w:r>
            <w:r>
              <w:rPr>
                <w:rFonts w:hint="eastAsia"/>
              </w:rPr>
              <w:t>中心位置位于透声面积（</w:t>
            </w:r>
            <w:r>
              <w:t>S</w:t>
            </w:r>
            <w:r>
              <w:rPr>
                <w:rFonts w:hint="eastAsia"/>
              </w:rPr>
              <w:t>）处的等效声源的倍频带声功率级，</w:t>
            </w:r>
            <w:r>
              <w:t>dB</w:t>
            </w:r>
            <w:r>
              <w:rPr>
                <w:rFonts w:hint="eastAsia"/>
              </w:rPr>
              <w:t>；</w:t>
            </w:r>
            <w:r>
              <w:t>L</w:t>
            </w:r>
            <w:r>
              <w:rPr>
                <w:vertAlign w:val="subscript"/>
              </w:rPr>
              <w:t>p2</w:t>
            </w:r>
            <w:r>
              <w:t>(T)——</w:t>
            </w:r>
            <w:r>
              <w:rPr>
                <w:rFonts w:hint="eastAsia"/>
              </w:rPr>
              <w:t>靠近围护结构处室外声源的声压级，</w:t>
            </w:r>
            <w:r>
              <w:t>dB</w:t>
            </w:r>
            <w:r>
              <w:rPr>
                <w:rFonts w:hint="eastAsia"/>
              </w:rPr>
              <w:t>；</w:t>
            </w:r>
            <w:r>
              <w:t>S——</w:t>
            </w:r>
            <w:r>
              <w:rPr>
                <w:rFonts w:hint="eastAsia"/>
              </w:rPr>
              <w:t>透声面积，</w:t>
            </w:r>
            <w:r>
              <w:t>m</w:t>
            </w:r>
            <w:r>
              <w:rPr>
                <w:vertAlign w:val="superscript"/>
              </w:rPr>
              <w:t>2</w:t>
            </w:r>
            <w:r>
              <w:rPr>
                <w:rFonts w:hint="eastAsia"/>
              </w:rPr>
              <w:t>。</w:t>
            </w:r>
          </w:p>
          <w:p w14:paraId="587362F9">
            <w:pPr>
              <w:spacing w:line="360" w:lineRule="auto"/>
              <w:ind w:left="23" w:leftChars="11" w:firstLine="480" w:firstLineChars="200"/>
              <w:rPr>
                <w:b/>
                <w:color w:val="000000"/>
                <w:sz w:val="24"/>
              </w:rPr>
            </w:pPr>
            <w:r>
              <w:rPr>
                <w:rFonts w:hint="eastAsia" w:ascii="等线" w:hAnsi="等线" w:eastAsia="等线"/>
                <w:b/>
                <w:color w:val="000000"/>
                <w:sz w:val="24"/>
              </w:rPr>
              <w:t>（2）</w:t>
            </w:r>
            <w:r>
              <w:rPr>
                <w:rFonts w:hint="eastAsia" w:ascii="宋体" w:hAnsi="宋体" w:cs="宋体"/>
                <w:b/>
                <w:color w:val="000000"/>
                <w:sz w:val="24"/>
              </w:rPr>
              <w:t>室外点声源传播</w:t>
            </w:r>
          </w:p>
          <w:p w14:paraId="413A2218">
            <w:pPr>
              <w:spacing w:line="360" w:lineRule="auto"/>
              <w:ind w:left="23" w:leftChars="11" w:firstLine="480" w:firstLineChars="200"/>
              <w:rPr>
                <w:color w:val="000000"/>
                <w:sz w:val="24"/>
              </w:rPr>
            </w:pPr>
            <w:r>
              <w:rPr>
                <w:rFonts w:hint="eastAsia" w:ascii="宋体" w:hAnsi="宋体" w:cs="宋体"/>
                <w:color w:val="000000"/>
                <w:sz w:val="24"/>
              </w:rPr>
              <w:t>对于本项目，户外声传播衰减主要考虑几何发散（</w:t>
            </w:r>
            <w:r>
              <w:rPr>
                <w:color w:val="000000"/>
                <w:sz w:val="24"/>
              </w:rPr>
              <w:t>A</w:t>
            </w:r>
            <w:r>
              <w:rPr>
                <w:color w:val="000000"/>
                <w:sz w:val="24"/>
                <w:vertAlign w:val="subscript"/>
              </w:rPr>
              <w:t>div</w:t>
            </w:r>
            <w:r>
              <w:rPr>
                <w:rFonts w:hint="eastAsia" w:ascii="宋体" w:hAnsi="宋体" w:cs="宋体"/>
                <w:color w:val="000000"/>
                <w:sz w:val="24"/>
              </w:rPr>
              <w:t>）、大气吸收（</w:t>
            </w:r>
            <w:r>
              <w:rPr>
                <w:color w:val="000000"/>
                <w:sz w:val="24"/>
              </w:rPr>
              <w:t>A</w:t>
            </w:r>
            <w:r>
              <w:rPr>
                <w:color w:val="000000"/>
                <w:sz w:val="24"/>
                <w:vertAlign w:val="subscript"/>
              </w:rPr>
              <w:t>atm</w:t>
            </w:r>
            <w:r>
              <w:rPr>
                <w:rFonts w:hint="eastAsia" w:ascii="宋体" w:hAnsi="宋体" w:cs="宋体"/>
                <w:color w:val="000000"/>
                <w:sz w:val="24"/>
              </w:rPr>
              <w:t>）和围墙障碍物屏蔽（</w:t>
            </w:r>
            <w:r>
              <w:rPr>
                <w:color w:val="000000"/>
                <w:sz w:val="24"/>
              </w:rPr>
              <w:t>A</w:t>
            </w:r>
            <w:r>
              <w:rPr>
                <w:color w:val="000000"/>
                <w:sz w:val="24"/>
                <w:vertAlign w:val="subscript"/>
              </w:rPr>
              <w:t>bar</w:t>
            </w:r>
            <w:r>
              <w:rPr>
                <w:rFonts w:hint="eastAsia" w:ascii="宋体" w:hAnsi="宋体" w:cs="宋体"/>
                <w:color w:val="000000"/>
                <w:sz w:val="24"/>
              </w:rPr>
              <w:t>）引起的衰减。即</w:t>
            </w:r>
            <w:r>
              <w:rPr>
                <w:rFonts w:hint="eastAsia"/>
                <w:color w:val="000000"/>
                <w:sz w:val="24"/>
              </w:rPr>
              <w:t>L</w:t>
            </w:r>
            <w:r>
              <w:rPr>
                <w:color w:val="000000"/>
                <w:sz w:val="24"/>
              </w:rPr>
              <w:t>p(r)=Lw-A</w:t>
            </w:r>
            <w:r>
              <w:rPr>
                <w:color w:val="000000"/>
                <w:sz w:val="24"/>
                <w:vertAlign w:val="subscript"/>
              </w:rPr>
              <w:t>div</w:t>
            </w:r>
            <w:r>
              <w:rPr>
                <w:color w:val="000000"/>
                <w:sz w:val="24"/>
              </w:rPr>
              <w:t>-A</w:t>
            </w:r>
            <w:r>
              <w:rPr>
                <w:color w:val="000000"/>
                <w:sz w:val="24"/>
                <w:vertAlign w:val="subscript"/>
              </w:rPr>
              <w:t>atm</w:t>
            </w:r>
            <w:r>
              <w:rPr>
                <w:color w:val="000000"/>
                <w:sz w:val="24"/>
              </w:rPr>
              <w:t>-A</w:t>
            </w:r>
            <w:r>
              <w:rPr>
                <w:color w:val="000000"/>
                <w:sz w:val="24"/>
                <w:vertAlign w:val="subscript"/>
              </w:rPr>
              <w:t>bar</w:t>
            </w:r>
            <w:r>
              <w:rPr>
                <w:rFonts w:hint="eastAsia" w:ascii="宋体" w:hAnsi="宋体" w:cs="宋体"/>
                <w:color w:val="000000"/>
                <w:sz w:val="24"/>
                <w:vertAlign w:val="subscript"/>
              </w:rPr>
              <w:t>。</w:t>
            </w:r>
          </w:p>
          <w:p w14:paraId="60D144A6">
            <w:pPr>
              <w:spacing w:line="360" w:lineRule="auto"/>
              <w:ind w:left="23" w:leftChars="11" w:firstLine="480" w:firstLineChars="200"/>
              <w:rPr>
                <w:color w:val="000000"/>
                <w:kern w:val="0"/>
                <w:sz w:val="24"/>
              </w:rPr>
            </w:pPr>
            <w:r>
              <w:rPr>
                <w:rFonts w:hint="eastAsia" w:ascii="等线" w:hAnsi="等线" w:eastAsia="等线"/>
                <w:color w:val="000000"/>
                <w:sz w:val="24"/>
              </w:rPr>
              <w:t>①</w:t>
            </w:r>
            <w:r>
              <w:rPr>
                <w:rFonts w:hint="eastAsia" w:ascii="宋体" w:hAnsi="宋体" w:cs="宋体"/>
                <w:color w:val="000000"/>
                <w:sz w:val="24"/>
              </w:rPr>
              <w:t>几何发散衰减</w:t>
            </w:r>
            <w:r>
              <w:rPr>
                <w:rFonts w:hint="eastAsia"/>
                <w:color w:val="000000"/>
                <w:kern w:val="0"/>
                <w:sz w:val="24"/>
              </w:rPr>
              <w:t>A</w:t>
            </w:r>
            <w:r>
              <w:rPr>
                <w:color w:val="000000"/>
                <w:kern w:val="0"/>
                <w:sz w:val="24"/>
                <w:vertAlign w:val="subscript"/>
              </w:rPr>
              <w:t>div</w:t>
            </w:r>
            <w:r>
              <w:rPr>
                <w:rFonts w:hint="eastAsia" w:ascii="宋体" w:hAnsi="宋体" w:cs="宋体"/>
                <w:color w:val="000000"/>
                <w:kern w:val="0"/>
                <w:sz w:val="24"/>
              </w:rPr>
              <w:t>利用半自由声场点源衰减公式：</w:t>
            </w:r>
          </w:p>
          <w:p w14:paraId="17E27937">
            <w:pPr>
              <w:spacing w:line="360" w:lineRule="auto"/>
              <w:ind w:left="23" w:leftChars="11" w:firstLine="480" w:firstLineChars="200"/>
              <w:rPr>
                <w:color w:val="000000"/>
                <w:sz w:val="24"/>
                <w:lang w:val="it-IT"/>
              </w:rPr>
            </w:pPr>
            <w:r>
              <w:rPr>
                <w:color w:val="000000"/>
                <w:sz w:val="24"/>
                <w:lang w:val="it-IT"/>
              </w:rPr>
              <w:t>L</w:t>
            </w:r>
            <w:r>
              <w:rPr>
                <w:color w:val="000000"/>
                <w:sz w:val="24"/>
                <w:vertAlign w:val="subscript"/>
                <w:lang w:val="it-IT"/>
              </w:rPr>
              <w:t>A</w:t>
            </w:r>
            <w:r>
              <w:rPr>
                <w:color w:val="000000"/>
                <w:sz w:val="24"/>
              </w:rPr>
              <w:t>(r)</w:t>
            </w:r>
            <w:r>
              <w:rPr>
                <w:color w:val="000000"/>
                <w:sz w:val="24"/>
                <w:lang w:val="it-IT"/>
              </w:rPr>
              <w:t>=L</w:t>
            </w:r>
            <w:r>
              <w:rPr>
                <w:color w:val="000000"/>
                <w:sz w:val="24"/>
                <w:vertAlign w:val="subscript"/>
                <w:lang w:val="it-IT"/>
              </w:rPr>
              <w:t>A</w:t>
            </w:r>
            <w:r>
              <w:rPr>
                <w:color w:val="000000"/>
                <w:sz w:val="24"/>
                <w:lang w:val="it-IT"/>
              </w:rPr>
              <w:t>w</w:t>
            </w:r>
            <w:r>
              <w:rPr>
                <w:color w:val="000000"/>
                <w:sz w:val="24"/>
              </w:rPr>
              <w:sym w:font="Symbol" w:char="F02D"/>
            </w:r>
            <w:r>
              <w:rPr>
                <w:color w:val="000000"/>
                <w:sz w:val="24"/>
                <w:lang w:val="it-IT"/>
              </w:rPr>
              <w:t>20lgr</w:t>
            </w:r>
            <w:r>
              <w:rPr>
                <w:color w:val="000000"/>
                <w:sz w:val="24"/>
              </w:rPr>
              <w:sym w:font="Symbol" w:char="F02D"/>
            </w:r>
            <w:r>
              <w:rPr>
                <w:color w:val="000000"/>
                <w:sz w:val="24"/>
                <w:lang w:val="it-IT"/>
              </w:rPr>
              <w:t>8</w:t>
            </w:r>
          </w:p>
          <w:p w14:paraId="4C1B52A4">
            <w:pPr>
              <w:spacing w:line="360" w:lineRule="auto"/>
              <w:ind w:left="23" w:leftChars="11" w:firstLine="480" w:firstLineChars="200"/>
              <w:rPr>
                <w:rFonts w:ascii="宋体" w:hAnsi="宋体"/>
                <w:color w:val="000000"/>
                <w:sz w:val="24"/>
                <w:lang w:val="it-IT"/>
              </w:rPr>
            </w:pPr>
            <w:r>
              <w:rPr>
                <w:rFonts w:hint="eastAsia" w:ascii="宋体" w:hAnsi="宋体" w:cs="宋体"/>
                <w:color w:val="000000"/>
                <w:sz w:val="24"/>
              </w:rPr>
              <w:t>式中</w:t>
            </w:r>
            <w:r>
              <w:rPr>
                <w:rFonts w:hint="eastAsia" w:ascii="宋体" w:hAnsi="宋体" w:cs="宋体"/>
                <w:color w:val="000000"/>
                <w:sz w:val="24"/>
                <w:lang w:val="it-IT"/>
              </w:rPr>
              <w:t>：</w:t>
            </w:r>
            <w:r>
              <w:rPr>
                <w:rFonts w:hint="eastAsia"/>
                <w:color w:val="000000"/>
                <w:sz w:val="24"/>
                <w:lang w:val="it-IT"/>
              </w:rPr>
              <w:t xml:space="preserve"> L</w:t>
            </w:r>
            <w:r>
              <w:rPr>
                <w:rFonts w:hint="eastAsia"/>
                <w:color w:val="000000"/>
                <w:sz w:val="24"/>
                <w:vertAlign w:val="subscript"/>
                <w:lang w:val="it-IT"/>
              </w:rPr>
              <w:t>A</w:t>
            </w:r>
            <w:r>
              <w:rPr>
                <w:rFonts w:hint="eastAsia"/>
                <w:color w:val="000000"/>
                <w:sz w:val="24"/>
                <w:lang w:val="it-IT"/>
              </w:rPr>
              <w:t>(r)--</w:t>
            </w:r>
            <w:r>
              <w:rPr>
                <w:rFonts w:hint="eastAsia" w:ascii="宋体" w:hAnsi="宋体" w:cs="宋体"/>
                <w:color w:val="000000"/>
                <w:sz w:val="24"/>
              </w:rPr>
              <w:t>距声源</w:t>
            </w:r>
            <w:r>
              <w:rPr>
                <w:rFonts w:hint="eastAsia"/>
                <w:color w:val="000000"/>
                <w:sz w:val="24"/>
                <w:lang w:val="it-IT"/>
              </w:rPr>
              <w:t>r</w:t>
            </w:r>
            <w:r>
              <w:rPr>
                <w:rFonts w:hint="eastAsia" w:ascii="宋体" w:hAnsi="宋体" w:cs="宋体"/>
                <w:color w:val="000000"/>
                <w:sz w:val="24"/>
              </w:rPr>
              <w:t>处的</w:t>
            </w:r>
            <w:r>
              <w:rPr>
                <w:rFonts w:hint="eastAsia"/>
                <w:color w:val="000000"/>
                <w:sz w:val="24"/>
                <w:lang w:val="it-IT"/>
              </w:rPr>
              <w:t>A</w:t>
            </w:r>
            <w:r>
              <w:rPr>
                <w:rFonts w:hint="eastAsia" w:ascii="宋体" w:hAnsi="宋体" w:cs="宋体"/>
                <w:color w:val="000000"/>
                <w:sz w:val="24"/>
              </w:rPr>
              <w:t>声级</w:t>
            </w:r>
            <w:r>
              <w:rPr>
                <w:rFonts w:hint="eastAsia" w:ascii="宋体" w:hAnsi="宋体" w:cs="宋体"/>
                <w:color w:val="000000"/>
                <w:sz w:val="24"/>
                <w:lang w:val="it-IT"/>
              </w:rPr>
              <w:t>，</w:t>
            </w:r>
            <w:r>
              <w:rPr>
                <w:rFonts w:hint="eastAsia"/>
                <w:color w:val="000000"/>
                <w:sz w:val="24"/>
                <w:lang w:val="it-IT"/>
              </w:rPr>
              <w:t>dB(A)</w:t>
            </w:r>
            <w:r>
              <w:rPr>
                <w:rFonts w:hint="eastAsia" w:ascii="宋体" w:hAnsi="宋体" w:cs="宋体"/>
                <w:color w:val="000000"/>
                <w:sz w:val="24"/>
                <w:lang w:val="it-IT"/>
              </w:rPr>
              <w:t>；</w:t>
            </w:r>
            <w:r>
              <w:rPr>
                <w:rFonts w:hint="eastAsia"/>
                <w:color w:val="000000"/>
                <w:sz w:val="24"/>
                <w:lang w:val="it-IT"/>
              </w:rPr>
              <w:t>L</w:t>
            </w:r>
            <w:r>
              <w:rPr>
                <w:rFonts w:hint="eastAsia"/>
                <w:color w:val="000000"/>
                <w:sz w:val="24"/>
                <w:vertAlign w:val="subscript"/>
                <w:lang w:val="it-IT"/>
              </w:rPr>
              <w:t>Aw</w:t>
            </w:r>
            <w:r>
              <w:rPr>
                <w:rFonts w:hint="eastAsia"/>
                <w:color w:val="000000"/>
                <w:sz w:val="24"/>
                <w:lang w:val="it-IT"/>
              </w:rPr>
              <w:t>--</w:t>
            </w:r>
            <w:r>
              <w:rPr>
                <w:rFonts w:hint="eastAsia" w:ascii="宋体" w:hAnsi="宋体" w:cs="宋体"/>
                <w:color w:val="000000"/>
                <w:sz w:val="24"/>
              </w:rPr>
              <w:t>点声源</w:t>
            </w:r>
            <w:r>
              <w:rPr>
                <w:rFonts w:hint="eastAsia"/>
                <w:color w:val="000000"/>
                <w:sz w:val="24"/>
                <w:lang w:val="it-IT"/>
              </w:rPr>
              <w:t>A</w:t>
            </w:r>
            <w:r>
              <w:rPr>
                <w:rFonts w:hint="eastAsia" w:ascii="宋体" w:hAnsi="宋体" w:cs="宋体"/>
                <w:color w:val="000000"/>
                <w:sz w:val="24"/>
              </w:rPr>
              <w:t>计权声功率级</w:t>
            </w:r>
            <w:r>
              <w:rPr>
                <w:rFonts w:hint="eastAsia" w:ascii="宋体" w:hAnsi="宋体" w:cs="宋体"/>
                <w:color w:val="000000"/>
                <w:sz w:val="24"/>
                <w:lang w:val="it-IT"/>
              </w:rPr>
              <w:t>，</w:t>
            </w:r>
            <w:r>
              <w:rPr>
                <w:rFonts w:hint="eastAsia"/>
                <w:color w:val="000000"/>
                <w:sz w:val="24"/>
                <w:lang w:val="it-IT"/>
              </w:rPr>
              <w:t>dB</w:t>
            </w:r>
            <w:r>
              <w:rPr>
                <w:rFonts w:hint="eastAsia" w:ascii="宋体" w:hAnsi="宋体" w:cs="宋体"/>
                <w:color w:val="000000"/>
                <w:sz w:val="24"/>
                <w:lang w:val="it-IT"/>
              </w:rPr>
              <w:t>；</w:t>
            </w:r>
            <w:r>
              <w:rPr>
                <w:rFonts w:hint="eastAsia"/>
                <w:color w:val="000000"/>
                <w:sz w:val="24"/>
                <w:lang w:val="it-IT"/>
              </w:rPr>
              <w:t>r</w:t>
            </w:r>
            <w:r>
              <w:rPr>
                <w:color w:val="000000"/>
                <w:sz w:val="24"/>
                <w:lang w:val="it-IT"/>
              </w:rPr>
              <w:t>——</w:t>
            </w:r>
            <w:r>
              <w:rPr>
                <w:rFonts w:hint="eastAsia" w:ascii="宋体" w:hAnsi="宋体" w:cs="宋体"/>
                <w:color w:val="000000"/>
                <w:sz w:val="24"/>
              </w:rPr>
              <w:t>预测点距声源的距离。</w:t>
            </w:r>
          </w:p>
          <w:p w14:paraId="57947EEB">
            <w:pPr>
              <w:spacing w:line="360" w:lineRule="auto"/>
              <w:ind w:left="23" w:leftChars="11" w:firstLine="480" w:firstLineChars="200"/>
              <w:rPr>
                <w:color w:val="000000"/>
                <w:sz w:val="24"/>
              </w:rPr>
            </w:pPr>
            <w:r>
              <w:rPr>
                <w:rFonts w:hint="eastAsia" w:ascii="等线" w:hAnsi="等线" w:eastAsia="等线"/>
                <w:color w:val="000000"/>
                <w:sz w:val="24"/>
              </w:rPr>
              <w:t>②</w:t>
            </w:r>
            <w:r>
              <w:rPr>
                <w:rFonts w:hint="eastAsia" w:ascii="宋体" w:hAnsi="宋体" w:cs="宋体"/>
                <w:color w:val="000000"/>
                <w:sz w:val="24"/>
              </w:rPr>
              <w:t>空气吸收引起的衰减</w:t>
            </w:r>
            <w:r>
              <w:rPr>
                <w:rFonts w:hint="eastAsia"/>
                <w:color w:val="000000"/>
                <w:sz w:val="24"/>
              </w:rPr>
              <w:t>A</w:t>
            </w:r>
            <w:r>
              <w:rPr>
                <w:color w:val="000000"/>
                <w:sz w:val="24"/>
                <w:vertAlign w:val="subscript"/>
              </w:rPr>
              <w:t>atm</w:t>
            </w:r>
            <w:r>
              <w:rPr>
                <w:color w:val="000000"/>
                <w:sz w:val="24"/>
              </w:rPr>
              <w:t>=a</w:t>
            </w:r>
            <w:r>
              <w:rPr>
                <w:rFonts w:hint="eastAsia"/>
                <w:color w:val="000000"/>
                <w:sz w:val="24"/>
              </w:rPr>
              <w:t>(</w:t>
            </w:r>
            <w:r>
              <w:rPr>
                <w:color w:val="000000"/>
                <w:sz w:val="24"/>
              </w:rPr>
              <w:t>r</w:t>
            </w:r>
            <w:r>
              <w:rPr>
                <w:color w:val="000000"/>
                <w:sz w:val="24"/>
              </w:rPr>
              <w:sym w:font="Symbol" w:char="F02D"/>
            </w:r>
            <w:r>
              <w:rPr>
                <w:color w:val="000000"/>
                <w:sz w:val="24"/>
              </w:rPr>
              <w:t>r</w:t>
            </w:r>
            <w:r>
              <w:rPr>
                <w:color w:val="000000"/>
                <w:sz w:val="24"/>
                <w:vertAlign w:val="subscript"/>
              </w:rPr>
              <w:t>0</w:t>
            </w:r>
            <w:r>
              <w:rPr>
                <w:rFonts w:hint="eastAsia"/>
                <w:color w:val="000000"/>
                <w:sz w:val="24"/>
              </w:rPr>
              <w:t>)/</w:t>
            </w:r>
            <w:r>
              <w:rPr>
                <w:color w:val="000000"/>
                <w:sz w:val="24"/>
              </w:rPr>
              <w:t>1000</w:t>
            </w:r>
            <w:r>
              <w:rPr>
                <w:rFonts w:hint="eastAsia" w:ascii="宋体" w:hAnsi="宋体" w:cs="宋体"/>
                <w:color w:val="000000"/>
                <w:sz w:val="24"/>
              </w:rPr>
              <w:t>，式中：</w:t>
            </w:r>
            <w:r>
              <w:rPr>
                <w:color w:val="000000"/>
                <w:sz w:val="24"/>
              </w:rPr>
              <w:t>a</w:t>
            </w:r>
            <w:r>
              <w:rPr>
                <w:rFonts w:hint="eastAsia" w:ascii="宋体" w:hAnsi="宋体" w:cs="宋体"/>
                <w:color w:val="000000"/>
                <w:sz w:val="24"/>
              </w:rPr>
              <w:t>为温度、湿度和声波频率的函数，预测计算中一般根据建设项目所处区域常年平均气温和湿度选择相应的空气吸收系数，见下表。</w:t>
            </w:r>
          </w:p>
          <w:p w14:paraId="614812CB">
            <w:pPr>
              <w:pStyle w:val="56"/>
              <w:numPr>
                <w:ilvl w:val="0"/>
                <w:numId w:val="0"/>
              </w:numPr>
              <w:spacing w:before="120"/>
              <w:ind w:left="3150" w:leftChars="0"/>
              <w:jc w:val="both"/>
            </w:pPr>
            <w:r>
              <w:rPr>
                <w:rFonts w:hint="eastAsia"/>
                <w:lang w:val="en-US" w:eastAsia="zh-CN"/>
              </w:rPr>
              <w:t>表36</w:t>
            </w:r>
            <w:r>
              <w:t>倍频带噪声的大气吸收衰减系数</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133"/>
              <w:gridCol w:w="1077"/>
              <w:gridCol w:w="1038"/>
              <w:gridCol w:w="1134"/>
              <w:gridCol w:w="1038"/>
              <w:gridCol w:w="1039"/>
              <w:gridCol w:w="947"/>
            </w:tblGrid>
            <w:tr w14:paraId="67B9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3" w:type="pct"/>
                  <w:vMerge w:val="restart"/>
                  <w:vAlign w:val="center"/>
                </w:tcPr>
                <w:p w14:paraId="2F2711FA">
                  <w:pPr>
                    <w:jc w:val="center"/>
                    <w:rPr>
                      <w:color w:val="000000"/>
                      <w:szCs w:val="21"/>
                    </w:rPr>
                  </w:pPr>
                  <w:r>
                    <w:rPr>
                      <w:rFonts w:hint="eastAsia" w:ascii="宋体" w:hAnsi="宋体" w:cs="宋体"/>
                      <w:color w:val="000000"/>
                      <w:szCs w:val="21"/>
                    </w:rPr>
                    <w:t>温度</w:t>
                  </w:r>
                </w:p>
                <w:p w14:paraId="5D785F3B">
                  <w:pPr>
                    <w:jc w:val="center"/>
                    <w:rPr>
                      <w:color w:val="000000"/>
                      <w:szCs w:val="21"/>
                    </w:rPr>
                  </w:pPr>
                  <w:r>
                    <w:rPr>
                      <w:rFonts w:hint="eastAsia" w:ascii="宋体" w:hAnsi="宋体" w:cs="宋体"/>
                      <w:color w:val="000000"/>
                      <w:szCs w:val="21"/>
                    </w:rPr>
                    <w:t>℃</w:t>
                  </w:r>
                </w:p>
              </w:tc>
              <w:tc>
                <w:tcPr>
                  <w:tcW w:w="674" w:type="pct"/>
                  <w:vMerge w:val="restart"/>
                  <w:vAlign w:val="center"/>
                </w:tcPr>
                <w:p w14:paraId="4CA5AE74">
                  <w:pPr>
                    <w:jc w:val="center"/>
                    <w:rPr>
                      <w:color w:val="000000"/>
                      <w:szCs w:val="21"/>
                    </w:rPr>
                  </w:pPr>
                  <w:r>
                    <w:rPr>
                      <w:rFonts w:hint="eastAsia" w:ascii="宋体" w:hAnsi="宋体" w:cs="宋体"/>
                      <w:color w:val="000000"/>
                      <w:szCs w:val="21"/>
                    </w:rPr>
                    <w:t>相对湿度</w:t>
                  </w:r>
                </w:p>
                <w:p w14:paraId="1ADFA37C">
                  <w:pPr>
                    <w:jc w:val="center"/>
                    <w:rPr>
                      <w:color w:val="000000"/>
                      <w:szCs w:val="21"/>
                    </w:rPr>
                  </w:pPr>
                  <w:r>
                    <w:rPr>
                      <w:color w:val="000000"/>
                      <w:szCs w:val="21"/>
                    </w:rPr>
                    <w:t>%</w:t>
                  </w:r>
                </w:p>
              </w:tc>
              <w:tc>
                <w:tcPr>
                  <w:tcW w:w="3733" w:type="pct"/>
                  <w:gridSpan w:val="6"/>
                  <w:vAlign w:val="center"/>
                </w:tcPr>
                <w:p w14:paraId="69FA9A81">
                  <w:pPr>
                    <w:jc w:val="center"/>
                    <w:rPr>
                      <w:color w:val="000000"/>
                      <w:szCs w:val="21"/>
                    </w:rPr>
                  </w:pPr>
                  <w:r>
                    <w:rPr>
                      <w:rFonts w:hint="eastAsia" w:ascii="宋体" w:hAnsi="宋体" w:cs="宋体"/>
                      <w:color w:val="000000"/>
                      <w:szCs w:val="21"/>
                    </w:rPr>
                    <w:t>大气吸收衰减系数</w:t>
                  </w:r>
                  <w:r>
                    <w:rPr>
                      <w:color w:val="000000"/>
                      <w:szCs w:val="21"/>
                    </w:rPr>
                    <w:t>a</w:t>
                  </w:r>
                  <w:r>
                    <w:rPr>
                      <w:rFonts w:hint="eastAsia" w:ascii="宋体" w:hAnsi="宋体" w:cs="宋体"/>
                      <w:color w:val="000000"/>
                      <w:szCs w:val="21"/>
                    </w:rPr>
                    <w:t>，</w:t>
                  </w:r>
                  <w:r>
                    <w:rPr>
                      <w:color w:val="000000"/>
                      <w:szCs w:val="21"/>
                    </w:rPr>
                    <w:t>dB/km</w:t>
                  </w:r>
                  <w:r>
                    <w:rPr>
                      <w:rFonts w:hint="eastAsia" w:ascii="宋体" w:hAnsi="宋体" w:cs="宋体"/>
                      <w:color w:val="000000"/>
                      <w:szCs w:val="21"/>
                    </w:rPr>
                    <w:t>，倍频带中心频率</w:t>
                  </w:r>
                  <w:r>
                    <w:rPr>
                      <w:color w:val="000000"/>
                      <w:szCs w:val="21"/>
                    </w:rPr>
                    <w:t>Hz</w:t>
                  </w:r>
                </w:p>
              </w:tc>
            </w:tr>
            <w:tr w14:paraId="6BAD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3" w:type="pct"/>
                  <w:vMerge w:val="continue"/>
                  <w:vAlign w:val="center"/>
                </w:tcPr>
                <w:p w14:paraId="6A01E149">
                  <w:pPr>
                    <w:jc w:val="center"/>
                    <w:rPr>
                      <w:color w:val="000000"/>
                      <w:szCs w:val="21"/>
                    </w:rPr>
                  </w:pPr>
                </w:p>
              </w:tc>
              <w:tc>
                <w:tcPr>
                  <w:tcW w:w="674" w:type="pct"/>
                  <w:vMerge w:val="continue"/>
                  <w:vAlign w:val="center"/>
                </w:tcPr>
                <w:p w14:paraId="5063A3EE">
                  <w:pPr>
                    <w:jc w:val="center"/>
                    <w:rPr>
                      <w:color w:val="000000"/>
                      <w:szCs w:val="21"/>
                    </w:rPr>
                  </w:pPr>
                </w:p>
              </w:tc>
              <w:tc>
                <w:tcPr>
                  <w:tcW w:w="641" w:type="pct"/>
                  <w:vAlign w:val="center"/>
                </w:tcPr>
                <w:p w14:paraId="20B3B73F">
                  <w:pPr>
                    <w:jc w:val="center"/>
                    <w:rPr>
                      <w:color w:val="000000"/>
                      <w:szCs w:val="21"/>
                    </w:rPr>
                  </w:pPr>
                  <w:r>
                    <w:rPr>
                      <w:color w:val="000000"/>
                      <w:szCs w:val="21"/>
                    </w:rPr>
                    <w:t>63</w:t>
                  </w:r>
                </w:p>
              </w:tc>
              <w:tc>
                <w:tcPr>
                  <w:tcW w:w="618" w:type="pct"/>
                  <w:vAlign w:val="center"/>
                </w:tcPr>
                <w:p w14:paraId="1E1DD2DE">
                  <w:pPr>
                    <w:jc w:val="center"/>
                    <w:rPr>
                      <w:color w:val="000000"/>
                      <w:szCs w:val="21"/>
                    </w:rPr>
                  </w:pPr>
                  <w:r>
                    <w:rPr>
                      <w:color w:val="000000"/>
                      <w:szCs w:val="21"/>
                    </w:rPr>
                    <w:t>125</w:t>
                  </w:r>
                </w:p>
              </w:tc>
              <w:tc>
                <w:tcPr>
                  <w:tcW w:w="675" w:type="pct"/>
                  <w:vAlign w:val="center"/>
                </w:tcPr>
                <w:p w14:paraId="04C20D57">
                  <w:pPr>
                    <w:jc w:val="center"/>
                    <w:rPr>
                      <w:color w:val="000000"/>
                      <w:szCs w:val="21"/>
                    </w:rPr>
                  </w:pPr>
                  <w:r>
                    <w:rPr>
                      <w:color w:val="000000"/>
                      <w:szCs w:val="21"/>
                    </w:rPr>
                    <w:t>250</w:t>
                  </w:r>
                </w:p>
              </w:tc>
              <w:tc>
                <w:tcPr>
                  <w:tcW w:w="618" w:type="pct"/>
                  <w:vAlign w:val="center"/>
                </w:tcPr>
                <w:p w14:paraId="3808DC26">
                  <w:pPr>
                    <w:jc w:val="center"/>
                    <w:rPr>
                      <w:color w:val="000000"/>
                      <w:szCs w:val="21"/>
                    </w:rPr>
                  </w:pPr>
                  <w:r>
                    <w:rPr>
                      <w:color w:val="000000"/>
                      <w:szCs w:val="21"/>
                    </w:rPr>
                    <w:t>500</w:t>
                  </w:r>
                </w:p>
              </w:tc>
              <w:tc>
                <w:tcPr>
                  <w:tcW w:w="618" w:type="pct"/>
                  <w:vAlign w:val="center"/>
                </w:tcPr>
                <w:p w14:paraId="34DF64B5">
                  <w:pPr>
                    <w:jc w:val="center"/>
                    <w:rPr>
                      <w:color w:val="000000"/>
                      <w:szCs w:val="21"/>
                    </w:rPr>
                  </w:pPr>
                  <w:r>
                    <w:rPr>
                      <w:color w:val="000000"/>
                      <w:szCs w:val="21"/>
                    </w:rPr>
                    <w:t>1000</w:t>
                  </w:r>
                </w:p>
              </w:tc>
              <w:tc>
                <w:tcPr>
                  <w:tcW w:w="564" w:type="pct"/>
                  <w:vAlign w:val="center"/>
                </w:tcPr>
                <w:p w14:paraId="58113914">
                  <w:pPr>
                    <w:jc w:val="center"/>
                    <w:rPr>
                      <w:color w:val="000000"/>
                      <w:szCs w:val="21"/>
                    </w:rPr>
                  </w:pPr>
                  <w:r>
                    <w:rPr>
                      <w:color w:val="000000"/>
                      <w:szCs w:val="21"/>
                    </w:rPr>
                    <w:t>2000</w:t>
                  </w:r>
                </w:p>
              </w:tc>
            </w:tr>
            <w:tr w14:paraId="4992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3" w:type="pct"/>
                  <w:vAlign w:val="center"/>
                </w:tcPr>
                <w:p w14:paraId="52B7791B">
                  <w:pPr>
                    <w:jc w:val="center"/>
                    <w:rPr>
                      <w:color w:val="000000"/>
                      <w:szCs w:val="21"/>
                    </w:rPr>
                  </w:pPr>
                  <w:r>
                    <w:rPr>
                      <w:color w:val="000000"/>
                      <w:szCs w:val="21"/>
                    </w:rPr>
                    <w:t>10</w:t>
                  </w:r>
                </w:p>
              </w:tc>
              <w:tc>
                <w:tcPr>
                  <w:tcW w:w="674" w:type="pct"/>
                  <w:vAlign w:val="center"/>
                </w:tcPr>
                <w:p w14:paraId="436CCE6A">
                  <w:pPr>
                    <w:jc w:val="center"/>
                    <w:rPr>
                      <w:color w:val="000000"/>
                      <w:szCs w:val="21"/>
                    </w:rPr>
                  </w:pPr>
                  <w:r>
                    <w:rPr>
                      <w:color w:val="000000"/>
                      <w:szCs w:val="21"/>
                    </w:rPr>
                    <w:t>70</w:t>
                  </w:r>
                </w:p>
              </w:tc>
              <w:tc>
                <w:tcPr>
                  <w:tcW w:w="641" w:type="pct"/>
                  <w:vAlign w:val="center"/>
                </w:tcPr>
                <w:p w14:paraId="5742B395">
                  <w:pPr>
                    <w:jc w:val="center"/>
                    <w:rPr>
                      <w:color w:val="000000"/>
                      <w:szCs w:val="21"/>
                    </w:rPr>
                  </w:pPr>
                  <w:r>
                    <w:rPr>
                      <w:color w:val="000000"/>
                      <w:szCs w:val="21"/>
                    </w:rPr>
                    <w:t>0.1</w:t>
                  </w:r>
                </w:p>
              </w:tc>
              <w:tc>
                <w:tcPr>
                  <w:tcW w:w="618" w:type="pct"/>
                  <w:vAlign w:val="center"/>
                </w:tcPr>
                <w:p w14:paraId="57D6E0D2">
                  <w:pPr>
                    <w:jc w:val="center"/>
                    <w:rPr>
                      <w:color w:val="000000"/>
                      <w:szCs w:val="21"/>
                    </w:rPr>
                  </w:pPr>
                  <w:r>
                    <w:rPr>
                      <w:color w:val="000000"/>
                      <w:szCs w:val="21"/>
                    </w:rPr>
                    <w:t>0.4</w:t>
                  </w:r>
                </w:p>
              </w:tc>
              <w:tc>
                <w:tcPr>
                  <w:tcW w:w="675" w:type="pct"/>
                  <w:vAlign w:val="center"/>
                </w:tcPr>
                <w:p w14:paraId="385AF4E3">
                  <w:pPr>
                    <w:jc w:val="center"/>
                    <w:rPr>
                      <w:color w:val="000000"/>
                      <w:szCs w:val="21"/>
                    </w:rPr>
                  </w:pPr>
                  <w:r>
                    <w:rPr>
                      <w:color w:val="000000"/>
                      <w:szCs w:val="21"/>
                    </w:rPr>
                    <w:t>1.0</w:t>
                  </w:r>
                </w:p>
              </w:tc>
              <w:tc>
                <w:tcPr>
                  <w:tcW w:w="618" w:type="pct"/>
                  <w:vAlign w:val="center"/>
                </w:tcPr>
                <w:p w14:paraId="0178195B">
                  <w:pPr>
                    <w:jc w:val="center"/>
                    <w:rPr>
                      <w:color w:val="000000"/>
                      <w:szCs w:val="21"/>
                    </w:rPr>
                  </w:pPr>
                  <w:r>
                    <w:rPr>
                      <w:color w:val="000000"/>
                      <w:szCs w:val="21"/>
                    </w:rPr>
                    <w:t>1.9</w:t>
                  </w:r>
                </w:p>
              </w:tc>
              <w:tc>
                <w:tcPr>
                  <w:tcW w:w="618" w:type="pct"/>
                  <w:vAlign w:val="center"/>
                </w:tcPr>
                <w:p w14:paraId="36C5A8E5">
                  <w:pPr>
                    <w:jc w:val="center"/>
                    <w:rPr>
                      <w:color w:val="000000"/>
                      <w:szCs w:val="21"/>
                    </w:rPr>
                  </w:pPr>
                  <w:r>
                    <w:rPr>
                      <w:color w:val="000000"/>
                      <w:szCs w:val="21"/>
                    </w:rPr>
                    <w:t>3.7</w:t>
                  </w:r>
                </w:p>
              </w:tc>
              <w:tc>
                <w:tcPr>
                  <w:tcW w:w="564" w:type="pct"/>
                  <w:vAlign w:val="center"/>
                </w:tcPr>
                <w:p w14:paraId="6702786F">
                  <w:pPr>
                    <w:jc w:val="center"/>
                    <w:rPr>
                      <w:color w:val="000000"/>
                      <w:szCs w:val="21"/>
                    </w:rPr>
                  </w:pPr>
                  <w:r>
                    <w:rPr>
                      <w:color w:val="000000"/>
                      <w:szCs w:val="21"/>
                    </w:rPr>
                    <w:t>9.7</w:t>
                  </w:r>
                </w:p>
              </w:tc>
            </w:tr>
            <w:tr w14:paraId="0C00F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3" w:type="pct"/>
                  <w:vAlign w:val="center"/>
                </w:tcPr>
                <w:p w14:paraId="6D874512">
                  <w:pPr>
                    <w:jc w:val="center"/>
                    <w:rPr>
                      <w:color w:val="000000"/>
                      <w:szCs w:val="21"/>
                    </w:rPr>
                  </w:pPr>
                  <w:r>
                    <w:rPr>
                      <w:color w:val="000000"/>
                      <w:szCs w:val="21"/>
                    </w:rPr>
                    <w:t>20</w:t>
                  </w:r>
                </w:p>
              </w:tc>
              <w:tc>
                <w:tcPr>
                  <w:tcW w:w="674" w:type="pct"/>
                  <w:vAlign w:val="center"/>
                </w:tcPr>
                <w:p w14:paraId="49A48F8A">
                  <w:pPr>
                    <w:jc w:val="center"/>
                    <w:rPr>
                      <w:color w:val="000000"/>
                      <w:szCs w:val="21"/>
                    </w:rPr>
                  </w:pPr>
                  <w:r>
                    <w:rPr>
                      <w:color w:val="000000"/>
                      <w:szCs w:val="21"/>
                    </w:rPr>
                    <w:t>70</w:t>
                  </w:r>
                </w:p>
              </w:tc>
              <w:tc>
                <w:tcPr>
                  <w:tcW w:w="641" w:type="pct"/>
                  <w:vAlign w:val="center"/>
                </w:tcPr>
                <w:p w14:paraId="1E8C341C">
                  <w:pPr>
                    <w:jc w:val="center"/>
                    <w:rPr>
                      <w:color w:val="000000"/>
                      <w:szCs w:val="21"/>
                    </w:rPr>
                  </w:pPr>
                  <w:r>
                    <w:rPr>
                      <w:color w:val="000000"/>
                      <w:szCs w:val="21"/>
                    </w:rPr>
                    <w:t>0.1</w:t>
                  </w:r>
                </w:p>
              </w:tc>
              <w:tc>
                <w:tcPr>
                  <w:tcW w:w="618" w:type="pct"/>
                  <w:vAlign w:val="center"/>
                </w:tcPr>
                <w:p w14:paraId="147BD3F7">
                  <w:pPr>
                    <w:jc w:val="center"/>
                    <w:rPr>
                      <w:color w:val="000000"/>
                      <w:szCs w:val="21"/>
                    </w:rPr>
                  </w:pPr>
                  <w:r>
                    <w:rPr>
                      <w:color w:val="000000"/>
                      <w:szCs w:val="21"/>
                    </w:rPr>
                    <w:t>0.3</w:t>
                  </w:r>
                </w:p>
              </w:tc>
              <w:tc>
                <w:tcPr>
                  <w:tcW w:w="675" w:type="pct"/>
                  <w:vAlign w:val="center"/>
                </w:tcPr>
                <w:p w14:paraId="5D1EE51B">
                  <w:pPr>
                    <w:jc w:val="center"/>
                    <w:rPr>
                      <w:color w:val="000000"/>
                      <w:szCs w:val="21"/>
                    </w:rPr>
                  </w:pPr>
                  <w:r>
                    <w:rPr>
                      <w:color w:val="000000"/>
                      <w:szCs w:val="21"/>
                    </w:rPr>
                    <w:t>1.1</w:t>
                  </w:r>
                </w:p>
              </w:tc>
              <w:tc>
                <w:tcPr>
                  <w:tcW w:w="618" w:type="pct"/>
                  <w:vAlign w:val="center"/>
                </w:tcPr>
                <w:p w14:paraId="0C30036A">
                  <w:pPr>
                    <w:jc w:val="center"/>
                    <w:rPr>
                      <w:color w:val="000000"/>
                      <w:szCs w:val="21"/>
                    </w:rPr>
                  </w:pPr>
                  <w:r>
                    <w:rPr>
                      <w:color w:val="000000"/>
                      <w:szCs w:val="21"/>
                    </w:rPr>
                    <w:t>2.8</w:t>
                  </w:r>
                </w:p>
              </w:tc>
              <w:tc>
                <w:tcPr>
                  <w:tcW w:w="618" w:type="pct"/>
                  <w:vAlign w:val="center"/>
                </w:tcPr>
                <w:p w14:paraId="0839F6BA">
                  <w:pPr>
                    <w:jc w:val="center"/>
                    <w:rPr>
                      <w:color w:val="000000"/>
                      <w:szCs w:val="21"/>
                    </w:rPr>
                  </w:pPr>
                  <w:r>
                    <w:rPr>
                      <w:color w:val="000000"/>
                      <w:szCs w:val="21"/>
                    </w:rPr>
                    <w:t>5.0</w:t>
                  </w:r>
                </w:p>
              </w:tc>
              <w:tc>
                <w:tcPr>
                  <w:tcW w:w="564" w:type="pct"/>
                  <w:vAlign w:val="center"/>
                </w:tcPr>
                <w:p w14:paraId="72147041">
                  <w:pPr>
                    <w:jc w:val="center"/>
                    <w:rPr>
                      <w:color w:val="000000"/>
                      <w:szCs w:val="21"/>
                    </w:rPr>
                  </w:pPr>
                  <w:r>
                    <w:rPr>
                      <w:color w:val="000000"/>
                      <w:szCs w:val="21"/>
                    </w:rPr>
                    <w:t>9.0</w:t>
                  </w:r>
                </w:p>
              </w:tc>
            </w:tr>
            <w:tr w14:paraId="18ED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3" w:type="pct"/>
                  <w:vAlign w:val="center"/>
                </w:tcPr>
                <w:p w14:paraId="3217D2F2">
                  <w:pPr>
                    <w:jc w:val="center"/>
                    <w:rPr>
                      <w:color w:val="000000"/>
                      <w:szCs w:val="21"/>
                    </w:rPr>
                  </w:pPr>
                  <w:r>
                    <w:rPr>
                      <w:color w:val="000000"/>
                      <w:szCs w:val="21"/>
                    </w:rPr>
                    <w:t>30</w:t>
                  </w:r>
                </w:p>
              </w:tc>
              <w:tc>
                <w:tcPr>
                  <w:tcW w:w="674" w:type="pct"/>
                  <w:vAlign w:val="center"/>
                </w:tcPr>
                <w:p w14:paraId="45CD882A">
                  <w:pPr>
                    <w:jc w:val="center"/>
                    <w:rPr>
                      <w:color w:val="000000"/>
                      <w:szCs w:val="21"/>
                    </w:rPr>
                  </w:pPr>
                  <w:r>
                    <w:rPr>
                      <w:color w:val="000000"/>
                      <w:szCs w:val="21"/>
                    </w:rPr>
                    <w:t>70</w:t>
                  </w:r>
                </w:p>
              </w:tc>
              <w:tc>
                <w:tcPr>
                  <w:tcW w:w="641" w:type="pct"/>
                  <w:vAlign w:val="center"/>
                </w:tcPr>
                <w:p w14:paraId="17AFD46F">
                  <w:pPr>
                    <w:jc w:val="center"/>
                    <w:rPr>
                      <w:color w:val="000000"/>
                      <w:szCs w:val="21"/>
                    </w:rPr>
                  </w:pPr>
                  <w:r>
                    <w:rPr>
                      <w:color w:val="000000"/>
                      <w:szCs w:val="21"/>
                    </w:rPr>
                    <w:t>0.1</w:t>
                  </w:r>
                </w:p>
              </w:tc>
              <w:tc>
                <w:tcPr>
                  <w:tcW w:w="618" w:type="pct"/>
                  <w:vAlign w:val="center"/>
                </w:tcPr>
                <w:p w14:paraId="27A396EB">
                  <w:pPr>
                    <w:jc w:val="center"/>
                    <w:rPr>
                      <w:color w:val="000000"/>
                      <w:szCs w:val="21"/>
                    </w:rPr>
                  </w:pPr>
                  <w:r>
                    <w:rPr>
                      <w:color w:val="000000"/>
                      <w:szCs w:val="21"/>
                    </w:rPr>
                    <w:t>0.3</w:t>
                  </w:r>
                </w:p>
              </w:tc>
              <w:tc>
                <w:tcPr>
                  <w:tcW w:w="675" w:type="pct"/>
                  <w:vAlign w:val="center"/>
                </w:tcPr>
                <w:p w14:paraId="354534CE">
                  <w:pPr>
                    <w:jc w:val="center"/>
                    <w:rPr>
                      <w:color w:val="000000"/>
                      <w:szCs w:val="21"/>
                    </w:rPr>
                  </w:pPr>
                  <w:r>
                    <w:rPr>
                      <w:color w:val="000000"/>
                      <w:szCs w:val="21"/>
                    </w:rPr>
                    <w:t>1.1</w:t>
                  </w:r>
                </w:p>
              </w:tc>
              <w:tc>
                <w:tcPr>
                  <w:tcW w:w="618" w:type="pct"/>
                  <w:vAlign w:val="center"/>
                </w:tcPr>
                <w:p w14:paraId="0F137BBC">
                  <w:pPr>
                    <w:jc w:val="center"/>
                    <w:rPr>
                      <w:color w:val="000000"/>
                      <w:szCs w:val="21"/>
                    </w:rPr>
                  </w:pPr>
                  <w:r>
                    <w:rPr>
                      <w:color w:val="000000"/>
                      <w:szCs w:val="21"/>
                    </w:rPr>
                    <w:t>3.1</w:t>
                  </w:r>
                </w:p>
              </w:tc>
              <w:tc>
                <w:tcPr>
                  <w:tcW w:w="618" w:type="pct"/>
                  <w:vAlign w:val="center"/>
                </w:tcPr>
                <w:p w14:paraId="22F96B10">
                  <w:pPr>
                    <w:jc w:val="center"/>
                    <w:rPr>
                      <w:color w:val="000000"/>
                      <w:szCs w:val="21"/>
                    </w:rPr>
                  </w:pPr>
                  <w:r>
                    <w:rPr>
                      <w:color w:val="000000"/>
                      <w:szCs w:val="21"/>
                    </w:rPr>
                    <w:t>7.4</w:t>
                  </w:r>
                </w:p>
              </w:tc>
              <w:tc>
                <w:tcPr>
                  <w:tcW w:w="564" w:type="pct"/>
                  <w:vAlign w:val="center"/>
                </w:tcPr>
                <w:p w14:paraId="23AFCD30">
                  <w:pPr>
                    <w:jc w:val="center"/>
                    <w:rPr>
                      <w:color w:val="000000"/>
                      <w:szCs w:val="21"/>
                    </w:rPr>
                  </w:pPr>
                  <w:r>
                    <w:rPr>
                      <w:color w:val="000000"/>
                      <w:szCs w:val="21"/>
                    </w:rPr>
                    <w:t>12.7</w:t>
                  </w:r>
                </w:p>
              </w:tc>
            </w:tr>
            <w:tr w14:paraId="07E0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3" w:type="pct"/>
                  <w:vAlign w:val="center"/>
                </w:tcPr>
                <w:p w14:paraId="743B9879">
                  <w:pPr>
                    <w:jc w:val="center"/>
                    <w:rPr>
                      <w:color w:val="000000"/>
                      <w:szCs w:val="21"/>
                    </w:rPr>
                  </w:pPr>
                  <w:r>
                    <w:rPr>
                      <w:color w:val="000000"/>
                      <w:szCs w:val="21"/>
                    </w:rPr>
                    <w:t>15</w:t>
                  </w:r>
                </w:p>
              </w:tc>
              <w:tc>
                <w:tcPr>
                  <w:tcW w:w="674" w:type="pct"/>
                  <w:vAlign w:val="center"/>
                </w:tcPr>
                <w:p w14:paraId="462334B2">
                  <w:pPr>
                    <w:jc w:val="center"/>
                    <w:rPr>
                      <w:color w:val="000000"/>
                      <w:szCs w:val="21"/>
                    </w:rPr>
                  </w:pPr>
                  <w:r>
                    <w:rPr>
                      <w:color w:val="000000"/>
                      <w:szCs w:val="21"/>
                    </w:rPr>
                    <w:t>20</w:t>
                  </w:r>
                </w:p>
              </w:tc>
              <w:tc>
                <w:tcPr>
                  <w:tcW w:w="641" w:type="pct"/>
                  <w:vAlign w:val="center"/>
                </w:tcPr>
                <w:p w14:paraId="635F680E">
                  <w:pPr>
                    <w:jc w:val="center"/>
                    <w:rPr>
                      <w:color w:val="000000"/>
                      <w:szCs w:val="21"/>
                    </w:rPr>
                  </w:pPr>
                  <w:r>
                    <w:rPr>
                      <w:color w:val="000000"/>
                      <w:szCs w:val="21"/>
                    </w:rPr>
                    <w:t>0.3</w:t>
                  </w:r>
                </w:p>
              </w:tc>
              <w:tc>
                <w:tcPr>
                  <w:tcW w:w="618" w:type="pct"/>
                  <w:vAlign w:val="center"/>
                </w:tcPr>
                <w:p w14:paraId="3FCD692D">
                  <w:pPr>
                    <w:jc w:val="center"/>
                    <w:rPr>
                      <w:color w:val="000000"/>
                      <w:szCs w:val="21"/>
                    </w:rPr>
                  </w:pPr>
                  <w:r>
                    <w:rPr>
                      <w:color w:val="000000"/>
                      <w:szCs w:val="21"/>
                    </w:rPr>
                    <w:t>0.6</w:t>
                  </w:r>
                </w:p>
              </w:tc>
              <w:tc>
                <w:tcPr>
                  <w:tcW w:w="675" w:type="pct"/>
                  <w:vAlign w:val="center"/>
                </w:tcPr>
                <w:p w14:paraId="3015240B">
                  <w:pPr>
                    <w:jc w:val="center"/>
                    <w:rPr>
                      <w:color w:val="000000"/>
                      <w:szCs w:val="21"/>
                    </w:rPr>
                  </w:pPr>
                  <w:r>
                    <w:rPr>
                      <w:color w:val="000000"/>
                      <w:szCs w:val="21"/>
                    </w:rPr>
                    <w:t>1.2</w:t>
                  </w:r>
                </w:p>
              </w:tc>
              <w:tc>
                <w:tcPr>
                  <w:tcW w:w="618" w:type="pct"/>
                  <w:vAlign w:val="center"/>
                </w:tcPr>
                <w:p w14:paraId="70A1FBFE">
                  <w:pPr>
                    <w:jc w:val="center"/>
                    <w:rPr>
                      <w:color w:val="000000"/>
                      <w:szCs w:val="21"/>
                    </w:rPr>
                  </w:pPr>
                  <w:r>
                    <w:rPr>
                      <w:color w:val="000000"/>
                      <w:szCs w:val="21"/>
                    </w:rPr>
                    <w:t>2.7</w:t>
                  </w:r>
                </w:p>
              </w:tc>
              <w:tc>
                <w:tcPr>
                  <w:tcW w:w="618" w:type="pct"/>
                  <w:vAlign w:val="center"/>
                </w:tcPr>
                <w:p w14:paraId="018EB840">
                  <w:pPr>
                    <w:jc w:val="center"/>
                    <w:rPr>
                      <w:color w:val="000000"/>
                      <w:szCs w:val="21"/>
                    </w:rPr>
                  </w:pPr>
                  <w:r>
                    <w:rPr>
                      <w:color w:val="000000"/>
                      <w:szCs w:val="21"/>
                    </w:rPr>
                    <w:t>8.2</w:t>
                  </w:r>
                </w:p>
              </w:tc>
              <w:tc>
                <w:tcPr>
                  <w:tcW w:w="564" w:type="pct"/>
                  <w:vAlign w:val="center"/>
                </w:tcPr>
                <w:p w14:paraId="18E0758A">
                  <w:pPr>
                    <w:jc w:val="center"/>
                    <w:rPr>
                      <w:color w:val="000000"/>
                      <w:szCs w:val="21"/>
                    </w:rPr>
                  </w:pPr>
                  <w:r>
                    <w:rPr>
                      <w:color w:val="000000"/>
                      <w:szCs w:val="21"/>
                    </w:rPr>
                    <w:t>28.2</w:t>
                  </w:r>
                </w:p>
              </w:tc>
            </w:tr>
            <w:tr w14:paraId="67EE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3" w:type="pct"/>
                  <w:vAlign w:val="center"/>
                </w:tcPr>
                <w:p w14:paraId="32350B9F">
                  <w:pPr>
                    <w:jc w:val="center"/>
                    <w:rPr>
                      <w:color w:val="000000"/>
                      <w:szCs w:val="21"/>
                    </w:rPr>
                  </w:pPr>
                  <w:r>
                    <w:rPr>
                      <w:color w:val="000000"/>
                      <w:szCs w:val="21"/>
                    </w:rPr>
                    <w:t>15</w:t>
                  </w:r>
                </w:p>
              </w:tc>
              <w:tc>
                <w:tcPr>
                  <w:tcW w:w="674" w:type="pct"/>
                  <w:vAlign w:val="center"/>
                </w:tcPr>
                <w:p w14:paraId="45A28D19">
                  <w:pPr>
                    <w:jc w:val="center"/>
                    <w:rPr>
                      <w:color w:val="000000"/>
                      <w:szCs w:val="21"/>
                    </w:rPr>
                  </w:pPr>
                  <w:r>
                    <w:rPr>
                      <w:color w:val="000000"/>
                      <w:szCs w:val="21"/>
                    </w:rPr>
                    <w:t>50</w:t>
                  </w:r>
                </w:p>
              </w:tc>
              <w:tc>
                <w:tcPr>
                  <w:tcW w:w="641" w:type="pct"/>
                  <w:vAlign w:val="center"/>
                </w:tcPr>
                <w:p w14:paraId="1291A371">
                  <w:pPr>
                    <w:jc w:val="center"/>
                    <w:rPr>
                      <w:color w:val="000000"/>
                      <w:szCs w:val="21"/>
                    </w:rPr>
                  </w:pPr>
                  <w:r>
                    <w:rPr>
                      <w:color w:val="000000"/>
                      <w:szCs w:val="21"/>
                    </w:rPr>
                    <w:t>0.1</w:t>
                  </w:r>
                </w:p>
              </w:tc>
              <w:tc>
                <w:tcPr>
                  <w:tcW w:w="618" w:type="pct"/>
                  <w:vAlign w:val="center"/>
                </w:tcPr>
                <w:p w14:paraId="4AD202F2">
                  <w:pPr>
                    <w:jc w:val="center"/>
                    <w:rPr>
                      <w:color w:val="000000"/>
                      <w:szCs w:val="21"/>
                    </w:rPr>
                  </w:pPr>
                  <w:r>
                    <w:rPr>
                      <w:color w:val="000000"/>
                      <w:szCs w:val="21"/>
                    </w:rPr>
                    <w:t>0.5</w:t>
                  </w:r>
                </w:p>
              </w:tc>
              <w:tc>
                <w:tcPr>
                  <w:tcW w:w="675" w:type="pct"/>
                  <w:vAlign w:val="center"/>
                </w:tcPr>
                <w:p w14:paraId="73E66303">
                  <w:pPr>
                    <w:jc w:val="center"/>
                    <w:rPr>
                      <w:color w:val="000000"/>
                      <w:szCs w:val="21"/>
                    </w:rPr>
                  </w:pPr>
                  <w:r>
                    <w:rPr>
                      <w:color w:val="000000"/>
                      <w:szCs w:val="21"/>
                    </w:rPr>
                    <w:t>1.2</w:t>
                  </w:r>
                </w:p>
              </w:tc>
              <w:tc>
                <w:tcPr>
                  <w:tcW w:w="618" w:type="pct"/>
                  <w:vAlign w:val="center"/>
                </w:tcPr>
                <w:p w14:paraId="10D21714">
                  <w:pPr>
                    <w:jc w:val="center"/>
                    <w:rPr>
                      <w:color w:val="000000"/>
                      <w:szCs w:val="21"/>
                    </w:rPr>
                  </w:pPr>
                  <w:r>
                    <w:rPr>
                      <w:color w:val="000000"/>
                      <w:szCs w:val="21"/>
                    </w:rPr>
                    <w:t>2.2</w:t>
                  </w:r>
                </w:p>
              </w:tc>
              <w:tc>
                <w:tcPr>
                  <w:tcW w:w="618" w:type="pct"/>
                  <w:vAlign w:val="center"/>
                </w:tcPr>
                <w:p w14:paraId="2C2F5D9A">
                  <w:pPr>
                    <w:jc w:val="center"/>
                    <w:rPr>
                      <w:color w:val="000000"/>
                      <w:szCs w:val="21"/>
                    </w:rPr>
                  </w:pPr>
                  <w:r>
                    <w:rPr>
                      <w:color w:val="000000"/>
                      <w:szCs w:val="21"/>
                    </w:rPr>
                    <w:t>4.2</w:t>
                  </w:r>
                </w:p>
              </w:tc>
              <w:tc>
                <w:tcPr>
                  <w:tcW w:w="564" w:type="pct"/>
                  <w:vAlign w:val="center"/>
                </w:tcPr>
                <w:p w14:paraId="47C7EF40">
                  <w:pPr>
                    <w:jc w:val="center"/>
                    <w:rPr>
                      <w:color w:val="000000"/>
                      <w:szCs w:val="21"/>
                    </w:rPr>
                  </w:pPr>
                  <w:r>
                    <w:rPr>
                      <w:color w:val="000000"/>
                      <w:szCs w:val="21"/>
                    </w:rPr>
                    <w:t>10.8</w:t>
                  </w:r>
                </w:p>
              </w:tc>
            </w:tr>
            <w:tr w14:paraId="45C7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3" w:type="pct"/>
                  <w:vAlign w:val="center"/>
                </w:tcPr>
                <w:p w14:paraId="3B7E5550">
                  <w:pPr>
                    <w:jc w:val="center"/>
                    <w:rPr>
                      <w:color w:val="000000"/>
                      <w:szCs w:val="21"/>
                    </w:rPr>
                  </w:pPr>
                  <w:r>
                    <w:rPr>
                      <w:color w:val="000000"/>
                      <w:szCs w:val="21"/>
                    </w:rPr>
                    <w:t>15</w:t>
                  </w:r>
                </w:p>
              </w:tc>
              <w:tc>
                <w:tcPr>
                  <w:tcW w:w="674" w:type="pct"/>
                  <w:vAlign w:val="center"/>
                </w:tcPr>
                <w:p w14:paraId="06B85F31">
                  <w:pPr>
                    <w:jc w:val="center"/>
                    <w:rPr>
                      <w:color w:val="000000"/>
                      <w:szCs w:val="21"/>
                    </w:rPr>
                  </w:pPr>
                  <w:r>
                    <w:rPr>
                      <w:color w:val="000000"/>
                      <w:szCs w:val="21"/>
                    </w:rPr>
                    <w:t>80</w:t>
                  </w:r>
                </w:p>
              </w:tc>
              <w:tc>
                <w:tcPr>
                  <w:tcW w:w="641" w:type="pct"/>
                  <w:vAlign w:val="center"/>
                </w:tcPr>
                <w:p w14:paraId="6C395A94">
                  <w:pPr>
                    <w:jc w:val="center"/>
                    <w:rPr>
                      <w:color w:val="000000"/>
                      <w:szCs w:val="21"/>
                    </w:rPr>
                  </w:pPr>
                  <w:r>
                    <w:rPr>
                      <w:color w:val="000000"/>
                      <w:szCs w:val="21"/>
                    </w:rPr>
                    <w:t>0.1</w:t>
                  </w:r>
                </w:p>
              </w:tc>
              <w:tc>
                <w:tcPr>
                  <w:tcW w:w="618" w:type="pct"/>
                  <w:vAlign w:val="center"/>
                </w:tcPr>
                <w:p w14:paraId="455E92E4">
                  <w:pPr>
                    <w:jc w:val="center"/>
                    <w:rPr>
                      <w:color w:val="000000"/>
                      <w:szCs w:val="21"/>
                    </w:rPr>
                  </w:pPr>
                  <w:r>
                    <w:rPr>
                      <w:color w:val="000000"/>
                      <w:szCs w:val="21"/>
                    </w:rPr>
                    <w:t>0.3</w:t>
                  </w:r>
                </w:p>
              </w:tc>
              <w:tc>
                <w:tcPr>
                  <w:tcW w:w="675" w:type="pct"/>
                  <w:vAlign w:val="center"/>
                </w:tcPr>
                <w:p w14:paraId="0EA4F623">
                  <w:pPr>
                    <w:jc w:val="center"/>
                    <w:rPr>
                      <w:color w:val="000000"/>
                      <w:szCs w:val="21"/>
                    </w:rPr>
                  </w:pPr>
                  <w:r>
                    <w:rPr>
                      <w:color w:val="000000"/>
                      <w:szCs w:val="21"/>
                    </w:rPr>
                    <w:t>1.1</w:t>
                  </w:r>
                </w:p>
              </w:tc>
              <w:tc>
                <w:tcPr>
                  <w:tcW w:w="618" w:type="pct"/>
                  <w:vAlign w:val="center"/>
                </w:tcPr>
                <w:p w14:paraId="5507E3D7">
                  <w:pPr>
                    <w:jc w:val="center"/>
                    <w:rPr>
                      <w:color w:val="000000"/>
                      <w:szCs w:val="21"/>
                    </w:rPr>
                  </w:pPr>
                  <w:r>
                    <w:rPr>
                      <w:color w:val="000000"/>
                      <w:szCs w:val="21"/>
                    </w:rPr>
                    <w:t>2.4</w:t>
                  </w:r>
                </w:p>
              </w:tc>
              <w:tc>
                <w:tcPr>
                  <w:tcW w:w="618" w:type="pct"/>
                  <w:vAlign w:val="center"/>
                </w:tcPr>
                <w:p w14:paraId="572FC116">
                  <w:pPr>
                    <w:jc w:val="center"/>
                    <w:rPr>
                      <w:color w:val="000000"/>
                      <w:szCs w:val="21"/>
                    </w:rPr>
                  </w:pPr>
                  <w:r>
                    <w:rPr>
                      <w:color w:val="000000"/>
                      <w:szCs w:val="21"/>
                    </w:rPr>
                    <w:t>4.1</w:t>
                  </w:r>
                </w:p>
              </w:tc>
              <w:tc>
                <w:tcPr>
                  <w:tcW w:w="564" w:type="pct"/>
                  <w:vAlign w:val="center"/>
                </w:tcPr>
                <w:p w14:paraId="2872D910">
                  <w:pPr>
                    <w:jc w:val="center"/>
                    <w:rPr>
                      <w:color w:val="000000"/>
                      <w:szCs w:val="21"/>
                    </w:rPr>
                  </w:pPr>
                  <w:r>
                    <w:rPr>
                      <w:color w:val="000000"/>
                      <w:szCs w:val="21"/>
                    </w:rPr>
                    <w:t>8.3</w:t>
                  </w:r>
                </w:p>
              </w:tc>
            </w:tr>
          </w:tbl>
          <w:p w14:paraId="32D3C16F">
            <w:pPr>
              <w:spacing w:line="360" w:lineRule="auto"/>
              <w:ind w:left="23" w:leftChars="11" w:firstLine="480" w:firstLineChars="200"/>
              <w:rPr>
                <w:color w:val="000000"/>
                <w:sz w:val="24"/>
              </w:rPr>
            </w:pPr>
            <w:r>
              <w:rPr>
                <w:rFonts w:hint="eastAsia" w:ascii="等线" w:hAnsi="等线" w:eastAsia="等线"/>
                <w:color w:val="000000"/>
                <w:sz w:val="24"/>
              </w:rPr>
              <w:t>③</w:t>
            </w:r>
            <w:r>
              <w:rPr>
                <w:rFonts w:hint="eastAsia" w:ascii="宋体" w:hAnsi="宋体" w:cs="宋体"/>
                <w:color w:val="000000"/>
                <w:sz w:val="24"/>
              </w:rPr>
              <w:t>围墙障碍物屏蔽（</w:t>
            </w:r>
            <w:r>
              <w:rPr>
                <w:color w:val="000000"/>
                <w:sz w:val="24"/>
              </w:rPr>
              <w:t>A</w:t>
            </w:r>
            <w:r>
              <w:rPr>
                <w:color w:val="000000"/>
                <w:sz w:val="24"/>
                <w:vertAlign w:val="subscript"/>
              </w:rPr>
              <w:t>bar</w:t>
            </w:r>
            <w:r>
              <w:rPr>
                <w:rFonts w:hint="eastAsia" w:ascii="宋体" w:hAnsi="宋体" w:cs="宋体"/>
                <w:color w:val="000000"/>
                <w:sz w:val="24"/>
              </w:rPr>
              <w:t>）：围墙简化为具有一定高度的薄屏障，在噪声预测中，声屏障插入损失的计算方法需要根据实际情况做简化处理。屏障衰减</w:t>
            </w:r>
            <w:r>
              <w:rPr>
                <w:color w:val="000000"/>
                <w:sz w:val="24"/>
              </w:rPr>
              <w:t>A</w:t>
            </w:r>
            <w:r>
              <w:rPr>
                <w:color w:val="000000"/>
                <w:sz w:val="24"/>
                <w:vertAlign w:val="subscript"/>
              </w:rPr>
              <w:t>bar</w:t>
            </w:r>
            <w:r>
              <w:rPr>
                <w:rFonts w:hint="eastAsia" w:ascii="宋体" w:hAnsi="宋体" w:cs="宋体"/>
                <w:color w:val="000000"/>
                <w:sz w:val="24"/>
              </w:rPr>
              <w:t>在单绕射（即薄屏障）情况，衰减最大取</w:t>
            </w:r>
            <w:r>
              <w:rPr>
                <w:color w:val="000000"/>
                <w:sz w:val="24"/>
              </w:rPr>
              <w:t>20dB</w:t>
            </w:r>
            <w:r>
              <w:rPr>
                <w:rFonts w:hint="eastAsia" w:ascii="宋体" w:hAnsi="宋体" w:cs="宋体"/>
                <w:color w:val="000000"/>
                <w:sz w:val="24"/>
              </w:rPr>
              <w:t>。</w:t>
            </w:r>
          </w:p>
          <w:p w14:paraId="0B62B481">
            <w:pPr>
              <w:snapToGrid w:val="0"/>
              <w:spacing w:line="360" w:lineRule="auto"/>
              <w:ind w:firstLine="480" w:firstLineChars="200"/>
              <w:jc w:val="left"/>
              <w:outlineLvl w:val="2"/>
              <w:rPr>
                <w:b/>
                <w:bCs/>
                <w:color w:val="000000"/>
                <w:sz w:val="24"/>
              </w:rPr>
            </w:pPr>
            <w:r>
              <w:rPr>
                <w:rFonts w:hint="eastAsia" w:ascii="等线" w:hAnsi="等线" w:eastAsia="等线"/>
                <w:b/>
                <w:bCs/>
                <w:color w:val="000000"/>
                <w:sz w:val="24"/>
              </w:rPr>
              <w:t>（3）</w:t>
            </w:r>
            <w:r>
              <w:rPr>
                <w:rFonts w:hint="eastAsia" w:ascii="宋体" w:hAnsi="宋体" w:cs="宋体"/>
                <w:b/>
                <w:bCs/>
                <w:color w:val="000000"/>
                <w:sz w:val="24"/>
              </w:rPr>
              <w:t>拟建工程声源对预测点产生的贡献值</w:t>
            </w:r>
          </w:p>
          <w:p w14:paraId="7DD71499">
            <w:pPr>
              <w:spacing w:line="360" w:lineRule="auto"/>
              <w:ind w:left="23" w:leftChars="11" w:firstLine="480" w:firstLineChars="200"/>
              <w:rPr>
                <w:color w:val="000000"/>
                <w:sz w:val="24"/>
              </w:rPr>
            </w:pPr>
            <w:r>
              <w:rPr>
                <w:rFonts w:hint="eastAsia" w:ascii="宋体" w:hAnsi="宋体" w:cs="宋体"/>
                <w:color w:val="000000"/>
                <w:sz w:val="24"/>
              </w:rPr>
              <w:t>公式如下：</w:t>
            </w:r>
          </w:p>
          <w:p w14:paraId="71332C18">
            <w:pPr>
              <w:spacing w:line="360" w:lineRule="auto"/>
              <w:ind w:left="23" w:leftChars="11" w:firstLine="480" w:firstLineChars="200"/>
              <w:rPr>
                <w:color w:val="000000"/>
                <w:sz w:val="24"/>
              </w:rPr>
            </w:pPr>
            <w:r>
              <w:rPr>
                <w:rFonts w:hint="eastAsia"/>
                <w:color w:val="000000"/>
                <w:sz w:val="24"/>
              </w:rPr>
              <w:drawing>
                <wp:inline distT="0" distB="0" distL="0" distR="0">
                  <wp:extent cx="2901950" cy="532765"/>
                  <wp:effectExtent l="0" t="0" r="0" b="63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901950" cy="532765"/>
                          </a:xfrm>
                          <a:prstGeom prst="rect">
                            <a:avLst/>
                          </a:prstGeom>
                          <a:noFill/>
                          <a:ln>
                            <a:noFill/>
                          </a:ln>
                        </pic:spPr>
                      </pic:pic>
                    </a:graphicData>
                  </a:graphic>
                </wp:inline>
              </w:drawing>
            </w:r>
          </w:p>
          <w:p w14:paraId="0CFB5435">
            <w:pPr>
              <w:spacing w:line="360" w:lineRule="auto"/>
              <w:ind w:left="23" w:leftChars="11" w:firstLine="480" w:firstLineChars="200"/>
              <w:rPr>
                <w:color w:val="000000"/>
                <w:sz w:val="24"/>
              </w:rPr>
            </w:pPr>
            <w:r>
              <w:rPr>
                <w:rFonts w:hint="eastAsia" w:ascii="宋体" w:hAnsi="宋体" w:cs="宋体"/>
                <w:color w:val="000000"/>
                <w:sz w:val="24"/>
              </w:rPr>
              <w:t>式中：</w:t>
            </w:r>
            <w:r>
              <w:rPr>
                <w:rFonts w:hint="eastAsia"/>
                <w:color w:val="000000"/>
                <w:sz w:val="24"/>
              </w:rPr>
              <w:t>L</w:t>
            </w:r>
            <w:r>
              <w:rPr>
                <w:rFonts w:hint="eastAsia"/>
                <w:color w:val="000000"/>
                <w:sz w:val="24"/>
                <w:vertAlign w:val="subscript"/>
              </w:rPr>
              <w:t>eqg</w:t>
            </w:r>
            <w:r>
              <w:rPr>
                <w:rFonts w:hint="eastAsia"/>
                <w:color w:val="000000"/>
                <w:sz w:val="24"/>
              </w:rPr>
              <w:t>—</w:t>
            </w:r>
            <w:r>
              <w:rPr>
                <w:rFonts w:hint="eastAsia" w:ascii="宋体" w:hAnsi="宋体" w:cs="宋体"/>
                <w:color w:val="000000"/>
                <w:sz w:val="24"/>
              </w:rPr>
              <w:t>建设项目声源在预测点产生的噪声贡献值，</w:t>
            </w:r>
            <w:r>
              <w:rPr>
                <w:rFonts w:hint="eastAsia"/>
                <w:color w:val="000000"/>
                <w:sz w:val="24"/>
              </w:rPr>
              <w:t>dB</w:t>
            </w:r>
            <w:r>
              <w:rPr>
                <w:rFonts w:hint="eastAsia" w:ascii="宋体" w:hAnsi="宋体" w:cs="宋体"/>
                <w:color w:val="000000"/>
                <w:sz w:val="24"/>
              </w:rPr>
              <w:t>；</w:t>
            </w:r>
          </w:p>
          <w:p w14:paraId="546FBC8D">
            <w:pPr>
              <w:spacing w:line="360" w:lineRule="auto"/>
              <w:ind w:left="23" w:leftChars="11" w:firstLine="480" w:firstLineChars="200"/>
              <w:rPr>
                <w:color w:val="000000"/>
                <w:sz w:val="24"/>
              </w:rPr>
            </w:pPr>
            <w:r>
              <w:rPr>
                <w:rFonts w:hint="eastAsia"/>
                <w:color w:val="000000"/>
                <w:sz w:val="24"/>
              </w:rPr>
              <w:t>T—</w:t>
            </w:r>
            <w:r>
              <w:rPr>
                <w:rFonts w:hint="eastAsia" w:ascii="宋体" w:hAnsi="宋体" w:cs="宋体"/>
                <w:color w:val="000000"/>
                <w:sz w:val="24"/>
              </w:rPr>
              <w:t>用于计算等效声级的时间，</w:t>
            </w:r>
            <w:r>
              <w:rPr>
                <w:rFonts w:hint="eastAsia"/>
                <w:color w:val="000000"/>
                <w:sz w:val="24"/>
              </w:rPr>
              <w:t>s</w:t>
            </w:r>
            <w:r>
              <w:rPr>
                <w:rFonts w:hint="eastAsia" w:ascii="宋体" w:hAnsi="宋体" w:cs="宋体"/>
                <w:color w:val="000000"/>
                <w:sz w:val="24"/>
              </w:rPr>
              <w:t>；</w:t>
            </w:r>
          </w:p>
          <w:p w14:paraId="28F7B6D6">
            <w:pPr>
              <w:spacing w:line="360" w:lineRule="auto"/>
              <w:ind w:left="23" w:leftChars="11" w:firstLine="480" w:firstLineChars="200"/>
              <w:rPr>
                <w:color w:val="000000"/>
                <w:sz w:val="24"/>
              </w:rPr>
            </w:pPr>
            <w:r>
              <w:rPr>
                <w:rFonts w:hint="eastAsia"/>
                <w:color w:val="000000"/>
                <w:sz w:val="24"/>
              </w:rPr>
              <w:t>N—</w:t>
            </w:r>
            <w:r>
              <w:rPr>
                <w:rFonts w:hint="eastAsia" w:ascii="宋体" w:hAnsi="宋体" w:cs="宋体"/>
                <w:color w:val="000000"/>
                <w:sz w:val="24"/>
              </w:rPr>
              <w:t>室外声源个数；</w:t>
            </w:r>
          </w:p>
          <w:p w14:paraId="11681403">
            <w:pPr>
              <w:spacing w:line="360" w:lineRule="auto"/>
              <w:ind w:left="23" w:leftChars="11" w:firstLine="480" w:firstLineChars="200"/>
              <w:rPr>
                <w:color w:val="000000"/>
                <w:sz w:val="24"/>
              </w:rPr>
            </w:pPr>
            <w:r>
              <w:rPr>
                <w:rFonts w:hint="eastAsia"/>
                <w:color w:val="000000"/>
                <w:sz w:val="24"/>
              </w:rPr>
              <w:t>t</w:t>
            </w:r>
            <w:r>
              <w:rPr>
                <w:rFonts w:hint="eastAsia"/>
                <w:color w:val="000000"/>
                <w:sz w:val="24"/>
                <w:vertAlign w:val="subscript"/>
              </w:rPr>
              <w:t>i</w:t>
            </w:r>
            <w:r>
              <w:rPr>
                <w:rFonts w:hint="eastAsia"/>
                <w:color w:val="000000"/>
                <w:sz w:val="24"/>
              </w:rPr>
              <w:t>—</w:t>
            </w:r>
            <w:r>
              <w:rPr>
                <w:rFonts w:hint="eastAsia" w:ascii="宋体" w:hAnsi="宋体" w:cs="宋体"/>
                <w:color w:val="000000"/>
                <w:sz w:val="24"/>
              </w:rPr>
              <w:t>在</w:t>
            </w:r>
            <w:r>
              <w:rPr>
                <w:rFonts w:hint="eastAsia"/>
                <w:color w:val="000000"/>
                <w:sz w:val="24"/>
              </w:rPr>
              <w:t>T</w:t>
            </w:r>
            <w:r>
              <w:rPr>
                <w:rFonts w:hint="eastAsia" w:ascii="宋体" w:hAnsi="宋体" w:cs="宋体"/>
                <w:color w:val="000000"/>
                <w:sz w:val="24"/>
              </w:rPr>
              <w:t>时间内</w:t>
            </w:r>
            <w:r>
              <w:rPr>
                <w:rFonts w:hint="eastAsia"/>
                <w:color w:val="000000"/>
                <w:sz w:val="24"/>
              </w:rPr>
              <w:t>i</w:t>
            </w:r>
            <w:r>
              <w:rPr>
                <w:rFonts w:hint="eastAsia" w:ascii="宋体" w:hAnsi="宋体" w:cs="宋体"/>
                <w:color w:val="000000"/>
                <w:sz w:val="24"/>
              </w:rPr>
              <w:t>声源工作时间，</w:t>
            </w:r>
            <w:r>
              <w:rPr>
                <w:rFonts w:hint="eastAsia"/>
                <w:color w:val="000000"/>
                <w:sz w:val="24"/>
              </w:rPr>
              <w:t>s</w:t>
            </w:r>
            <w:r>
              <w:rPr>
                <w:rFonts w:hint="eastAsia" w:ascii="宋体" w:hAnsi="宋体" w:cs="宋体"/>
                <w:color w:val="000000"/>
                <w:sz w:val="24"/>
              </w:rPr>
              <w:t>；</w:t>
            </w:r>
          </w:p>
          <w:p w14:paraId="3673870B">
            <w:pPr>
              <w:spacing w:line="360" w:lineRule="auto"/>
              <w:ind w:left="23" w:leftChars="11" w:firstLine="480" w:firstLineChars="200"/>
              <w:rPr>
                <w:color w:val="000000"/>
                <w:sz w:val="24"/>
              </w:rPr>
            </w:pPr>
            <w:r>
              <w:rPr>
                <w:rFonts w:hint="eastAsia"/>
                <w:color w:val="000000"/>
                <w:sz w:val="24"/>
              </w:rPr>
              <w:t>M—</w:t>
            </w:r>
            <w:r>
              <w:rPr>
                <w:rFonts w:hint="eastAsia" w:ascii="宋体" w:hAnsi="宋体" w:cs="宋体"/>
                <w:color w:val="000000"/>
                <w:sz w:val="24"/>
              </w:rPr>
              <w:t>等效室外声源个数；</w:t>
            </w:r>
          </w:p>
          <w:p w14:paraId="01C43D84">
            <w:pPr>
              <w:spacing w:line="360" w:lineRule="auto"/>
              <w:ind w:left="23" w:leftChars="11" w:firstLine="480" w:firstLineChars="200"/>
              <w:rPr>
                <w:color w:val="000000"/>
                <w:sz w:val="24"/>
              </w:rPr>
            </w:pPr>
            <w:r>
              <w:rPr>
                <w:rFonts w:hint="eastAsia"/>
                <w:color w:val="000000"/>
                <w:sz w:val="24"/>
              </w:rPr>
              <w:t>t</w:t>
            </w:r>
            <w:r>
              <w:rPr>
                <w:rFonts w:hint="eastAsia"/>
                <w:color w:val="000000"/>
                <w:sz w:val="24"/>
                <w:vertAlign w:val="subscript"/>
              </w:rPr>
              <w:t>j</w:t>
            </w:r>
            <w:r>
              <w:rPr>
                <w:rFonts w:hint="eastAsia"/>
                <w:color w:val="000000"/>
                <w:sz w:val="24"/>
              </w:rPr>
              <w:t>—</w:t>
            </w:r>
            <w:r>
              <w:rPr>
                <w:rFonts w:hint="eastAsia" w:ascii="宋体" w:hAnsi="宋体" w:cs="宋体"/>
                <w:color w:val="000000"/>
                <w:sz w:val="24"/>
              </w:rPr>
              <w:t>在</w:t>
            </w:r>
            <w:r>
              <w:rPr>
                <w:rFonts w:hint="eastAsia"/>
                <w:color w:val="000000"/>
                <w:sz w:val="24"/>
              </w:rPr>
              <w:t>T</w:t>
            </w:r>
            <w:r>
              <w:rPr>
                <w:rFonts w:hint="eastAsia" w:ascii="宋体" w:hAnsi="宋体" w:cs="宋体"/>
                <w:color w:val="000000"/>
                <w:sz w:val="24"/>
              </w:rPr>
              <w:t>时间内</w:t>
            </w:r>
            <w:r>
              <w:rPr>
                <w:rFonts w:hint="eastAsia"/>
                <w:color w:val="000000"/>
                <w:sz w:val="24"/>
              </w:rPr>
              <w:t>j</w:t>
            </w:r>
            <w:r>
              <w:rPr>
                <w:rFonts w:hint="eastAsia" w:ascii="宋体" w:hAnsi="宋体" w:cs="宋体"/>
                <w:color w:val="000000"/>
                <w:sz w:val="24"/>
              </w:rPr>
              <w:t>声源工作时间，</w:t>
            </w:r>
            <w:r>
              <w:rPr>
                <w:rFonts w:hint="eastAsia"/>
                <w:color w:val="000000"/>
                <w:sz w:val="24"/>
              </w:rPr>
              <w:t>s</w:t>
            </w:r>
            <w:r>
              <w:rPr>
                <w:rFonts w:hint="eastAsia" w:ascii="宋体" w:hAnsi="宋体" w:cs="宋体"/>
                <w:color w:val="000000"/>
                <w:sz w:val="24"/>
              </w:rPr>
              <w:t>。</w:t>
            </w:r>
          </w:p>
          <w:p w14:paraId="6026B619">
            <w:pPr>
              <w:pStyle w:val="261"/>
              <w:ind w:firstLine="240"/>
            </w:pPr>
            <w:r>
              <w:rPr>
                <w:rFonts w:hint="eastAsia"/>
              </w:rPr>
              <w:t>3.3</w:t>
            </w:r>
            <w:r>
              <w:t>预测结果</w:t>
            </w:r>
          </w:p>
          <w:p w14:paraId="3D4DEE24">
            <w:pPr>
              <w:pStyle w:val="100"/>
            </w:pPr>
            <w:r>
              <w:t>采用</w:t>
            </w:r>
            <w:r>
              <w:rPr>
                <w:rFonts w:hint="eastAsia"/>
              </w:rPr>
              <w:t>《</w:t>
            </w:r>
            <w:r>
              <w:t>噪声环境影响评价系统（NoiseSystem）</w:t>
            </w:r>
            <w:r>
              <w:rPr>
                <w:rFonts w:hint="eastAsia"/>
              </w:rPr>
              <w:t>》</w:t>
            </w:r>
            <w:r>
              <w:t>预测软件进行计算。场界噪声预测结果见表。</w:t>
            </w:r>
          </w:p>
          <w:p w14:paraId="3AE48985">
            <w:pPr>
              <w:pStyle w:val="56"/>
              <w:keepNext w:val="0"/>
              <w:keepLines w:val="0"/>
              <w:pageBreakBefore w:val="0"/>
              <w:widowControl w:val="0"/>
              <w:numPr>
                <w:ilvl w:val="0"/>
                <w:numId w:val="0"/>
              </w:numPr>
              <w:kinsoku/>
              <w:wordWrap/>
              <w:overflowPunct/>
              <w:topLinePunct w:val="0"/>
              <w:autoSpaceDE w:val="0"/>
              <w:autoSpaceDN w:val="0"/>
              <w:bidi w:val="0"/>
              <w:adjustRightInd w:val="0"/>
              <w:snapToGrid/>
              <w:spacing w:before="120"/>
              <w:ind w:left="0" w:leftChars="0"/>
              <w:jc w:val="center"/>
              <w:textAlignment w:val="auto"/>
            </w:pPr>
            <w:r>
              <w:rPr>
                <w:rFonts w:hint="eastAsia"/>
                <w:lang w:val="en-US" w:eastAsia="zh-CN"/>
              </w:rPr>
              <w:t>表37</w:t>
            </w:r>
            <w:r>
              <w:t>噪声污染源源强核算结果及</w:t>
            </w:r>
            <w:r>
              <w:rPr>
                <w:rFonts w:hint="eastAsia"/>
              </w:rPr>
              <w:t>影响预测一览表</w:t>
            </w:r>
            <w:r>
              <w:rPr>
                <w:rFonts w:hint="eastAsia"/>
                <w:lang w:val="en-US"/>
              </w:rPr>
              <w:t xml:space="preserve"> 单位：dB（A）</w:t>
            </w:r>
          </w:p>
          <w:tbl>
            <w:tblPr>
              <w:tblStyle w:val="47"/>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1825"/>
              <w:gridCol w:w="1760"/>
              <w:gridCol w:w="1760"/>
              <w:gridCol w:w="1663"/>
            </w:tblGrid>
            <w:tr w14:paraId="562D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2" w:type="dxa"/>
                  <w:vAlign w:val="center"/>
                </w:tcPr>
                <w:p w14:paraId="6B525DCC">
                  <w:pPr>
                    <w:pStyle w:val="104"/>
                    <w:rPr>
                      <w:rFonts w:hAnsi="Times New Roman"/>
                    </w:rPr>
                  </w:pPr>
                  <w:r>
                    <w:rPr>
                      <w:rFonts w:hint="eastAsia" w:hAnsi="Times New Roman"/>
                    </w:rPr>
                    <w:t>位置</w:t>
                  </w:r>
                </w:p>
              </w:tc>
              <w:tc>
                <w:tcPr>
                  <w:tcW w:w="1825" w:type="dxa"/>
                  <w:vAlign w:val="center"/>
                </w:tcPr>
                <w:p w14:paraId="2CC32368">
                  <w:pPr>
                    <w:pStyle w:val="104"/>
                    <w:rPr>
                      <w:rFonts w:hAnsi="Times New Roman"/>
                    </w:rPr>
                  </w:pPr>
                  <w:r>
                    <w:rPr>
                      <w:rFonts w:hint="eastAsia" w:hAnsi="Times New Roman"/>
                    </w:rPr>
                    <w:t>关心点</w:t>
                  </w:r>
                </w:p>
              </w:tc>
              <w:tc>
                <w:tcPr>
                  <w:tcW w:w="1760" w:type="dxa"/>
                  <w:vAlign w:val="center"/>
                </w:tcPr>
                <w:p w14:paraId="1E464322">
                  <w:pPr>
                    <w:pStyle w:val="104"/>
                    <w:rPr>
                      <w:rFonts w:hAnsi="Times New Roman"/>
                    </w:rPr>
                  </w:pPr>
                  <w:r>
                    <w:rPr>
                      <w:rFonts w:hint="eastAsia" w:hAnsi="Times New Roman"/>
                    </w:rPr>
                    <w:t>噪声贡献值</w:t>
                  </w:r>
                </w:p>
              </w:tc>
              <w:tc>
                <w:tcPr>
                  <w:tcW w:w="1760" w:type="dxa"/>
                  <w:vAlign w:val="center"/>
                </w:tcPr>
                <w:p w14:paraId="16001328">
                  <w:pPr>
                    <w:pStyle w:val="104"/>
                    <w:rPr>
                      <w:rFonts w:hAnsi="Times New Roman"/>
                    </w:rPr>
                  </w:pPr>
                  <w:r>
                    <w:rPr>
                      <w:rFonts w:hint="eastAsia" w:hAnsi="Times New Roman"/>
                    </w:rPr>
                    <w:t>噪声标准值</w:t>
                  </w:r>
                </w:p>
              </w:tc>
              <w:tc>
                <w:tcPr>
                  <w:tcW w:w="1663" w:type="dxa"/>
                  <w:vAlign w:val="center"/>
                </w:tcPr>
                <w:p w14:paraId="64B81F4D">
                  <w:pPr>
                    <w:pStyle w:val="104"/>
                    <w:rPr>
                      <w:rFonts w:hAnsi="Times New Roman"/>
                    </w:rPr>
                  </w:pPr>
                  <w:r>
                    <w:rPr>
                      <w:rFonts w:hint="eastAsia" w:hAnsi="Times New Roman"/>
                    </w:rPr>
                    <w:t>是否达标</w:t>
                  </w:r>
                </w:p>
              </w:tc>
            </w:tr>
            <w:tr w14:paraId="52E3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2" w:type="dxa"/>
                  <w:vMerge w:val="restart"/>
                  <w:vAlign w:val="center"/>
                </w:tcPr>
                <w:p w14:paraId="5AE7E5F2">
                  <w:pPr>
                    <w:pStyle w:val="104"/>
                    <w:rPr>
                      <w:rFonts w:hAnsi="Times New Roman"/>
                    </w:rPr>
                  </w:pPr>
                  <w:r>
                    <w:rPr>
                      <w:rFonts w:hint="eastAsia" w:hAnsi="Times New Roman"/>
                    </w:rPr>
                    <w:t>项目边界</w:t>
                  </w:r>
                </w:p>
              </w:tc>
              <w:tc>
                <w:tcPr>
                  <w:tcW w:w="1825" w:type="dxa"/>
                  <w:vAlign w:val="center"/>
                </w:tcPr>
                <w:p w14:paraId="4C9716FF">
                  <w:pPr>
                    <w:pStyle w:val="104"/>
                    <w:rPr>
                      <w:rFonts w:hAnsi="Times New Roman"/>
                    </w:rPr>
                  </w:pPr>
                  <w:r>
                    <w:rPr>
                      <w:rFonts w:hint="eastAsia" w:hAnsi="Times New Roman"/>
                    </w:rPr>
                    <w:t>东厂界</w:t>
                  </w:r>
                </w:p>
              </w:tc>
              <w:tc>
                <w:tcPr>
                  <w:tcW w:w="1760" w:type="dxa"/>
                  <w:vAlign w:val="center"/>
                </w:tcPr>
                <w:p w14:paraId="6EC72993">
                  <w:pPr>
                    <w:widowControl/>
                    <w:jc w:val="center"/>
                    <w:textAlignment w:val="center"/>
                    <w:rPr>
                      <w:rFonts w:hint="default" w:eastAsia="宋体"/>
                      <w:lang w:val="en-US" w:eastAsia="zh-CN"/>
                    </w:rPr>
                  </w:pPr>
                  <w:r>
                    <w:rPr>
                      <w:rFonts w:hint="eastAsia"/>
                      <w:lang w:val="en-US" w:eastAsia="zh-CN"/>
                    </w:rPr>
                    <w:t>53.37</w:t>
                  </w:r>
                </w:p>
              </w:tc>
              <w:tc>
                <w:tcPr>
                  <w:tcW w:w="1760" w:type="dxa"/>
                  <w:vAlign w:val="center"/>
                </w:tcPr>
                <w:p w14:paraId="3CF08A67">
                  <w:pPr>
                    <w:pStyle w:val="104"/>
                    <w:rPr>
                      <w:rFonts w:hAnsi="Times New Roman"/>
                    </w:rPr>
                  </w:pPr>
                  <w:bookmarkStart w:id="43" w:name="OLE_LINK117"/>
                  <w:bookmarkStart w:id="44" w:name="OLE_LINK118"/>
                  <w:r>
                    <w:rPr>
                      <w:rFonts w:hint="eastAsia" w:hAnsi="Times New Roman"/>
                    </w:rPr>
                    <w:t>昼间</w:t>
                  </w:r>
                  <w:bookmarkEnd w:id="43"/>
                  <w:bookmarkEnd w:id="44"/>
                  <w:r>
                    <w:rPr>
                      <w:rFonts w:hint="eastAsia" w:hAnsi="Times New Roman"/>
                    </w:rPr>
                    <w:t>65</w:t>
                  </w:r>
                </w:p>
              </w:tc>
              <w:tc>
                <w:tcPr>
                  <w:tcW w:w="1663" w:type="dxa"/>
                  <w:vAlign w:val="center"/>
                </w:tcPr>
                <w:p w14:paraId="1347CCFF">
                  <w:pPr>
                    <w:pStyle w:val="104"/>
                    <w:rPr>
                      <w:rFonts w:hAnsi="Times New Roman"/>
                    </w:rPr>
                  </w:pPr>
                  <w:r>
                    <w:rPr>
                      <w:rFonts w:hint="eastAsia" w:hAnsi="Times New Roman"/>
                    </w:rPr>
                    <w:t>达标</w:t>
                  </w:r>
                </w:p>
              </w:tc>
            </w:tr>
            <w:tr w14:paraId="70EE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2" w:type="dxa"/>
                  <w:vMerge w:val="continue"/>
                  <w:vAlign w:val="center"/>
                </w:tcPr>
                <w:p w14:paraId="1FEF9133">
                  <w:pPr>
                    <w:pStyle w:val="104"/>
                    <w:rPr>
                      <w:rFonts w:hAnsi="Times New Roman"/>
                    </w:rPr>
                  </w:pPr>
                </w:p>
              </w:tc>
              <w:tc>
                <w:tcPr>
                  <w:tcW w:w="1825" w:type="dxa"/>
                  <w:vAlign w:val="center"/>
                </w:tcPr>
                <w:p w14:paraId="31893A0B">
                  <w:pPr>
                    <w:pStyle w:val="104"/>
                    <w:rPr>
                      <w:rFonts w:hAnsi="Times New Roman"/>
                    </w:rPr>
                  </w:pPr>
                  <w:r>
                    <w:rPr>
                      <w:rFonts w:hint="eastAsia" w:hAnsi="Times New Roman"/>
                    </w:rPr>
                    <w:t>西厂界</w:t>
                  </w:r>
                </w:p>
              </w:tc>
              <w:tc>
                <w:tcPr>
                  <w:tcW w:w="1760" w:type="dxa"/>
                  <w:vAlign w:val="center"/>
                </w:tcPr>
                <w:p w14:paraId="73492763">
                  <w:pPr>
                    <w:widowControl/>
                    <w:jc w:val="center"/>
                    <w:textAlignment w:val="center"/>
                    <w:rPr>
                      <w:rFonts w:hint="default" w:eastAsia="宋体"/>
                      <w:lang w:val="en-US" w:eastAsia="zh-CN"/>
                    </w:rPr>
                  </w:pPr>
                  <w:r>
                    <w:rPr>
                      <w:rFonts w:hint="eastAsia"/>
                      <w:lang w:val="en-US" w:eastAsia="zh-CN"/>
                    </w:rPr>
                    <w:t>53.73</w:t>
                  </w:r>
                </w:p>
              </w:tc>
              <w:tc>
                <w:tcPr>
                  <w:tcW w:w="1760" w:type="dxa"/>
                  <w:vAlign w:val="center"/>
                </w:tcPr>
                <w:p w14:paraId="771874B2">
                  <w:pPr>
                    <w:jc w:val="center"/>
                  </w:pPr>
                  <w:r>
                    <w:rPr>
                      <w:rFonts w:hint="eastAsia"/>
                    </w:rPr>
                    <w:t>昼间65</w:t>
                  </w:r>
                </w:p>
              </w:tc>
              <w:tc>
                <w:tcPr>
                  <w:tcW w:w="1663" w:type="dxa"/>
                  <w:vAlign w:val="center"/>
                </w:tcPr>
                <w:p w14:paraId="2DA0C89D">
                  <w:pPr>
                    <w:pStyle w:val="104"/>
                    <w:rPr>
                      <w:rFonts w:hAnsi="Times New Roman"/>
                    </w:rPr>
                  </w:pPr>
                  <w:r>
                    <w:rPr>
                      <w:rFonts w:hint="eastAsia" w:hAnsi="Times New Roman"/>
                    </w:rPr>
                    <w:t>达标</w:t>
                  </w:r>
                </w:p>
              </w:tc>
            </w:tr>
            <w:tr w14:paraId="0F2D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2" w:type="dxa"/>
                  <w:vMerge w:val="continue"/>
                  <w:vAlign w:val="center"/>
                </w:tcPr>
                <w:p w14:paraId="1DF682B3">
                  <w:pPr>
                    <w:pStyle w:val="104"/>
                    <w:rPr>
                      <w:rFonts w:hAnsi="Times New Roman"/>
                    </w:rPr>
                  </w:pPr>
                </w:p>
              </w:tc>
              <w:tc>
                <w:tcPr>
                  <w:tcW w:w="1825" w:type="dxa"/>
                  <w:vAlign w:val="center"/>
                </w:tcPr>
                <w:p w14:paraId="0795A90C">
                  <w:pPr>
                    <w:pStyle w:val="104"/>
                    <w:rPr>
                      <w:rFonts w:hAnsi="Times New Roman"/>
                    </w:rPr>
                  </w:pPr>
                  <w:r>
                    <w:rPr>
                      <w:rFonts w:hint="eastAsia" w:hAnsi="Times New Roman"/>
                    </w:rPr>
                    <w:t>北厂界</w:t>
                  </w:r>
                </w:p>
              </w:tc>
              <w:tc>
                <w:tcPr>
                  <w:tcW w:w="1760" w:type="dxa"/>
                  <w:vAlign w:val="center"/>
                </w:tcPr>
                <w:p w14:paraId="22BB353E">
                  <w:pPr>
                    <w:widowControl/>
                    <w:jc w:val="center"/>
                    <w:textAlignment w:val="center"/>
                    <w:rPr>
                      <w:rFonts w:hint="default" w:eastAsia="宋体"/>
                      <w:lang w:val="en-US" w:eastAsia="zh-CN"/>
                    </w:rPr>
                  </w:pPr>
                  <w:r>
                    <w:rPr>
                      <w:rFonts w:hint="eastAsia"/>
                      <w:lang w:val="en-US" w:eastAsia="zh-CN"/>
                    </w:rPr>
                    <w:t>58.29</w:t>
                  </w:r>
                </w:p>
              </w:tc>
              <w:tc>
                <w:tcPr>
                  <w:tcW w:w="1760" w:type="dxa"/>
                  <w:vAlign w:val="center"/>
                </w:tcPr>
                <w:p w14:paraId="2A2F4BE5">
                  <w:pPr>
                    <w:jc w:val="center"/>
                  </w:pPr>
                  <w:r>
                    <w:rPr>
                      <w:rFonts w:hint="eastAsia"/>
                    </w:rPr>
                    <w:t>昼间65</w:t>
                  </w:r>
                </w:p>
              </w:tc>
              <w:tc>
                <w:tcPr>
                  <w:tcW w:w="1663" w:type="dxa"/>
                  <w:vAlign w:val="center"/>
                </w:tcPr>
                <w:p w14:paraId="7EF74886">
                  <w:pPr>
                    <w:pStyle w:val="104"/>
                    <w:rPr>
                      <w:rFonts w:hAnsi="Times New Roman"/>
                    </w:rPr>
                  </w:pPr>
                  <w:r>
                    <w:rPr>
                      <w:rFonts w:hint="eastAsia" w:hAnsi="Times New Roman"/>
                    </w:rPr>
                    <w:t>达标</w:t>
                  </w:r>
                </w:p>
              </w:tc>
            </w:tr>
            <w:tr w14:paraId="5C86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52" w:type="dxa"/>
                  <w:vMerge w:val="continue"/>
                  <w:vAlign w:val="center"/>
                </w:tcPr>
                <w:p w14:paraId="4C35DCB5">
                  <w:pPr>
                    <w:pStyle w:val="104"/>
                    <w:rPr>
                      <w:rFonts w:hAnsi="Times New Roman"/>
                    </w:rPr>
                  </w:pPr>
                </w:p>
              </w:tc>
              <w:tc>
                <w:tcPr>
                  <w:tcW w:w="1825" w:type="dxa"/>
                  <w:vAlign w:val="center"/>
                </w:tcPr>
                <w:p w14:paraId="2BA8647E">
                  <w:pPr>
                    <w:pStyle w:val="104"/>
                    <w:rPr>
                      <w:rFonts w:hAnsi="Times New Roman"/>
                    </w:rPr>
                  </w:pPr>
                  <w:r>
                    <w:rPr>
                      <w:rFonts w:hint="eastAsia" w:hAnsi="Times New Roman"/>
                    </w:rPr>
                    <w:t>南厂界</w:t>
                  </w:r>
                </w:p>
              </w:tc>
              <w:tc>
                <w:tcPr>
                  <w:tcW w:w="1760" w:type="dxa"/>
                  <w:vAlign w:val="center"/>
                </w:tcPr>
                <w:p w14:paraId="2DDE2AE5">
                  <w:pPr>
                    <w:widowControl/>
                    <w:jc w:val="center"/>
                    <w:textAlignment w:val="center"/>
                    <w:rPr>
                      <w:rFonts w:hint="default" w:eastAsia="宋体"/>
                      <w:lang w:val="en-US" w:eastAsia="zh-CN"/>
                    </w:rPr>
                  </w:pPr>
                  <w:r>
                    <w:rPr>
                      <w:rFonts w:hint="eastAsia"/>
                      <w:lang w:val="en-US" w:eastAsia="zh-CN"/>
                    </w:rPr>
                    <w:t>55.83</w:t>
                  </w:r>
                </w:p>
              </w:tc>
              <w:tc>
                <w:tcPr>
                  <w:tcW w:w="1760" w:type="dxa"/>
                  <w:vAlign w:val="center"/>
                </w:tcPr>
                <w:p w14:paraId="508B8C3D">
                  <w:pPr>
                    <w:jc w:val="center"/>
                  </w:pPr>
                  <w:r>
                    <w:rPr>
                      <w:rFonts w:hint="eastAsia"/>
                    </w:rPr>
                    <w:t>昼间65</w:t>
                  </w:r>
                </w:p>
              </w:tc>
              <w:tc>
                <w:tcPr>
                  <w:tcW w:w="1663" w:type="dxa"/>
                  <w:vAlign w:val="center"/>
                </w:tcPr>
                <w:p w14:paraId="57DC9A01">
                  <w:pPr>
                    <w:pStyle w:val="104"/>
                    <w:rPr>
                      <w:rFonts w:hAnsi="Times New Roman"/>
                    </w:rPr>
                  </w:pPr>
                  <w:r>
                    <w:rPr>
                      <w:rFonts w:hint="eastAsia" w:hAnsi="Times New Roman"/>
                    </w:rPr>
                    <w:t>达标</w:t>
                  </w:r>
                </w:p>
              </w:tc>
            </w:tr>
          </w:tbl>
          <w:p w14:paraId="24793603">
            <w:pPr>
              <w:pStyle w:val="100"/>
            </w:pPr>
            <w:r>
              <w:t>从上表可知</w:t>
            </w:r>
            <w:r>
              <w:rPr>
                <w:rFonts w:hint="eastAsia"/>
              </w:rPr>
              <w:t>，</w:t>
            </w:r>
            <w:r>
              <w:t>本项目建成后</w:t>
            </w:r>
            <w:r>
              <w:rPr>
                <w:rFonts w:hint="eastAsia"/>
              </w:rPr>
              <w:t>，厂界噪声贡献</w:t>
            </w:r>
            <w:r>
              <w:t>值均满足</w:t>
            </w:r>
            <w:r>
              <w:rPr>
                <w:rFonts w:hint="eastAsia"/>
              </w:rPr>
              <w:t>《</w:t>
            </w:r>
            <w:r>
              <w:t>工业企业厂界环境噪声排放标准</w:t>
            </w:r>
            <w:r>
              <w:rPr>
                <w:rFonts w:hint="eastAsia"/>
              </w:rPr>
              <w:t>》</w:t>
            </w:r>
            <w:r>
              <w:t>（GB12348-2008）中的3类标准要求。</w:t>
            </w:r>
          </w:p>
          <w:p w14:paraId="680AD1CF">
            <w:pPr>
              <w:pStyle w:val="100"/>
            </w:pPr>
            <w:r>
              <w:t>为进一步减轻营运期噪声对周围环境的影响</w:t>
            </w:r>
            <w:r>
              <w:rPr>
                <w:rFonts w:hint="eastAsia"/>
              </w:rPr>
              <w:t>，</w:t>
            </w:r>
            <w:r>
              <w:t>建议建设单位采用如下措施控制噪声：</w:t>
            </w:r>
          </w:p>
          <w:p w14:paraId="70C6FACA">
            <w:pPr>
              <w:pStyle w:val="100"/>
            </w:pPr>
            <w:r>
              <w:rPr>
                <w:rFonts w:hint="eastAsia" w:ascii="宋体" w:hAnsi="宋体" w:cs="宋体"/>
              </w:rPr>
              <w:t>①</w:t>
            </w:r>
            <w:r>
              <w:t>从声源上控制</w:t>
            </w:r>
            <w:r>
              <w:rPr>
                <w:rFonts w:hint="eastAsia"/>
              </w:rPr>
              <w:t>，</w:t>
            </w:r>
            <w:r>
              <w:t>各设备均选择符合国家噪声标准的低噪声设备</w:t>
            </w:r>
            <w:r>
              <w:rPr>
                <w:rFonts w:hint="eastAsia"/>
              </w:rPr>
              <w:t>，</w:t>
            </w:r>
            <w:r>
              <w:t>布置在厂房内</w:t>
            </w:r>
            <w:r>
              <w:rPr>
                <w:rFonts w:hint="eastAsia"/>
              </w:rPr>
              <w:t>，</w:t>
            </w:r>
            <w:r>
              <w:t>利用厂房结构隔声。</w:t>
            </w:r>
          </w:p>
          <w:p w14:paraId="0DEA4E97">
            <w:pPr>
              <w:pStyle w:val="100"/>
            </w:pPr>
            <w:r>
              <w:rPr>
                <w:rFonts w:hint="eastAsia" w:ascii="宋体" w:hAnsi="宋体" w:cs="宋体"/>
              </w:rPr>
              <w:t>②</w:t>
            </w:r>
            <w:r>
              <w:t>高噪声设备设置隔振基础或铺设减振垫达到降噪的目的。</w:t>
            </w:r>
          </w:p>
          <w:p w14:paraId="015B72FC">
            <w:pPr>
              <w:pStyle w:val="100"/>
            </w:pPr>
            <w:r>
              <w:rPr>
                <w:rFonts w:hint="eastAsia" w:ascii="宋体" w:hAnsi="宋体" w:cs="宋体"/>
              </w:rPr>
              <w:t>③</w:t>
            </w:r>
            <w:r>
              <w:t>车辆进出应减速慢行</w:t>
            </w:r>
            <w:r>
              <w:rPr>
                <w:rFonts w:hint="eastAsia"/>
              </w:rPr>
              <w:t>，</w:t>
            </w:r>
            <w:r>
              <w:t>在厂内装卸作业时应熄火进行</w:t>
            </w:r>
            <w:r>
              <w:rPr>
                <w:rFonts w:hint="eastAsia"/>
              </w:rPr>
              <w:t>，</w:t>
            </w:r>
            <w:r>
              <w:t>减小汽车运行噪声影响。</w:t>
            </w:r>
          </w:p>
          <w:p w14:paraId="749AACF6">
            <w:pPr>
              <w:pStyle w:val="100"/>
            </w:pPr>
            <w:r>
              <w:t>经采取以上措施</w:t>
            </w:r>
            <w:r>
              <w:rPr>
                <w:rFonts w:hint="eastAsia"/>
              </w:rPr>
              <w:t>，</w:t>
            </w:r>
            <w:r>
              <w:t>项目产生的噪声对周围环境影响较小。</w:t>
            </w:r>
          </w:p>
          <w:p w14:paraId="62C84E23">
            <w:pPr>
              <w:pStyle w:val="102"/>
              <w:spacing w:before="120" w:after="120"/>
              <w:ind w:firstLine="240"/>
            </w:pPr>
            <w:r>
              <w:t>3.2监测要求</w:t>
            </w:r>
          </w:p>
          <w:p w14:paraId="623D700A">
            <w:pPr>
              <w:pStyle w:val="100"/>
              <w:snapToGrid w:val="0"/>
            </w:pPr>
            <w:r>
              <w:t>根据</w:t>
            </w:r>
            <w:r>
              <w:rPr>
                <w:rFonts w:hint="eastAsia"/>
              </w:rPr>
              <w:t>《 </w:t>
            </w:r>
            <w:r>
              <w:fldChar w:fldCharType="begin"/>
            </w:r>
            <w:r>
              <w:instrText xml:space="preserve"> HYPERLINK "https://www.mee.gov.cn/ywgz/fgbz/bz/bzwb/pwxk/202308/W020230919349861394526.pdf" </w:instrText>
            </w:r>
            <w:r>
              <w:fldChar w:fldCharType="separate"/>
            </w:r>
            <w:r>
              <w:rPr>
                <w:rFonts w:hint="eastAsia"/>
              </w:rPr>
              <w:t>排污许可证申请与核发技术规范 工业噪声》（HJ 1301—2023）</w:t>
            </w:r>
            <w:r>
              <w:rPr>
                <w:rFonts w:hint="eastAsia"/>
              </w:rPr>
              <w:fldChar w:fldCharType="end"/>
            </w:r>
            <w:r>
              <w:rPr>
                <w:rFonts w:hint="eastAsia"/>
              </w:rPr>
              <w:t>，</w:t>
            </w:r>
            <w:r>
              <w:t>建设单位应开展自行监测活动。噪声自行监测计划见下表。</w:t>
            </w:r>
          </w:p>
          <w:p w14:paraId="7BD1E471">
            <w:pPr>
              <w:pStyle w:val="56"/>
              <w:numPr>
                <w:ilvl w:val="0"/>
                <w:numId w:val="0"/>
              </w:numPr>
              <w:spacing w:before="120"/>
              <w:ind w:left="3150" w:leftChars="0"/>
              <w:jc w:val="both"/>
            </w:pPr>
            <w:r>
              <w:rPr>
                <w:rFonts w:hint="eastAsia"/>
                <w:lang w:val="en-US" w:eastAsia="zh-CN"/>
              </w:rPr>
              <w:t xml:space="preserve">表38 </w:t>
            </w:r>
            <w:r>
              <w:t>营运期环境监测计划一览表</w:t>
            </w:r>
          </w:p>
          <w:tbl>
            <w:tblPr>
              <w:tblStyle w:val="47"/>
              <w:tblW w:w="49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977"/>
              <w:gridCol w:w="2501"/>
              <w:gridCol w:w="2554"/>
              <w:gridCol w:w="1687"/>
            </w:tblGrid>
            <w:tr w14:paraId="5383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38" w:type="pct"/>
                  <w:vAlign w:val="center"/>
                </w:tcPr>
                <w:p w14:paraId="343A5630">
                  <w:pPr>
                    <w:autoSpaceDE w:val="0"/>
                    <w:autoSpaceDN w:val="0"/>
                    <w:adjustRightInd w:val="0"/>
                    <w:snapToGrid w:val="0"/>
                    <w:jc w:val="center"/>
                    <w:rPr>
                      <w:szCs w:val="21"/>
                    </w:rPr>
                  </w:pPr>
                  <w:r>
                    <w:rPr>
                      <w:szCs w:val="21"/>
                    </w:rPr>
                    <w:t>编号</w:t>
                  </w:r>
                </w:p>
              </w:tc>
              <w:tc>
                <w:tcPr>
                  <w:tcW w:w="590" w:type="pct"/>
                  <w:vAlign w:val="center"/>
                </w:tcPr>
                <w:p w14:paraId="502C2FE4">
                  <w:pPr>
                    <w:autoSpaceDE w:val="0"/>
                    <w:autoSpaceDN w:val="0"/>
                    <w:adjustRightInd w:val="0"/>
                    <w:snapToGrid w:val="0"/>
                    <w:jc w:val="center"/>
                    <w:rPr>
                      <w:szCs w:val="21"/>
                    </w:rPr>
                  </w:pPr>
                  <w:r>
                    <w:rPr>
                      <w:szCs w:val="21"/>
                    </w:rPr>
                    <w:t>类别</w:t>
                  </w:r>
                </w:p>
              </w:tc>
              <w:tc>
                <w:tcPr>
                  <w:tcW w:w="1510" w:type="pct"/>
                  <w:vAlign w:val="center"/>
                </w:tcPr>
                <w:p w14:paraId="7180ACF8">
                  <w:pPr>
                    <w:autoSpaceDE w:val="0"/>
                    <w:autoSpaceDN w:val="0"/>
                    <w:adjustRightInd w:val="0"/>
                    <w:snapToGrid w:val="0"/>
                    <w:jc w:val="center"/>
                    <w:rPr>
                      <w:szCs w:val="21"/>
                    </w:rPr>
                  </w:pPr>
                  <w:r>
                    <w:rPr>
                      <w:szCs w:val="21"/>
                    </w:rPr>
                    <w:t>监测点位</w:t>
                  </w:r>
                </w:p>
              </w:tc>
              <w:tc>
                <w:tcPr>
                  <w:tcW w:w="1542" w:type="pct"/>
                  <w:vAlign w:val="center"/>
                </w:tcPr>
                <w:p w14:paraId="492A7E69">
                  <w:pPr>
                    <w:autoSpaceDE w:val="0"/>
                    <w:autoSpaceDN w:val="0"/>
                    <w:adjustRightInd w:val="0"/>
                    <w:snapToGrid w:val="0"/>
                    <w:jc w:val="center"/>
                    <w:rPr>
                      <w:szCs w:val="21"/>
                    </w:rPr>
                  </w:pPr>
                  <w:r>
                    <w:rPr>
                      <w:szCs w:val="21"/>
                    </w:rPr>
                    <w:t>监测项目</w:t>
                  </w:r>
                </w:p>
              </w:tc>
              <w:tc>
                <w:tcPr>
                  <w:tcW w:w="1018" w:type="pct"/>
                  <w:vAlign w:val="center"/>
                </w:tcPr>
                <w:p w14:paraId="7E11F21F">
                  <w:pPr>
                    <w:autoSpaceDE w:val="0"/>
                    <w:autoSpaceDN w:val="0"/>
                    <w:adjustRightInd w:val="0"/>
                    <w:snapToGrid w:val="0"/>
                    <w:jc w:val="center"/>
                    <w:rPr>
                      <w:szCs w:val="21"/>
                    </w:rPr>
                  </w:pPr>
                  <w:r>
                    <w:rPr>
                      <w:szCs w:val="21"/>
                    </w:rPr>
                    <w:t>监测频率</w:t>
                  </w:r>
                </w:p>
              </w:tc>
            </w:tr>
            <w:tr w14:paraId="7ABF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38" w:type="pct"/>
                  <w:vAlign w:val="center"/>
                </w:tcPr>
                <w:p w14:paraId="382A756F">
                  <w:pPr>
                    <w:autoSpaceDE w:val="0"/>
                    <w:autoSpaceDN w:val="0"/>
                    <w:adjustRightInd w:val="0"/>
                    <w:snapToGrid w:val="0"/>
                    <w:jc w:val="center"/>
                    <w:rPr>
                      <w:szCs w:val="21"/>
                    </w:rPr>
                  </w:pPr>
                  <w:r>
                    <w:rPr>
                      <w:szCs w:val="21"/>
                    </w:rPr>
                    <w:t>1</w:t>
                  </w:r>
                </w:p>
              </w:tc>
              <w:tc>
                <w:tcPr>
                  <w:tcW w:w="590" w:type="pct"/>
                  <w:vAlign w:val="center"/>
                </w:tcPr>
                <w:p w14:paraId="1D7ED299">
                  <w:pPr>
                    <w:autoSpaceDE w:val="0"/>
                    <w:autoSpaceDN w:val="0"/>
                    <w:adjustRightInd w:val="0"/>
                    <w:snapToGrid w:val="0"/>
                    <w:jc w:val="center"/>
                    <w:rPr>
                      <w:szCs w:val="21"/>
                    </w:rPr>
                  </w:pPr>
                  <w:r>
                    <w:rPr>
                      <w:szCs w:val="21"/>
                    </w:rPr>
                    <w:t>噪声</w:t>
                  </w:r>
                </w:p>
              </w:tc>
              <w:tc>
                <w:tcPr>
                  <w:tcW w:w="1510" w:type="pct"/>
                  <w:vAlign w:val="center"/>
                </w:tcPr>
                <w:p w14:paraId="26EC5DB9">
                  <w:pPr>
                    <w:autoSpaceDE w:val="0"/>
                    <w:autoSpaceDN w:val="0"/>
                    <w:adjustRightInd w:val="0"/>
                    <w:snapToGrid w:val="0"/>
                    <w:jc w:val="center"/>
                    <w:rPr>
                      <w:szCs w:val="21"/>
                    </w:rPr>
                  </w:pPr>
                  <w:r>
                    <w:rPr>
                      <w:szCs w:val="21"/>
                    </w:rPr>
                    <w:t>各厂界外1m</w:t>
                  </w:r>
                </w:p>
              </w:tc>
              <w:tc>
                <w:tcPr>
                  <w:tcW w:w="1542" w:type="pct"/>
                  <w:vAlign w:val="center"/>
                </w:tcPr>
                <w:p w14:paraId="02938ADB">
                  <w:pPr>
                    <w:autoSpaceDE w:val="0"/>
                    <w:autoSpaceDN w:val="0"/>
                    <w:adjustRightInd w:val="0"/>
                    <w:snapToGrid w:val="0"/>
                    <w:jc w:val="center"/>
                    <w:rPr>
                      <w:szCs w:val="21"/>
                    </w:rPr>
                  </w:pPr>
                  <w:r>
                    <w:rPr>
                      <w:rFonts w:hint="eastAsia"/>
                      <w:szCs w:val="21"/>
                    </w:rPr>
                    <w:t>昼间</w:t>
                  </w:r>
                  <w:r>
                    <w:rPr>
                      <w:szCs w:val="21"/>
                    </w:rPr>
                    <w:t>Leq（A）</w:t>
                  </w:r>
                </w:p>
              </w:tc>
              <w:tc>
                <w:tcPr>
                  <w:tcW w:w="1018" w:type="pct"/>
                  <w:vAlign w:val="center"/>
                </w:tcPr>
                <w:p w14:paraId="193886E9">
                  <w:pPr>
                    <w:autoSpaceDE w:val="0"/>
                    <w:autoSpaceDN w:val="0"/>
                    <w:adjustRightInd w:val="0"/>
                    <w:snapToGrid w:val="0"/>
                    <w:jc w:val="center"/>
                    <w:rPr>
                      <w:szCs w:val="21"/>
                    </w:rPr>
                  </w:pPr>
                  <w:r>
                    <w:rPr>
                      <w:szCs w:val="21"/>
                    </w:rPr>
                    <w:t>每季度一次</w:t>
                  </w:r>
                </w:p>
              </w:tc>
            </w:tr>
          </w:tbl>
          <w:p w14:paraId="2C17DA08">
            <w:pPr>
              <w:pStyle w:val="98"/>
              <w:keepNext w:val="0"/>
              <w:keepLines w:val="0"/>
              <w:pageBreakBefore w:val="0"/>
              <w:widowControl w:val="0"/>
              <w:kinsoku/>
              <w:wordWrap/>
              <w:overflowPunct/>
              <w:topLinePunct w:val="0"/>
              <w:autoSpaceDE/>
              <w:autoSpaceDN/>
              <w:bidi w:val="0"/>
              <w:adjustRightInd w:val="0"/>
              <w:snapToGrid w:val="0"/>
              <w:spacing w:before="0" w:beforeLines="0" w:after="0" w:afterLines="0"/>
              <w:textAlignment w:val="auto"/>
              <w:rPr>
                <w:rFonts w:hint="eastAsia" w:ascii="黑体" w:hAnsi="黑体" w:eastAsia="黑体" w:cs="黑体"/>
                <w:sz w:val="21"/>
                <w:szCs w:val="21"/>
                <w:lang w:val="en-US" w:eastAsia="zh-CN"/>
              </w:rPr>
            </w:pPr>
            <w:bookmarkStart w:id="45" w:name="_Toc197848442"/>
            <w:r>
              <w:rPr>
                <w:rFonts w:hint="eastAsia" w:ascii="黑体" w:hAnsi="黑体" w:eastAsia="黑体" w:cs="黑体"/>
                <w:sz w:val="21"/>
                <w:szCs w:val="21"/>
                <w:lang w:val="en-US" w:eastAsia="zh-CN"/>
              </w:rPr>
              <w:t>备注：夜间不生产。</w:t>
            </w:r>
          </w:p>
          <w:p w14:paraId="62DBCC29">
            <w:pPr>
              <w:pStyle w:val="98"/>
              <w:spacing w:before="120" w:after="120"/>
              <w:rPr>
                <w:rFonts w:ascii="Times New Roman" w:hAnsi="Times New Roman"/>
              </w:rPr>
            </w:pPr>
            <w:r>
              <w:rPr>
                <w:rFonts w:ascii="Times New Roman" w:hAnsi="Times New Roman"/>
              </w:rPr>
              <w:t>4、固体废物</w:t>
            </w:r>
            <w:bookmarkEnd w:id="45"/>
          </w:p>
          <w:p w14:paraId="5779ECDC">
            <w:pPr>
              <w:autoSpaceDE w:val="0"/>
              <w:autoSpaceDN w:val="0"/>
              <w:adjustRightInd w:val="0"/>
              <w:spacing w:line="360" w:lineRule="auto"/>
              <w:ind w:firstLine="480" w:firstLineChars="200"/>
              <w:jc w:val="left"/>
              <w:rPr>
                <w:sz w:val="24"/>
              </w:rPr>
            </w:pPr>
            <w:r>
              <w:rPr>
                <w:sz w:val="24"/>
              </w:rPr>
              <w:t>根据工艺分析可知，项目产生的副产物主要为：</w:t>
            </w:r>
            <w:r>
              <w:rPr>
                <w:rFonts w:hint="eastAsia"/>
                <w:sz w:val="24"/>
                <w:lang w:val="en-US" w:eastAsia="zh-CN"/>
              </w:rPr>
              <w:t>杂质石子、废包装袋、废离子交换树脂、废活性炭</w:t>
            </w:r>
            <w:r>
              <w:rPr>
                <w:sz w:val="24"/>
              </w:rPr>
              <w:t>以及职工生活垃圾。</w:t>
            </w:r>
          </w:p>
          <w:p w14:paraId="37B3EEB2">
            <w:pPr>
              <w:autoSpaceDE w:val="0"/>
              <w:autoSpaceDN w:val="0"/>
              <w:adjustRightInd w:val="0"/>
              <w:spacing w:line="360" w:lineRule="auto"/>
              <w:ind w:left="420" w:leftChars="200"/>
              <w:jc w:val="left"/>
              <w:rPr>
                <w:b/>
                <w:bCs/>
                <w:sz w:val="24"/>
              </w:rPr>
            </w:pPr>
            <w:r>
              <w:rPr>
                <w:b/>
                <w:bCs/>
                <w:sz w:val="24"/>
              </w:rPr>
              <w:t>4.1 副产物量核算</w:t>
            </w:r>
          </w:p>
          <w:p w14:paraId="64CA3F02">
            <w:pPr>
              <w:autoSpaceDE w:val="0"/>
              <w:autoSpaceDN w:val="0"/>
              <w:adjustRightInd w:val="0"/>
              <w:spacing w:line="360" w:lineRule="auto"/>
              <w:ind w:firstLine="480" w:firstLineChars="200"/>
              <w:jc w:val="left"/>
              <w:rPr>
                <w:rFonts w:hint="default" w:eastAsia="宋体"/>
                <w:kern w:val="0"/>
                <w:sz w:val="24"/>
                <w:lang w:val="en-US" w:eastAsia="zh-CN"/>
              </w:rPr>
            </w:pPr>
            <w:r>
              <w:rPr>
                <w:kern w:val="0"/>
                <w:sz w:val="24"/>
              </w:rPr>
              <w:t>（1）</w:t>
            </w:r>
            <w:r>
              <w:rPr>
                <w:rFonts w:hint="eastAsia"/>
                <w:kern w:val="0"/>
                <w:sz w:val="24"/>
                <w:lang w:val="en-US" w:eastAsia="zh-CN"/>
              </w:rPr>
              <w:t>杂质</w:t>
            </w:r>
          </w:p>
          <w:p w14:paraId="5967E9A5">
            <w:pPr>
              <w:widowControl/>
              <w:spacing w:line="360" w:lineRule="auto"/>
              <w:ind w:firstLine="480" w:firstLineChars="200"/>
              <w:jc w:val="left"/>
              <w:rPr>
                <w:sz w:val="24"/>
              </w:rPr>
            </w:pPr>
            <w:r>
              <w:rPr>
                <w:kern w:val="0"/>
                <w:sz w:val="24"/>
                <w:lang w:bidi="ar"/>
              </w:rPr>
              <w:t>项目</w:t>
            </w:r>
            <w:r>
              <w:rPr>
                <w:rFonts w:hint="eastAsia"/>
                <w:kern w:val="0"/>
                <w:sz w:val="24"/>
                <w:lang w:val="en-US" w:eastAsia="zh-CN" w:bidi="ar"/>
              </w:rPr>
              <w:t>原料大豆在人工挑拣时，有少量杂质石子，产生量约1t/a，收集后由环卫部门定期清运</w:t>
            </w:r>
            <w:r>
              <w:rPr>
                <w:sz w:val="24"/>
              </w:rPr>
              <w:t>。</w:t>
            </w:r>
          </w:p>
          <w:p w14:paraId="0C8A2ACE">
            <w:pPr>
              <w:autoSpaceDE w:val="0"/>
              <w:autoSpaceDN w:val="0"/>
              <w:adjustRightInd w:val="0"/>
              <w:spacing w:line="360" w:lineRule="auto"/>
              <w:ind w:firstLine="480" w:firstLineChars="200"/>
              <w:jc w:val="left"/>
              <w:rPr>
                <w:rFonts w:hint="eastAsia" w:eastAsia="宋体"/>
                <w:kern w:val="0"/>
                <w:sz w:val="24"/>
                <w:lang w:eastAsia="zh-CN"/>
              </w:rPr>
            </w:pPr>
            <w:r>
              <w:rPr>
                <w:kern w:val="0"/>
                <w:sz w:val="24"/>
              </w:rPr>
              <w:t>（2）</w:t>
            </w:r>
            <w:r>
              <w:rPr>
                <w:rFonts w:hint="eastAsia"/>
                <w:kern w:val="0"/>
                <w:sz w:val="24"/>
                <w:lang w:val="en-US" w:eastAsia="zh-CN"/>
              </w:rPr>
              <w:t>废包装袋</w:t>
            </w:r>
          </w:p>
          <w:p w14:paraId="0FF90BDD">
            <w:pPr>
              <w:pStyle w:val="46"/>
              <w:snapToGrid w:val="0"/>
              <w:spacing w:after="0" w:line="360" w:lineRule="auto"/>
              <w:ind w:left="0" w:leftChars="0" w:firstLine="480"/>
              <w:rPr>
                <w:rFonts w:hint="eastAsia"/>
                <w:sz w:val="24"/>
              </w:rPr>
            </w:pPr>
            <w:r>
              <w:rPr>
                <w:rFonts w:hint="eastAsia"/>
                <w:sz w:val="24"/>
                <w:lang w:val="en-US" w:eastAsia="zh-CN"/>
              </w:rPr>
              <w:t>项目预计产生2万个包装袋，每个袋子约0.2kg，预计产生量4t/a，收集后出售给物资回收部门</w:t>
            </w:r>
            <w:r>
              <w:rPr>
                <w:rFonts w:hint="eastAsia"/>
                <w:sz w:val="24"/>
              </w:rPr>
              <w:t>。</w:t>
            </w:r>
          </w:p>
          <w:p w14:paraId="305EFBDD">
            <w:pPr>
              <w:adjustRightInd w:val="0"/>
              <w:snapToGrid w:val="0"/>
              <w:spacing w:line="360" w:lineRule="auto"/>
              <w:ind w:firstLine="480" w:firstLineChars="200"/>
              <w:contextualSpacing/>
              <w:rPr>
                <w:rFonts w:hint="eastAsia"/>
                <w:sz w:val="24"/>
                <w:lang w:val="en-US" w:eastAsia="zh-CN"/>
              </w:rPr>
            </w:pPr>
            <w:r>
              <w:rPr>
                <w:rFonts w:hint="eastAsia"/>
                <w:sz w:val="24"/>
              </w:rPr>
              <w:t>（</w:t>
            </w:r>
            <w:r>
              <w:rPr>
                <w:rFonts w:hint="eastAsia"/>
                <w:sz w:val="24"/>
                <w:lang w:val="en-US" w:eastAsia="zh-CN"/>
              </w:rPr>
              <w:t>3</w:t>
            </w:r>
            <w:r>
              <w:rPr>
                <w:rFonts w:hint="eastAsia"/>
                <w:sz w:val="24"/>
              </w:rPr>
              <w:t>）</w:t>
            </w:r>
            <w:r>
              <w:rPr>
                <w:rFonts w:hint="eastAsia"/>
                <w:sz w:val="24"/>
                <w:lang w:val="en-US" w:eastAsia="zh-CN"/>
              </w:rPr>
              <w:t>废离子交换树脂</w:t>
            </w:r>
          </w:p>
          <w:p w14:paraId="02805788">
            <w:pPr>
              <w:pStyle w:val="16"/>
              <w:keepNext w:val="0"/>
              <w:keepLines w:val="0"/>
              <w:pageBreakBefore w:val="0"/>
              <w:widowControl/>
              <w:kinsoku/>
              <w:wordWrap/>
              <w:overflowPunct/>
              <w:topLinePunct w:val="0"/>
              <w:autoSpaceDE/>
              <w:autoSpaceDN/>
              <w:bidi w:val="0"/>
              <w:adjustRightInd w:val="0"/>
              <w:snapToGrid w:val="0"/>
              <w:spacing w:before="0" w:after="0" w:line="360" w:lineRule="auto"/>
              <w:ind w:right="0" w:firstLine="480" w:firstLineChars="200"/>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本项目生产过程中需使用软水，软水制备设备采用离子交换树脂，</w:t>
            </w:r>
            <w:r>
              <w:rPr>
                <w:rFonts w:hint="eastAsia" w:cs="Times New Roman"/>
                <w:sz w:val="24"/>
                <w:lang w:val="en-US" w:eastAsia="zh-CN"/>
              </w:rPr>
              <w:t>一</w:t>
            </w:r>
            <w:r>
              <w:rPr>
                <w:rFonts w:hint="eastAsia" w:ascii="Times New Roman" w:hAnsi="Times New Roman" w:eastAsia="宋体" w:cs="Times New Roman"/>
                <w:sz w:val="24"/>
                <w:lang w:val="en-US" w:eastAsia="zh-CN"/>
              </w:rPr>
              <w:t>年一换，产生量为0.2t/a，收集后外售给物资回收部门。</w:t>
            </w:r>
          </w:p>
          <w:p w14:paraId="1706DC67">
            <w:pPr>
              <w:pStyle w:val="46"/>
              <w:numPr>
                <w:ilvl w:val="0"/>
                <w:numId w:val="0"/>
              </w:numPr>
              <w:snapToGrid w:val="0"/>
              <w:spacing w:after="0" w:line="360" w:lineRule="auto"/>
              <w:ind w:left="23" w:leftChars="11" w:firstLine="480" w:firstLineChars="200"/>
              <w:rPr>
                <w:rFonts w:hint="eastAsia"/>
                <w:sz w:val="24"/>
                <w:lang w:val="en-US" w:eastAsia="zh-CN"/>
              </w:rPr>
            </w:pP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4</w:t>
            </w:r>
            <w:r>
              <w:rPr>
                <w:rFonts w:hint="eastAsia" w:ascii="Times New Roman" w:hAnsi="Times New Roman" w:eastAsia="宋体" w:cs="Times New Roman"/>
                <w:kern w:val="2"/>
                <w:sz w:val="24"/>
                <w:szCs w:val="24"/>
                <w:lang w:val="en-US" w:eastAsia="zh-CN" w:bidi="ar-SA"/>
              </w:rPr>
              <w:t>）</w:t>
            </w:r>
            <w:r>
              <w:rPr>
                <w:rFonts w:hint="eastAsia"/>
                <w:sz w:val="24"/>
                <w:lang w:val="en-US" w:eastAsia="zh-CN"/>
              </w:rPr>
              <w:t>废活性炭</w:t>
            </w:r>
          </w:p>
          <w:p w14:paraId="1BD56DC6">
            <w:pPr>
              <w:pStyle w:val="16"/>
              <w:keepNext w:val="0"/>
              <w:keepLines w:val="0"/>
              <w:pageBreakBefore w:val="0"/>
              <w:widowControl/>
              <w:kinsoku/>
              <w:wordWrap/>
              <w:overflowPunct/>
              <w:topLinePunct w:val="0"/>
              <w:autoSpaceDE/>
              <w:autoSpaceDN/>
              <w:bidi w:val="0"/>
              <w:adjustRightInd w:val="0"/>
              <w:snapToGrid w:val="0"/>
              <w:spacing w:before="0" w:after="0" w:line="360" w:lineRule="auto"/>
              <w:ind w:right="0" w:firstLine="480" w:firstLineChars="200"/>
              <w:textAlignment w:val="auto"/>
              <w:rPr>
                <w:rFonts w:hint="default" w:cs="Times New Roman"/>
                <w:sz w:val="24"/>
                <w:lang w:val="en-US" w:eastAsia="zh-CN"/>
              </w:rPr>
            </w:pPr>
            <w:r>
              <w:rPr>
                <w:rFonts w:hint="eastAsia" w:ascii="Times New Roman" w:hAnsi="Times New Roman" w:eastAsia="宋体" w:cs="Times New Roman"/>
                <w:sz w:val="24"/>
                <w:lang w:val="en-US" w:eastAsia="zh-CN"/>
              </w:rPr>
              <w:t>本项目车间异味经活性炭吸附处理后经排气筒排放，活性炭填充量为200kg，半年一换，则废活性炭的产生量为0.4t/a，参照《国家危险废物名录（2025年版）》</w:t>
            </w:r>
            <w:r>
              <w:rPr>
                <w:rFonts w:hint="eastAsia" w:cs="Times New Roman"/>
                <w:sz w:val="24"/>
                <w:lang w:val="en-US" w:eastAsia="zh-CN"/>
              </w:rPr>
              <w:t>，本项目废活性炭不属于烟气、VOCs治理过程（不包括餐饮行业油烟治理过程）产生的废活性炭，属于一般固废，收集后外售给物资回收部门。</w:t>
            </w:r>
          </w:p>
          <w:p w14:paraId="205CF99C">
            <w:pPr>
              <w:pStyle w:val="46"/>
              <w:snapToGrid w:val="0"/>
              <w:spacing w:after="0" w:line="360" w:lineRule="auto"/>
              <w:ind w:left="0" w:leftChars="0" w:firstLine="480"/>
              <w:rPr>
                <w:rFonts w:hint="eastAsia"/>
                <w:sz w:val="24"/>
              </w:rPr>
            </w:pPr>
            <w:r>
              <w:rPr>
                <w:rFonts w:hint="eastAsia"/>
                <w:sz w:val="24"/>
                <w:lang w:eastAsia="zh-CN"/>
              </w:rPr>
              <w:t>（</w:t>
            </w:r>
            <w:r>
              <w:rPr>
                <w:rFonts w:hint="eastAsia"/>
                <w:sz w:val="24"/>
                <w:lang w:val="en-US" w:eastAsia="zh-CN"/>
              </w:rPr>
              <w:t>5</w:t>
            </w:r>
            <w:r>
              <w:rPr>
                <w:rFonts w:hint="eastAsia"/>
                <w:sz w:val="24"/>
                <w:lang w:eastAsia="zh-CN"/>
              </w:rPr>
              <w:t>）</w:t>
            </w:r>
            <w:r>
              <w:rPr>
                <w:rFonts w:hint="eastAsia"/>
                <w:sz w:val="24"/>
              </w:rPr>
              <w:t>生活垃圾</w:t>
            </w:r>
          </w:p>
          <w:p w14:paraId="5792FD4F">
            <w:pPr>
              <w:pStyle w:val="46"/>
              <w:snapToGrid w:val="0"/>
              <w:spacing w:after="0" w:line="360" w:lineRule="auto"/>
              <w:ind w:left="0" w:leftChars="0" w:firstLine="480"/>
              <w:rPr>
                <w:rFonts w:hint="eastAsia"/>
                <w:sz w:val="24"/>
              </w:rPr>
            </w:pPr>
            <w:r>
              <w:rPr>
                <w:rFonts w:hint="eastAsia"/>
                <w:sz w:val="24"/>
              </w:rPr>
              <w:t>生活垃圾产生量按每人每天0.5kg计算，职工生活垃圾产生量为</w:t>
            </w:r>
            <w:r>
              <w:rPr>
                <w:rFonts w:hint="eastAsia"/>
                <w:sz w:val="24"/>
                <w:lang w:val="en-US" w:eastAsia="zh-CN"/>
              </w:rPr>
              <w:t>1.5</w:t>
            </w:r>
            <w:r>
              <w:rPr>
                <w:rFonts w:hint="eastAsia"/>
                <w:sz w:val="24"/>
              </w:rPr>
              <w:t>t/a。职工生活垃圾委托环卫部门清运处理。</w:t>
            </w:r>
          </w:p>
          <w:p w14:paraId="3772F767">
            <w:pPr>
              <w:pStyle w:val="144"/>
            </w:pPr>
            <w:r>
              <w:t>根据前文核算分析，参照《固体废物鉴别标准 通则》（GB34330-2017）</w:t>
            </w:r>
            <w:r>
              <w:rPr>
                <w:bCs/>
              </w:rPr>
              <w:t>、《国家危险废物名录（2025年版）》及《危险废物鉴别标准》等文件，项目固体废物产生、排放及处置措施如下：</w:t>
            </w:r>
          </w:p>
          <w:p w14:paraId="4D7ED468">
            <w:pPr>
              <w:pStyle w:val="56"/>
              <w:numPr>
                <w:ilvl w:val="0"/>
                <w:numId w:val="0"/>
              </w:numPr>
              <w:spacing w:before="120"/>
              <w:ind w:firstLine="1546" w:firstLineChars="700"/>
              <w:jc w:val="both"/>
              <w:rPr>
                <w:szCs w:val="21"/>
                <w:lang w:bidi="ar"/>
              </w:rPr>
            </w:pPr>
            <w:r>
              <w:rPr>
                <w:rFonts w:hint="eastAsia"/>
                <w:lang w:val="en-US" w:eastAsia="zh-CN" w:bidi="ar"/>
              </w:rPr>
              <w:t>表39</w:t>
            </w:r>
            <w:r>
              <w:rPr>
                <w:rFonts w:hint="eastAsia"/>
                <w:lang w:bidi="ar"/>
              </w:rPr>
              <w:t>一般</w:t>
            </w:r>
            <w:r>
              <w:rPr>
                <w:lang w:bidi="ar"/>
              </w:rPr>
              <w:t>工业固体废物产生及处置情况一览表</w:t>
            </w:r>
          </w:p>
          <w:tbl>
            <w:tblPr>
              <w:tblStyle w:val="47"/>
              <w:tblW w:w="8421"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17" w:type="dxa"/>
                <w:left w:w="0" w:type="dxa"/>
                <w:bottom w:w="17" w:type="dxa"/>
                <w:right w:w="0" w:type="dxa"/>
              </w:tblCellMar>
            </w:tblPr>
            <w:tblGrid>
              <w:gridCol w:w="348"/>
              <w:gridCol w:w="1280"/>
              <w:gridCol w:w="937"/>
              <w:gridCol w:w="705"/>
              <w:gridCol w:w="1033"/>
              <w:gridCol w:w="679"/>
              <w:gridCol w:w="952"/>
              <w:gridCol w:w="731"/>
              <w:gridCol w:w="1756"/>
            </w:tblGrid>
            <w:tr w14:paraId="48EE325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7" w:type="dxa"/>
                  <w:left w:w="0" w:type="dxa"/>
                  <w:bottom w:w="17" w:type="dxa"/>
                  <w:right w:w="0" w:type="dxa"/>
                </w:tblCellMar>
              </w:tblPrEx>
              <w:trPr>
                <w:trHeight w:val="241" w:hRule="atLeast"/>
                <w:jc w:val="center"/>
              </w:trPr>
              <w:tc>
                <w:tcPr>
                  <w:tcW w:w="348" w:type="dxa"/>
                  <w:vMerge w:val="restart"/>
                  <w:tcBorders>
                    <w:tl2br w:val="nil"/>
                    <w:tr2bl w:val="nil"/>
                  </w:tcBorders>
                  <w:vAlign w:val="center"/>
                </w:tcPr>
                <w:p w14:paraId="212AFC42">
                  <w:pPr>
                    <w:jc w:val="center"/>
                    <w:rPr>
                      <w:szCs w:val="21"/>
                    </w:rPr>
                  </w:pPr>
                </w:p>
                <w:p w14:paraId="455F2513">
                  <w:pPr>
                    <w:jc w:val="center"/>
                    <w:rPr>
                      <w:szCs w:val="21"/>
                    </w:rPr>
                  </w:pPr>
                  <w:r>
                    <w:rPr>
                      <w:szCs w:val="21"/>
                    </w:rPr>
                    <w:t>序号</w:t>
                  </w:r>
                </w:p>
              </w:tc>
              <w:tc>
                <w:tcPr>
                  <w:tcW w:w="1280" w:type="dxa"/>
                  <w:vMerge w:val="restart"/>
                  <w:tcBorders>
                    <w:tl2br w:val="nil"/>
                    <w:tr2bl w:val="nil"/>
                  </w:tcBorders>
                  <w:vAlign w:val="center"/>
                </w:tcPr>
                <w:p w14:paraId="483F3E6E">
                  <w:pPr>
                    <w:jc w:val="center"/>
                    <w:rPr>
                      <w:szCs w:val="21"/>
                    </w:rPr>
                  </w:pPr>
                </w:p>
                <w:p w14:paraId="1BD54103">
                  <w:pPr>
                    <w:jc w:val="center"/>
                    <w:rPr>
                      <w:szCs w:val="21"/>
                    </w:rPr>
                  </w:pPr>
                  <w:r>
                    <w:rPr>
                      <w:szCs w:val="21"/>
                    </w:rPr>
                    <w:t>固体废物来源</w:t>
                  </w:r>
                </w:p>
              </w:tc>
              <w:tc>
                <w:tcPr>
                  <w:tcW w:w="937" w:type="dxa"/>
                  <w:vMerge w:val="restart"/>
                  <w:tcBorders>
                    <w:tl2br w:val="nil"/>
                    <w:tr2bl w:val="nil"/>
                  </w:tcBorders>
                  <w:vAlign w:val="center"/>
                </w:tcPr>
                <w:p w14:paraId="1FE3A666">
                  <w:pPr>
                    <w:jc w:val="center"/>
                    <w:rPr>
                      <w:szCs w:val="21"/>
                    </w:rPr>
                  </w:pPr>
                </w:p>
                <w:p w14:paraId="20DBACF6">
                  <w:pPr>
                    <w:jc w:val="center"/>
                    <w:rPr>
                      <w:szCs w:val="21"/>
                    </w:rPr>
                  </w:pPr>
                  <w:r>
                    <w:rPr>
                      <w:szCs w:val="21"/>
                    </w:rPr>
                    <w:t>固体废物名称</w:t>
                  </w:r>
                </w:p>
              </w:tc>
              <w:tc>
                <w:tcPr>
                  <w:tcW w:w="705" w:type="dxa"/>
                  <w:vMerge w:val="restart"/>
                  <w:tcBorders>
                    <w:tl2br w:val="nil"/>
                    <w:tr2bl w:val="nil"/>
                  </w:tcBorders>
                  <w:vAlign w:val="center"/>
                </w:tcPr>
                <w:p w14:paraId="023B2A9F">
                  <w:pPr>
                    <w:jc w:val="center"/>
                    <w:rPr>
                      <w:szCs w:val="21"/>
                    </w:rPr>
                  </w:pPr>
                </w:p>
                <w:p w14:paraId="0B7649C7">
                  <w:pPr>
                    <w:jc w:val="center"/>
                    <w:rPr>
                      <w:szCs w:val="21"/>
                    </w:rPr>
                  </w:pPr>
                  <w:r>
                    <w:rPr>
                      <w:szCs w:val="21"/>
                    </w:rPr>
                    <w:t>固体废物种类</w:t>
                  </w:r>
                </w:p>
              </w:tc>
              <w:tc>
                <w:tcPr>
                  <w:tcW w:w="1033" w:type="dxa"/>
                  <w:vMerge w:val="restart"/>
                  <w:tcBorders>
                    <w:tl2br w:val="nil"/>
                    <w:tr2bl w:val="nil"/>
                  </w:tcBorders>
                  <w:vAlign w:val="center"/>
                </w:tcPr>
                <w:p w14:paraId="7831153E">
                  <w:pPr>
                    <w:jc w:val="center"/>
                    <w:rPr>
                      <w:szCs w:val="21"/>
                    </w:rPr>
                  </w:pPr>
                </w:p>
                <w:p w14:paraId="7C32BC55">
                  <w:pPr>
                    <w:jc w:val="center"/>
                    <w:rPr>
                      <w:szCs w:val="21"/>
                    </w:rPr>
                  </w:pPr>
                  <w:r>
                    <w:rPr>
                      <w:szCs w:val="21"/>
                    </w:rPr>
                    <w:t>固体废物类别代码</w:t>
                  </w:r>
                </w:p>
              </w:tc>
              <w:tc>
                <w:tcPr>
                  <w:tcW w:w="679" w:type="dxa"/>
                  <w:vMerge w:val="restart"/>
                  <w:tcBorders>
                    <w:tl2br w:val="nil"/>
                    <w:tr2bl w:val="nil"/>
                  </w:tcBorders>
                  <w:vAlign w:val="center"/>
                </w:tcPr>
                <w:p w14:paraId="1312629E">
                  <w:pPr>
                    <w:jc w:val="center"/>
                    <w:rPr>
                      <w:szCs w:val="21"/>
                    </w:rPr>
                  </w:pPr>
                </w:p>
                <w:p w14:paraId="7B171B2F">
                  <w:pPr>
                    <w:jc w:val="center"/>
                    <w:rPr>
                      <w:szCs w:val="21"/>
                    </w:rPr>
                  </w:pPr>
                  <w:r>
                    <w:rPr>
                      <w:szCs w:val="21"/>
                    </w:rPr>
                    <w:t>固体废物描述</w:t>
                  </w:r>
                </w:p>
              </w:tc>
              <w:tc>
                <w:tcPr>
                  <w:tcW w:w="952" w:type="dxa"/>
                  <w:vMerge w:val="restart"/>
                  <w:tcBorders>
                    <w:tl2br w:val="nil"/>
                    <w:tr2bl w:val="nil"/>
                  </w:tcBorders>
                  <w:vAlign w:val="center"/>
                </w:tcPr>
                <w:p w14:paraId="323F4F3B">
                  <w:pPr>
                    <w:jc w:val="center"/>
                    <w:rPr>
                      <w:szCs w:val="21"/>
                    </w:rPr>
                  </w:pPr>
                  <w:r>
                    <w:rPr>
                      <w:szCs w:val="21"/>
                    </w:rPr>
                    <w:t>主要成分</w:t>
                  </w:r>
                </w:p>
              </w:tc>
              <w:tc>
                <w:tcPr>
                  <w:tcW w:w="731" w:type="dxa"/>
                  <w:vMerge w:val="restart"/>
                  <w:tcBorders>
                    <w:tl2br w:val="nil"/>
                    <w:tr2bl w:val="nil"/>
                  </w:tcBorders>
                  <w:vAlign w:val="center"/>
                </w:tcPr>
                <w:p w14:paraId="0C0098B8">
                  <w:pPr>
                    <w:jc w:val="center"/>
                    <w:rPr>
                      <w:szCs w:val="21"/>
                    </w:rPr>
                  </w:pPr>
                  <w:r>
                    <w:rPr>
                      <w:szCs w:val="21"/>
                    </w:rPr>
                    <w:t>固体废物产生量</w:t>
                  </w:r>
                </w:p>
                <w:p w14:paraId="7486703B">
                  <w:pPr>
                    <w:jc w:val="center"/>
                    <w:rPr>
                      <w:szCs w:val="21"/>
                    </w:rPr>
                  </w:pPr>
                  <w:r>
                    <w:rPr>
                      <w:szCs w:val="21"/>
                    </w:rPr>
                    <w:t>(t/a)</w:t>
                  </w:r>
                </w:p>
              </w:tc>
              <w:tc>
                <w:tcPr>
                  <w:tcW w:w="1756" w:type="dxa"/>
                  <w:vMerge w:val="restart"/>
                  <w:tcBorders>
                    <w:tl2br w:val="nil"/>
                    <w:tr2bl w:val="nil"/>
                  </w:tcBorders>
                  <w:vAlign w:val="center"/>
                </w:tcPr>
                <w:p w14:paraId="7B5179F0">
                  <w:pPr>
                    <w:jc w:val="center"/>
                    <w:rPr>
                      <w:szCs w:val="21"/>
                    </w:rPr>
                  </w:pPr>
                </w:p>
                <w:p w14:paraId="113E6682">
                  <w:pPr>
                    <w:jc w:val="center"/>
                    <w:rPr>
                      <w:szCs w:val="21"/>
                    </w:rPr>
                  </w:pPr>
                  <w:r>
                    <w:rPr>
                      <w:szCs w:val="21"/>
                    </w:rPr>
                    <w:t>处理方式</w:t>
                  </w:r>
                </w:p>
              </w:tc>
            </w:tr>
            <w:tr w14:paraId="7A6C6E0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7" w:type="dxa"/>
                  <w:left w:w="0" w:type="dxa"/>
                  <w:bottom w:w="17" w:type="dxa"/>
                  <w:right w:w="0" w:type="dxa"/>
                </w:tblCellMar>
              </w:tblPrEx>
              <w:trPr>
                <w:trHeight w:val="241" w:hRule="atLeast"/>
                <w:jc w:val="center"/>
              </w:trPr>
              <w:tc>
                <w:tcPr>
                  <w:tcW w:w="348" w:type="dxa"/>
                  <w:vMerge w:val="continue"/>
                  <w:tcBorders>
                    <w:tl2br w:val="nil"/>
                    <w:tr2bl w:val="nil"/>
                  </w:tcBorders>
                  <w:vAlign w:val="center"/>
                </w:tcPr>
                <w:p w14:paraId="14619504">
                  <w:pPr>
                    <w:jc w:val="center"/>
                    <w:rPr>
                      <w:szCs w:val="21"/>
                    </w:rPr>
                  </w:pPr>
                </w:p>
              </w:tc>
              <w:tc>
                <w:tcPr>
                  <w:tcW w:w="1280" w:type="dxa"/>
                  <w:vMerge w:val="continue"/>
                  <w:tcBorders>
                    <w:tl2br w:val="nil"/>
                    <w:tr2bl w:val="nil"/>
                  </w:tcBorders>
                  <w:vAlign w:val="center"/>
                </w:tcPr>
                <w:p w14:paraId="77AE6FE6">
                  <w:pPr>
                    <w:jc w:val="center"/>
                    <w:rPr>
                      <w:szCs w:val="21"/>
                    </w:rPr>
                  </w:pPr>
                </w:p>
              </w:tc>
              <w:tc>
                <w:tcPr>
                  <w:tcW w:w="937" w:type="dxa"/>
                  <w:vMerge w:val="continue"/>
                  <w:tcBorders>
                    <w:tl2br w:val="nil"/>
                    <w:tr2bl w:val="nil"/>
                  </w:tcBorders>
                  <w:vAlign w:val="center"/>
                </w:tcPr>
                <w:p w14:paraId="3841D16C">
                  <w:pPr>
                    <w:jc w:val="center"/>
                    <w:rPr>
                      <w:szCs w:val="21"/>
                    </w:rPr>
                  </w:pPr>
                </w:p>
              </w:tc>
              <w:tc>
                <w:tcPr>
                  <w:tcW w:w="705" w:type="dxa"/>
                  <w:vMerge w:val="continue"/>
                  <w:tcBorders>
                    <w:tl2br w:val="nil"/>
                    <w:tr2bl w:val="nil"/>
                  </w:tcBorders>
                  <w:vAlign w:val="center"/>
                </w:tcPr>
                <w:p w14:paraId="4F81EE6E">
                  <w:pPr>
                    <w:jc w:val="center"/>
                    <w:rPr>
                      <w:szCs w:val="21"/>
                    </w:rPr>
                  </w:pPr>
                </w:p>
              </w:tc>
              <w:tc>
                <w:tcPr>
                  <w:tcW w:w="1033" w:type="dxa"/>
                  <w:vMerge w:val="continue"/>
                  <w:tcBorders>
                    <w:tl2br w:val="nil"/>
                    <w:tr2bl w:val="nil"/>
                  </w:tcBorders>
                  <w:vAlign w:val="center"/>
                </w:tcPr>
                <w:p w14:paraId="2DCEC457">
                  <w:pPr>
                    <w:jc w:val="center"/>
                    <w:rPr>
                      <w:szCs w:val="21"/>
                    </w:rPr>
                  </w:pPr>
                </w:p>
              </w:tc>
              <w:tc>
                <w:tcPr>
                  <w:tcW w:w="679" w:type="dxa"/>
                  <w:vMerge w:val="continue"/>
                  <w:tcBorders>
                    <w:tl2br w:val="nil"/>
                    <w:tr2bl w:val="nil"/>
                  </w:tcBorders>
                  <w:vAlign w:val="center"/>
                </w:tcPr>
                <w:p w14:paraId="7C8B6C74">
                  <w:pPr>
                    <w:jc w:val="center"/>
                    <w:rPr>
                      <w:szCs w:val="21"/>
                    </w:rPr>
                  </w:pPr>
                </w:p>
              </w:tc>
              <w:tc>
                <w:tcPr>
                  <w:tcW w:w="952" w:type="dxa"/>
                  <w:vMerge w:val="continue"/>
                  <w:tcBorders>
                    <w:tl2br w:val="nil"/>
                    <w:tr2bl w:val="nil"/>
                  </w:tcBorders>
                  <w:vAlign w:val="center"/>
                </w:tcPr>
                <w:p w14:paraId="19E01EA2">
                  <w:pPr>
                    <w:jc w:val="center"/>
                    <w:rPr>
                      <w:szCs w:val="21"/>
                    </w:rPr>
                  </w:pPr>
                </w:p>
              </w:tc>
              <w:tc>
                <w:tcPr>
                  <w:tcW w:w="731" w:type="dxa"/>
                  <w:vMerge w:val="continue"/>
                  <w:tcBorders>
                    <w:tl2br w:val="nil"/>
                    <w:tr2bl w:val="nil"/>
                  </w:tcBorders>
                  <w:vAlign w:val="center"/>
                </w:tcPr>
                <w:p w14:paraId="3492D941">
                  <w:pPr>
                    <w:jc w:val="center"/>
                    <w:rPr>
                      <w:szCs w:val="21"/>
                    </w:rPr>
                  </w:pPr>
                </w:p>
              </w:tc>
              <w:tc>
                <w:tcPr>
                  <w:tcW w:w="1756" w:type="dxa"/>
                  <w:vMerge w:val="continue"/>
                  <w:tcBorders>
                    <w:tl2br w:val="nil"/>
                    <w:tr2bl w:val="nil"/>
                  </w:tcBorders>
                  <w:vAlign w:val="center"/>
                </w:tcPr>
                <w:p w14:paraId="09D816FC">
                  <w:pPr>
                    <w:jc w:val="center"/>
                    <w:rPr>
                      <w:szCs w:val="21"/>
                    </w:rPr>
                  </w:pPr>
                </w:p>
              </w:tc>
            </w:tr>
            <w:tr w14:paraId="65C8F83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7" w:type="dxa"/>
                  <w:left w:w="0" w:type="dxa"/>
                  <w:bottom w:w="17" w:type="dxa"/>
                  <w:right w:w="0" w:type="dxa"/>
                </w:tblCellMar>
              </w:tblPrEx>
              <w:trPr>
                <w:trHeight w:val="241" w:hRule="atLeast"/>
                <w:jc w:val="center"/>
              </w:trPr>
              <w:tc>
                <w:tcPr>
                  <w:tcW w:w="348" w:type="dxa"/>
                  <w:vMerge w:val="continue"/>
                  <w:tcBorders>
                    <w:tl2br w:val="nil"/>
                    <w:tr2bl w:val="nil"/>
                  </w:tcBorders>
                  <w:vAlign w:val="center"/>
                </w:tcPr>
                <w:p w14:paraId="37E6A4B8">
                  <w:pPr>
                    <w:jc w:val="center"/>
                    <w:rPr>
                      <w:szCs w:val="21"/>
                    </w:rPr>
                  </w:pPr>
                </w:p>
              </w:tc>
              <w:tc>
                <w:tcPr>
                  <w:tcW w:w="1280" w:type="dxa"/>
                  <w:vMerge w:val="continue"/>
                  <w:tcBorders>
                    <w:tl2br w:val="nil"/>
                    <w:tr2bl w:val="nil"/>
                  </w:tcBorders>
                  <w:vAlign w:val="center"/>
                </w:tcPr>
                <w:p w14:paraId="4E219530">
                  <w:pPr>
                    <w:jc w:val="center"/>
                    <w:rPr>
                      <w:szCs w:val="21"/>
                    </w:rPr>
                  </w:pPr>
                </w:p>
              </w:tc>
              <w:tc>
                <w:tcPr>
                  <w:tcW w:w="937" w:type="dxa"/>
                  <w:vMerge w:val="continue"/>
                  <w:tcBorders>
                    <w:tl2br w:val="nil"/>
                    <w:tr2bl w:val="nil"/>
                  </w:tcBorders>
                  <w:vAlign w:val="center"/>
                </w:tcPr>
                <w:p w14:paraId="7D59B1BB">
                  <w:pPr>
                    <w:jc w:val="center"/>
                    <w:rPr>
                      <w:szCs w:val="21"/>
                    </w:rPr>
                  </w:pPr>
                </w:p>
              </w:tc>
              <w:tc>
                <w:tcPr>
                  <w:tcW w:w="705" w:type="dxa"/>
                  <w:vMerge w:val="continue"/>
                  <w:tcBorders>
                    <w:tl2br w:val="nil"/>
                    <w:tr2bl w:val="nil"/>
                  </w:tcBorders>
                  <w:vAlign w:val="center"/>
                </w:tcPr>
                <w:p w14:paraId="6752292B">
                  <w:pPr>
                    <w:jc w:val="center"/>
                    <w:rPr>
                      <w:szCs w:val="21"/>
                    </w:rPr>
                  </w:pPr>
                </w:p>
              </w:tc>
              <w:tc>
                <w:tcPr>
                  <w:tcW w:w="1033" w:type="dxa"/>
                  <w:vMerge w:val="continue"/>
                  <w:tcBorders>
                    <w:tl2br w:val="nil"/>
                    <w:tr2bl w:val="nil"/>
                  </w:tcBorders>
                  <w:vAlign w:val="center"/>
                </w:tcPr>
                <w:p w14:paraId="018B5EA1">
                  <w:pPr>
                    <w:jc w:val="center"/>
                    <w:rPr>
                      <w:szCs w:val="21"/>
                    </w:rPr>
                  </w:pPr>
                </w:p>
              </w:tc>
              <w:tc>
                <w:tcPr>
                  <w:tcW w:w="679" w:type="dxa"/>
                  <w:vMerge w:val="continue"/>
                  <w:tcBorders>
                    <w:tl2br w:val="nil"/>
                    <w:tr2bl w:val="nil"/>
                  </w:tcBorders>
                  <w:vAlign w:val="center"/>
                </w:tcPr>
                <w:p w14:paraId="5F575065">
                  <w:pPr>
                    <w:jc w:val="center"/>
                    <w:rPr>
                      <w:szCs w:val="21"/>
                    </w:rPr>
                  </w:pPr>
                </w:p>
              </w:tc>
              <w:tc>
                <w:tcPr>
                  <w:tcW w:w="952" w:type="dxa"/>
                  <w:vMerge w:val="continue"/>
                  <w:tcBorders>
                    <w:tl2br w:val="nil"/>
                    <w:tr2bl w:val="nil"/>
                  </w:tcBorders>
                  <w:vAlign w:val="center"/>
                </w:tcPr>
                <w:p w14:paraId="5E839235">
                  <w:pPr>
                    <w:jc w:val="center"/>
                    <w:rPr>
                      <w:szCs w:val="21"/>
                    </w:rPr>
                  </w:pPr>
                </w:p>
              </w:tc>
              <w:tc>
                <w:tcPr>
                  <w:tcW w:w="731" w:type="dxa"/>
                  <w:vMerge w:val="continue"/>
                  <w:tcBorders>
                    <w:tl2br w:val="nil"/>
                    <w:tr2bl w:val="nil"/>
                  </w:tcBorders>
                  <w:vAlign w:val="center"/>
                </w:tcPr>
                <w:p w14:paraId="661C1C30">
                  <w:pPr>
                    <w:jc w:val="center"/>
                    <w:rPr>
                      <w:szCs w:val="21"/>
                    </w:rPr>
                  </w:pPr>
                </w:p>
              </w:tc>
              <w:tc>
                <w:tcPr>
                  <w:tcW w:w="1756" w:type="dxa"/>
                  <w:vMerge w:val="continue"/>
                  <w:tcBorders>
                    <w:tl2br w:val="nil"/>
                    <w:tr2bl w:val="nil"/>
                  </w:tcBorders>
                  <w:vAlign w:val="center"/>
                </w:tcPr>
                <w:p w14:paraId="7065A0BA">
                  <w:pPr>
                    <w:jc w:val="center"/>
                    <w:rPr>
                      <w:szCs w:val="21"/>
                    </w:rPr>
                  </w:pPr>
                </w:p>
              </w:tc>
            </w:tr>
            <w:tr w14:paraId="796E9C8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7" w:type="dxa"/>
                  <w:left w:w="0" w:type="dxa"/>
                  <w:bottom w:w="17" w:type="dxa"/>
                  <w:right w:w="0" w:type="dxa"/>
                </w:tblCellMar>
              </w:tblPrEx>
              <w:trPr>
                <w:trHeight w:val="87" w:hRule="atLeast"/>
                <w:jc w:val="center"/>
              </w:trPr>
              <w:tc>
                <w:tcPr>
                  <w:tcW w:w="348" w:type="dxa"/>
                  <w:tcBorders>
                    <w:tl2br w:val="nil"/>
                    <w:tr2bl w:val="nil"/>
                  </w:tcBorders>
                  <w:vAlign w:val="center"/>
                </w:tcPr>
                <w:p w14:paraId="58AB44F2">
                  <w:pPr>
                    <w:jc w:val="center"/>
                    <w:rPr>
                      <w:szCs w:val="21"/>
                    </w:rPr>
                  </w:pPr>
                  <w:r>
                    <w:rPr>
                      <w:szCs w:val="21"/>
                    </w:rPr>
                    <w:t>1</w:t>
                  </w:r>
                </w:p>
              </w:tc>
              <w:tc>
                <w:tcPr>
                  <w:tcW w:w="1280" w:type="dxa"/>
                  <w:tcBorders>
                    <w:tl2br w:val="nil"/>
                    <w:tr2bl w:val="nil"/>
                  </w:tcBorders>
                  <w:vAlign w:val="center"/>
                </w:tcPr>
                <w:p w14:paraId="79E90F1A">
                  <w:pPr>
                    <w:ind w:firstLine="31" w:firstLineChars="15"/>
                    <w:jc w:val="center"/>
                    <w:rPr>
                      <w:rFonts w:hint="eastAsia" w:eastAsia="宋体"/>
                      <w:szCs w:val="21"/>
                      <w:lang w:eastAsia="zh-CN"/>
                    </w:rPr>
                  </w:pPr>
                  <w:r>
                    <w:rPr>
                      <w:rFonts w:hint="eastAsia"/>
                      <w:szCs w:val="21"/>
                      <w:lang w:val="en-US" w:eastAsia="zh-CN"/>
                    </w:rPr>
                    <w:t>原料</w:t>
                  </w:r>
                </w:p>
              </w:tc>
              <w:tc>
                <w:tcPr>
                  <w:tcW w:w="937" w:type="dxa"/>
                  <w:tcBorders>
                    <w:tl2br w:val="nil"/>
                    <w:tr2bl w:val="nil"/>
                  </w:tcBorders>
                  <w:vAlign w:val="center"/>
                </w:tcPr>
                <w:p w14:paraId="07726EA1">
                  <w:pPr>
                    <w:ind w:firstLine="31" w:firstLineChars="15"/>
                    <w:jc w:val="center"/>
                    <w:rPr>
                      <w:rFonts w:hint="default" w:eastAsia="宋体"/>
                      <w:szCs w:val="21"/>
                      <w:lang w:val="en-US" w:eastAsia="zh-CN"/>
                    </w:rPr>
                  </w:pPr>
                  <w:r>
                    <w:rPr>
                      <w:rFonts w:hint="eastAsia"/>
                      <w:szCs w:val="21"/>
                      <w:lang w:val="en-US" w:eastAsia="zh-CN"/>
                    </w:rPr>
                    <w:t>杂质</w:t>
                  </w:r>
                </w:p>
              </w:tc>
              <w:tc>
                <w:tcPr>
                  <w:tcW w:w="705" w:type="dxa"/>
                  <w:tcBorders>
                    <w:tl2br w:val="nil"/>
                    <w:tr2bl w:val="nil"/>
                  </w:tcBorders>
                  <w:vAlign w:val="center"/>
                </w:tcPr>
                <w:p w14:paraId="0395BF29">
                  <w:pPr>
                    <w:jc w:val="center"/>
                    <w:rPr>
                      <w:szCs w:val="21"/>
                    </w:rPr>
                  </w:pPr>
                  <w:r>
                    <w:rPr>
                      <w:szCs w:val="21"/>
                    </w:rPr>
                    <w:t>一般固废</w:t>
                  </w:r>
                </w:p>
              </w:tc>
              <w:tc>
                <w:tcPr>
                  <w:tcW w:w="1033" w:type="dxa"/>
                  <w:tcBorders>
                    <w:tl2br w:val="nil"/>
                    <w:tr2bl w:val="nil"/>
                  </w:tcBorders>
                  <w:vAlign w:val="center"/>
                </w:tcPr>
                <w:p w14:paraId="3ED2C001">
                  <w:pPr>
                    <w:widowControl/>
                    <w:jc w:val="center"/>
                    <w:rPr>
                      <w:rFonts w:hint="default" w:eastAsia="宋体"/>
                      <w:szCs w:val="21"/>
                      <w:lang w:val="en-US" w:eastAsia="zh-CN"/>
                    </w:rPr>
                  </w:pPr>
                  <w:r>
                    <w:rPr>
                      <w:rFonts w:hint="eastAsia"/>
                      <w:kern w:val="0"/>
                      <w:szCs w:val="21"/>
                      <w:lang w:val="en-US" w:eastAsia="zh-CN" w:bidi="ar"/>
                    </w:rPr>
                    <w:t>130-001-39</w:t>
                  </w:r>
                </w:p>
              </w:tc>
              <w:tc>
                <w:tcPr>
                  <w:tcW w:w="679" w:type="dxa"/>
                  <w:tcBorders>
                    <w:tl2br w:val="nil"/>
                    <w:tr2bl w:val="nil"/>
                  </w:tcBorders>
                  <w:vAlign w:val="center"/>
                </w:tcPr>
                <w:p w14:paraId="7BEE6411">
                  <w:pPr>
                    <w:jc w:val="center"/>
                    <w:rPr>
                      <w:szCs w:val="21"/>
                    </w:rPr>
                  </w:pPr>
                  <w:r>
                    <w:rPr>
                      <w:szCs w:val="21"/>
                    </w:rPr>
                    <w:t>固态</w:t>
                  </w:r>
                </w:p>
              </w:tc>
              <w:tc>
                <w:tcPr>
                  <w:tcW w:w="952" w:type="dxa"/>
                  <w:tcBorders>
                    <w:tl2br w:val="nil"/>
                    <w:tr2bl w:val="nil"/>
                  </w:tcBorders>
                  <w:vAlign w:val="center"/>
                </w:tcPr>
                <w:p w14:paraId="68102304">
                  <w:pPr>
                    <w:jc w:val="center"/>
                    <w:rPr>
                      <w:rFonts w:hint="default" w:eastAsia="宋体"/>
                      <w:szCs w:val="21"/>
                      <w:lang w:val="en-US" w:eastAsia="zh-CN"/>
                    </w:rPr>
                  </w:pPr>
                  <w:r>
                    <w:rPr>
                      <w:rFonts w:hint="eastAsia"/>
                      <w:szCs w:val="21"/>
                      <w:lang w:val="en-US" w:eastAsia="zh-CN"/>
                    </w:rPr>
                    <w:t>石子</w:t>
                  </w:r>
                </w:p>
              </w:tc>
              <w:tc>
                <w:tcPr>
                  <w:tcW w:w="731" w:type="dxa"/>
                  <w:tcBorders>
                    <w:tl2br w:val="nil"/>
                    <w:tr2bl w:val="nil"/>
                  </w:tcBorders>
                  <w:vAlign w:val="center"/>
                </w:tcPr>
                <w:p w14:paraId="00D5A5DE">
                  <w:pPr>
                    <w:jc w:val="center"/>
                    <w:rPr>
                      <w:rFonts w:hint="default" w:eastAsia="宋体"/>
                      <w:szCs w:val="21"/>
                      <w:lang w:val="en-US" w:eastAsia="zh-CN"/>
                    </w:rPr>
                  </w:pPr>
                  <w:r>
                    <w:rPr>
                      <w:rFonts w:hint="eastAsia"/>
                      <w:szCs w:val="21"/>
                      <w:lang w:val="en-US" w:eastAsia="zh-CN"/>
                    </w:rPr>
                    <w:t>1</w:t>
                  </w:r>
                </w:p>
              </w:tc>
              <w:tc>
                <w:tcPr>
                  <w:tcW w:w="1756" w:type="dxa"/>
                  <w:tcBorders>
                    <w:tl2br w:val="nil"/>
                    <w:tr2bl w:val="nil"/>
                  </w:tcBorders>
                  <w:vAlign w:val="center"/>
                </w:tcPr>
                <w:p w14:paraId="15CEAF03">
                  <w:pPr>
                    <w:jc w:val="center"/>
                    <w:rPr>
                      <w:szCs w:val="21"/>
                    </w:rPr>
                  </w:pPr>
                  <w:r>
                    <w:rPr>
                      <w:szCs w:val="21"/>
                    </w:rPr>
                    <w:t>委托环卫部门处理</w:t>
                  </w:r>
                </w:p>
              </w:tc>
            </w:tr>
            <w:tr w14:paraId="081052E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7" w:type="dxa"/>
                  <w:left w:w="0" w:type="dxa"/>
                  <w:bottom w:w="17" w:type="dxa"/>
                  <w:right w:w="0" w:type="dxa"/>
                </w:tblCellMar>
              </w:tblPrEx>
              <w:trPr>
                <w:trHeight w:val="87" w:hRule="atLeast"/>
                <w:jc w:val="center"/>
              </w:trPr>
              <w:tc>
                <w:tcPr>
                  <w:tcW w:w="348" w:type="dxa"/>
                  <w:tcBorders>
                    <w:tl2br w:val="nil"/>
                    <w:tr2bl w:val="nil"/>
                  </w:tcBorders>
                  <w:vAlign w:val="center"/>
                </w:tcPr>
                <w:p w14:paraId="6B89C32A">
                  <w:pPr>
                    <w:jc w:val="center"/>
                    <w:rPr>
                      <w:rFonts w:hint="eastAsia" w:eastAsia="宋体"/>
                      <w:szCs w:val="21"/>
                      <w:lang w:val="en-US" w:eastAsia="zh-CN"/>
                    </w:rPr>
                  </w:pPr>
                  <w:r>
                    <w:rPr>
                      <w:rFonts w:hint="eastAsia"/>
                      <w:szCs w:val="21"/>
                      <w:lang w:val="en-US" w:eastAsia="zh-CN"/>
                    </w:rPr>
                    <w:t>2</w:t>
                  </w:r>
                </w:p>
              </w:tc>
              <w:tc>
                <w:tcPr>
                  <w:tcW w:w="1280" w:type="dxa"/>
                  <w:tcBorders>
                    <w:tl2br w:val="nil"/>
                    <w:tr2bl w:val="nil"/>
                  </w:tcBorders>
                  <w:vAlign w:val="center"/>
                </w:tcPr>
                <w:p w14:paraId="5916457D">
                  <w:pPr>
                    <w:ind w:firstLine="31" w:firstLineChars="15"/>
                    <w:jc w:val="center"/>
                    <w:rPr>
                      <w:rFonts w:hint="default"/>
                      <w:szCs w:val="21"/>
                      <w:lang w:val="en-US" w:eastAsia="zh-CN"/>
                    </w:rPr>
                  </w:pPr>
                  <w:r>
                    <w:rPr>
                      <w:rFonts w:hint="eastAsia"/>
                      <w:szCs w:val="21"/>
                      <w:lang w:val="en-US" w:eastAsia="zh-CN"/>
                    </w:rPr>
                    <w:t>原料</w:t>
                  </w:r>
                </w:p>
              </w:tc>
              <w:tc>
                <w:tcPr>
                  <w:tcW w:w="937" w:type="dxa"/>
                  <w:tcBorders>
                    <w:tl2br w:val="nil"/>
                    <w:tr2bl w:val="nil"/>
                  </w:tcBorders>
                  <w:vAlign w:val="center"/>
                </w:tcPr>
                <w:p w14:paraId="457C0324">
                  <w:pPr>
                    <w:pStyle w:val="92"/>
                    <w:spacing w:before="24" w:after="24" w:line="240" w:lineRule="auto"/>
                    <w:ind w:firstLine="31" w:firstLineChars="15"/>
                    <w:rPr>
                      <w:rFonts w:hint="default" w:ascii="Times New Roman"/>
                      <w:szCs w:val="21"/>
                      <w:lang w:val="en-US" w:eastAsia="zh-CN"/>
                    </w:rPr>
                  </w:pPr>
                  <w:r>
                    <w:rPr>
                      <w:rFonts w:hint="eastAsia" w:ascii="Times New Roman"/>
                      <w:szCs w:val="21"/>
                      <w:lang w:val="en-US" w:eastAsia="zh-CN"/>
                    </w:rPr>
                    <w:t>废包装袋</w:t>
                  </w:r>
                </w:p>
              </w:tc>
              <w:tc>
                <w:tcPr>
                  <w:tcW w:w="705" w:type="dxa"/>
                  <w:tcBorders>
                    <w:tl2br w:val="nil"/>
                    <w:tr2bl w:val="nil"/>
                  </w:tcBorders>
                  <w:vAlign w:val="center"/>
                </w:tcPr>
                <w:p w14:paraId="6ACB64C1">
                  <w:pPr>
                    <w:jc w:val="center"/>
                    <w:rPr>
                      <w:rFonts w:hint="default" w:eastAsia="宋体"/>
                      <w:szCs w:val="21"/>
                      <w:lang w:val="en-US" w:eastAsia="zh-CN"/>
                    </w:rPr>
                  </w:pPr>
                  <w:r>
                    <w:rPr>
                      <w:rFonts w:hint="eastAsia"/>
                      <w:szCs w:val="21"/>
                      <w:lang w:val="en-US" w:eastAsia="zh-CN"/>
                    </w:rPr>
                    <w:t>一般固废</w:t>
                  </w:r>
                </w:p>
              </w:tc>
              <w:tc>
                <w:tcPr>
                  <w:tcW w:w="1033" w:type="dxa"/>
                  <w:tcBorders>
                    <w:tl2br w:val="nil"/>
                    <w:tr2bl w:val="nil"/>
                  </w:tcBorders>
                  <w:vAlign w:val="center"/>
                </w:tcPr>
                <w:p w14:paraId="7F182409">
                  <w:pPr>
                    <w:widowControl/>
                    <w:jc w:val="center"/>
                    <w:rPr>
                      <w:rFonts w:hint="default" w:eastAsia="宋体"/>
                      <w:kern w:val="0"/>
                      <w:szCs w:val="21"/>
                      <w:lang w:val="en-US" w:eastAsia="zh-CN" w:bidi="ar"/>
                    </w:rPr>
                  </w:pPr>
                  <w:r>
                    <w:rPr>
                      <w:rFonts w:hint="eastAsia"/>
                      <w:kern w:val="0"/>
                      <w:szCs w:val="21"/>
                      <w:lang w:val="en-US" w:eastAsia="zh-CN" w:bidi="ar"/>
                    </w:rPr>
                    <w:t>900-999-99</w:t>
                  </w:r>
                </w:p>
              </w:tc>
              <w:tc>
                <w:tcPr>
                  <w:tcW w:w="679" w:type="dxa"/>
                  <w:tcBorders>
                    <w:tl2br w:val="nil"/>
                    <w:tr2bl w:val="nil"/>
                  </w:tcBorders>
                  <w:vAlign w:val="center"/>
                </w:tcPr>
                <w:p w14:paraId="7EAFF3F5">
                  <w:pPr>
                    <w:jc w:val="center"/>
                    <w:rPr>
                      <w:rFonts w:hint="eastAsia" w:eastAsia="宋体"/>
                      <w:szCs w:val="21"/>
                      <w:lang w:val="en-US" w:eastAsia="zh-CN"/>
                    </w:rPr>
                  </w:pPr>
                  <w:r>
                    <w:rPr>
                      <w:rFonts w:hint="eastAsia"/>
                      <w:szCs w:val="21"/>
                      <w:lang w:val="en-US" w:eastAsia="zh-CN"/>
                    </w:rPr>
                    <w:t>固态</w:t>
                  </w:r>
                </w:p>
              </w:tc>
              <w:tc>
                <w:tcPr>
                  <w:tcW w:w="952" w:type="dxa"/>
                  <w:tcBorders>
                    <w:tl2br w:val="nil"/>
                    <w:tr2bl w:val="nil"/>
                  </w:tcBorders>
                  <w:vAlign w:val="center"/>
                </w:tcPr>
                <w:p w14:paraId="18DC3A0F">
                  <w:pPr>
                    <w:jc w:val="center"/>
                    <w:rPr>
                      <w:rFonts w:hint="default"/>
                      <w:szCs w:val="21"/>
                      <w:lang w:val="en-US" w:eastAsia="zh-CN"/>
                    </w:rPr>
                  </w:pPr>
                  <w:r>
                    <w:rPr>
                      <w:rFonts w:hint="eastAsia"/>
                      <w:szCs w:val="21"/>
                      <w:lang w:val="en-US" w:eastAsia="zh-CN"/>
                    </w:rPr>
                    <w:t>包装袋</w:t>
                  </w:r>
                </w:p>
              </w:tc>
              <w:tc>
                <w:tcPr>
                  <w:tcW w:w="731" w:type="dxa"/>
                  <w:tcBorders>
                    <w:tl2br w:val="nil"/>
                    <w:tr2bl w:val="nil"/>
                  </w:tcBorders>
                  <w:vAlign w:val="center"/>
                </w:tcPr>
                <w:p w14:paraId="189F2CCD">
                  <w:pPr>
                    <w:jc w:val="center"/>
                    <w:rPr>
                      <w:rFonts w:hint="eastAsia" w:eastAsia="宋体"/>
                      <w:szCs w:val="21"/>
                      <w:lang w:val="en-US" w:eastAsia="zh-CN"/>
                    </w:rPr>
                  </w:pPr>
                  <w:r>
                    <w:rPr>
                      <w:rFonts w:hint="eastAsia"/>
                      <w:szCs w:val="21"/>
                      <w:lang w:val="en-US" w:eastAsia="zh-CN"/>
                    </w:rPr>
                    <w:t>4</w:t>
                  </w:r>
                </w:p>
              </w:tc>
              <w:tc>
                <w:tcPr>
                  <w:tcW w:w="1756" w:type="dxa"/>
                  <w:tcBorders>
                    <w:tl2br w:val="nil"/>
                    <w:tr2bl w:val="nil"/>
                  </w:tcBorders>
                  <w:vAlign w:val="center"/>
                </w:tcPr>
                <w:p w14:paraId="40268152">
                  <w:pPr>
                    <w:jc w:val="center"/>
                    <w:rPr>
                      <w:rFonts w:hint="default" w:eastAsia="宋体"/>
                      <w:kern w:val="0"/>
                      <w:szCs w:val="21"/>
                      <w:lang w:val="en-US" w:eastAsia="zh-CN"/>
                    </w:rPr>
                  </w:pPr>
                  <w:r>
                    <w:rPr>
                      <w:rFonts w:hint="eastAsia"/>
                      <w:kern w:val="0"/>
                      <w:szCs w:val="21"/>
                      <w:lang w:val="en-US" w:eastAsia="zh-CN"/>
                    </w:rPr>
                    <w:t>出售给物资回收部门</w:t>
                  </w:r>
                </w:p>
              </w:tc>
            </w:tr>
            <w:tr w14:paraId="043190C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7" w:type="dxa"/>
                  <w:left w:w="0" w:type="dxa"/>
                  <w:bottom w:w="17" w:type="dxa"/>
                  <w:right w:w="0" w:type="dxa"/>
                </w:tblCellMar>
              </w:tblPrEx>
              <w:trPr>
                <w:trHeight w:val="87" w:hRule="atLeast"/>
                <w:jc w:val="center"/>
              </w:trPr>
              <w:tc>
                <w:tcPr>
                  <w:tcW w:w="348" w:type="dxa"/>
                  <w:tcBorders>
                    <w:tl2br w:val="nil"/>
                    <w:tr2bl w:val="nil"/>
                  </w:tcBorders>
                  <w:vAlign w:val="center"/>
                </w:tcPr>
                <w:p w14:paraId="4D6D4948">
                  <w:pPr>
                    <w:jc w:val="center"/>
                    <w:rPr>
                      <w:rFonts w:hint="default"/>
                      <w:szCs w:val="21"/>
                      <w:lang w:val="en-US" w:eastAsia="zh-CN"/>
                    </w:rPr>
                  </w:pPr>
                  <w:r>
                    <w:rPr>
                      <w:rFonts w:hint="eastAsia"/>
                      <w:szCs w:val="21"/>
                      <w:lang w:val="en-US" w:eastAsia="zh-CN"/>
                    </w:rPr>
                    <w:t>3</w:t>
                  </w:r>
                </w:p>
              </w:tc>
              <w:tc>
                <w:tcPr>
                  <w:tcW w:w="1280" w:type="dxa"/>
                  <w:tcBorders>
                    <w:tl2br w:val="nil"/>
                    <w:tr2bl w:val="nil"/>
                  </w:tcBorders>
                  <w:vAlign w:val="center"/>
                </w:tcPr>
                <w:p w14:paraId="376C9054">
                  <w:pPr>
                    <w:ind w:firstLine="31" w:firstLineChars="15"/>
                    <w:jc w:val="center"/>
                    <w:rPr>
                      <w:rFonts w:hint="default"/>
                      <w:szCs w:val="21"/>
                      <w:lang w:val="en-US" w:eastAsia="zh-CN"/>
                    </w:rPr>
                  </w:pPr>
                  <w:r>
                    <w:rPr>
                      <w:rFonts w:hint="eastAsia"/>
                      <w:szCs w:val="21"/>
                      <w:lang w:val="en-US" w:eastAsia="zh-CN"/>
                    </w:rPr>
                    <w:t>纯水制备</w:t>
                  </w:r>
                </w:p>
              </w:tc>
              <w:tc>
                <w:tcPr>
                  <w:tcW w:w="937" w:type="dxa"/>
                  <w:tcBorders>
                    <w:tl2br w:val="nil"/>
                    <w:tr2bl w:val="nil"/>
                  </w:tcBorders>
                  <w:vAlign w:val="center"/>
                </w:tcPr>
                <w:p w14:paraId="5B776A7E">
                  <w:pPr>
                    <w:pStyle w:val="92"/>
                    <w:spacing w:before="24" w:after="24" w:line="240" w:lineRule="auto"/>
                    <w:ind w:firstLine="31" w:firstLineChars="15"/>
                    <w:rPr>
                      <w:rFonts w:hint="default" w:ascii="Times New Roman"/>
                      <w:szCs w:val="21"/>
                      <w:lang w:val="en-US" w:eastAsia="zh-CN"/>
                    </w:rPr>
                  </w:pPr>
                  <w:r>
                    <w:rPr>
                      <w:rFonts w:hint="eastAsia" w:ascii="Times New Roman"/>
                      <w:szCs w:val="21"/>
                      <w:lang w:val="en-US" w:eastAsia="zh-CN"/>
                    </w:rPr>
                    <w:t>废离子交换树脂</w:t>
                  </w:r>
                </w:p>
              </w:tc>
              <w:tc>
                <w:tcPr>
                  <w:tcW w:w="705" w:type="dxa"/>
                  <w:tcBorders>
                    <w:tl2br w:val="nil"/>
                    <w:tr2bl w:val="nil"/>
                  </w:tcBorders>
                  <w:vAlign w:val="center"/>
                </w:tcPr>
                <w:p w14:paraId="459EBCB3">
                  <w:pPr>
                    <w:jc w:val="center"/>
                    <w:rPr>
                      <w:rFonts w:hint="default"/>
                      <w:szCs w:val="21"/>
                      <w:lang w:val="en-US" w:eastAsia="zh-CN"/>
                    </w:rPr>
                  </w:pPr>
                  <w:r>
                    <w:rPr>
                      <w:rFonts w:hint="eastAsia"/>
                      <w:szCs w:val="21"/>
                      <w:lang w:val="en-US" w:eastAsia="zh-CN"/>
                    </w:rPr>
                    <w:t>一般固废</w:t>
                  </w:r>
                </w:p>
              </w:tc>
              <w:tc>
                <w:tcPr>
                  <w:tcW w:w="1033" w:type="dxa"/>
                  <w:tcBorders>
                    <w:tl2br w:val="nil"/>
                    <w:tr2bl w:val="nil"/>
                  </w:tcBorders>
                  <w:vAlign w:val="center"/>
                </w:tcPr>
                <w:p w14:paraId="26C456E0">
                  <w:pPr>
                    <w:widowControl/>
                    <w:jc w:val="center"/>
                    <w:rPr>
                      <w:rFonts w:hint="default"/>
                      <w:kern w:val="0"/>
                      <w:szCs w:val="21"/>
                      <w:lang w:val="en-US" w:eastAsia="zh-CN" w:bidi="ar"/>
                    </w:rPr>
                  </w:pPr>
                  <w:r>
                    <w:rPr>
                      <w:rFonts w:hint="eastAsia"/>
                      <w:kern w:val="0"/>
                      <w:szCs w:val="21"/>
                      <w:lang w:val="en-US" w:eastAsia="zh-CN" w:bidi="ar"/>
                    </w:rPr>
                    <w:t>900-999-99</w:t>
                  </w:r>
                </w:p>
              </w:tc>
              <w:tc>
                <w:tcPr>
                  <w:tcW w:w="679" w:type="dxa"/>
                  <w:tcBorders>
                    <w:tl2br w:val="nil"/>
                    <w:tr2bl w:val="nil"/>
                  </w:tcBorders>
                  <w:vAlign w:val="center"/>
                </w:tcPr>
                <w:p w14:paraId="64022C47">
                  <w:pPr>
                    <w:jc w:val="center"/>
                    <w:rPr>
                      <w:rFonts w:hint="default"/>
                      <w:szCs w:val="21"/>
                      <w:lang w:val="en-US" w:eastAsia="zh-CN"/>
                    </w:rPr>
                  </w:pPr>
                  <w:r>
                    <w:rPr>
                      <w:rFonts w:hint="eastAsia"/>
                      <w:szCs w:val="21"/>
                      <w:lang w:val="en-US" w:eastAsia="zh-CN"/>
                    </w:rPr>
                    <w:t>固态</w:t>
                  </w:r>
                </w:p>
              </w:tc>
              <w:tc>
                <w:tcPr>
                  <w:tcW w:w="952" w:type="dxa"/>
                  <w:tcBorders>
                    <w:tl2br w:val="nil"/>
                    <w:tr2bl w:val="nil"/>
                  </w:tcBorders>
                  <w:vAlign w:val="center"/>
                </w:tcPr>
                <w:p w14:paraId="09B1F474">
                  <w:pPr>
                    <w:jc w:val="center"/>
                    <w:rPr>
                      <w:rFonts w:hint="default"/>
                      <w:szCs w:val="21"/>
                      <w:lang w:val="en-US" w:eastAsia="zh-CN"/>
                    </w:rPr>
                  </w:pPr>
                  <w:r>
                    <w:rPr>
                      <w:rFonts w:hint="eastAsia"/>
                      <w:szCs w:val="21"/>
                      <w:lang w:val="en-US" w:eastAsia="zh-CN"/>
                    </w:rPr>
                    <w:t>树脂</w:t>
                  </w:r>
                </w:p>
              </w:tc>
              <w:tc>
                <w:tcPr>
                  <w:tcW w:w="731" w:type="dxa"/>
                  <w:tcBorders>
                    <w:tl2br w:val="nil"/>
                    <w:tr2bl w:val="nil"/>
                  </w:tcBorders>
                  <w:vAlign w:val="center"/>
                </w:tcPr>
                <w:p w14:paraId="6AA2AD09">
                  <w:pPr>
                    <w:jc w:val="center"/>
                    <w:rPr>
                      <w:rFonts w:hint="default"/>
                      <w:szCs w:val="21"/>
                      <w:lang w:val="en-US" w:eastAsia="zh-CN"/>
                    </w:rPr>
                  </w:pPr>
                  <w:r>
                    <w:rPr>
                      <w:rFonts w:hint="eastAsia"/>
                      <w:szCs w:val="21"/>
                      <w:lang w:val="en-US" w:eastAsia="zh-CN"/>
                    </w:rPr>
                    <w:t>0.2</w:t>
                  </w:r>
                </w:p>
              </w:tc>
              <w:tc>
                <w:tcPr>
                  <w:tcW w:w="1756" w:type="dxa"/>
                  <w:tcBorders>
                    <w:tl2br w:val="nil"/>
                    <w:tr2bl w:val="nil"/>
                  </w:tcBorders>
                  <w:vAlign w:val="center"/>
                </w:tcPr>
                <w:p w14:paraId="61DAD9CD">
                  <w:pPr>
                    <w:jc w:val="center"/>
                    <w:rPr>
                      <w:rFonts w:hint="eastAsia"/>
                      <w:kern w:val="0"/>
                      <w:szCs w:val="21"/>
                      <w:lang w:val="en-US" w:eastAsia="zh-CN"/>
                    </w:rPr>
                  </w:pPr>
                  <w:r>
                    <w:rPr>
                      <w:rFonts w:hint="eastAsia"/>
                      <w:kern w:val="0"/>
                      <w:szCs w:val="21"/>
                      <w:lang w:val="en-US" w:eastAsia="zh-CN"/>
                    </w:rPr>
                    <w:t>出售给物资回收部门</w:t>
                  </w:r>
                </w:p>
              </w:tc>
            </w:tr>
            <w:tr w14:paraId="562DFD9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7" w:type="dxa"/>
                  <w:left w:w="0" w:type="dxa"/>
                  <w:bottom w:w="17" w:type="dxa"/>
                  <w:right w:w="0" w:type="dxa"/>
                </w:tblCellMar>
              </w:tblPrEx>
              <w:trPr>
                <w:trHeight w:val="87" w:hRule="atLeast"/>
                <w:jc w:val="center"/>
              </w:trPr>
              <w:tc>
                <w:tcPr>
                  <w:tcW w:w="348" w:type="dxa"/>
                  <w:tcBorders>
                    <w:tl2br w:val="nil"/>
                    <w:tr2bl w:val="nil"/>
                  </w:tcBorders>
                  <w:vAlign w:val="center"/>
                </w:tcPr>
                <w:p w14:paraId="5C835C86">
                  <w:pPr>
                    <w:jc w:val="center"/>
                    <w:rPr>
                      <w:rFonts w:hint="default"/>
                      <w:szCs w:val="21"/>
                      <w:lang w:val="en-US" w:eastAsia="zh-CN"/>
                    </w:rPr>
                  </w:pPr>
                  <w:r>
                    <w:rPr>
                      <w:rFonts w:hint="eastAsia"/>
                      <w:szCs w:val="21"/>
                      <w:lang w:val="en-US" w:eastAsia="zh-CN"/>
                    </w:rPr>
                    <w:t>4</w:t>
                  </w:r>
                </w:p>
              </w:tc>
              <w:tc>
                <w:tcPr>
                  <w:tcW w:w="1280" w:type="dxa"/>
                  <w:tcBorders>
                    <w:tl2br w:val="nil"/>
                    <w:tr2bl w:val="nil"/>
                  </w:tcBorders>
                  <w:vAlign w:val="center"/>
                </w:tcPr>
                <w:p w14:paraId="0B9B0415">
                  <w:pPr>
                    <w:ind w:firstLine="31" w:firstLineChars="15"/>
                    <w:jc w:val="center"/>
                    <w:rPr>
                      <w:rFonts w:hint="default"/>
                      <w:szCs w:val="21"/>
                      <w:lang w:val="en-US" w:eastAsia="zh-CN"/>
                    </w:rPr>
                  </w:pPr>
                  <w:r>
                    <w:rPr>
                      <w:rFonts w:hint="eastAsia"/>
                      <w:szCs w:val="21"/>
                      <w:lang w:val="en-US" w:eastAsia="zh-CN"/>
                    </w:rPr>
                    <w:t>废气处理</w:t>
                  </w:r>
                </w:p>
              </w:tc>
              <w:tc>
                <w:tcPr>
                  <w:tcW w:w="937" w:type="dxa"/>
                  <w:tcBorders>
                    <w:tl2br w:val="nil"/>
                    <w:tr2bl w:val="nil"/>
                  </w:tcBorders>
                  <w:vAlign w:val="center"/>
                </w:tcPr>
                <w:p w14:paraId="5DF4A108">
                  <w:pPr>
                    <w:pStyle w:val="92"/>
                    <w:spacing w:before="24" w:after="24" w:line="240" w:lineRule="auto"/>
                    <w:ind w:firstLine="31" w:firstLineChars="15"/>
                    <w:rPr>
                      <w:rFonts w:hint="default" w:ascii="Times New Roman"/>
                      <w:szCs w:val="21"/>
                      <w:lang w:val="en-US" w:eastAsia="zh-CN"/>
                    </w:rPr>
                  </w:pPr>
                  <w:r>
                    <w:rPr>
                      <w:rFonts w:hint="eastAsia" w:ascii="Times New Roman"/>
                      <w:szCs w:val="21"/>
                      <w:lang w:val="en-US" w:eastAsia="zh-CN"/>
                    </w:rPr>
                    <w:t>废活性炭</w:t>
                  </w:r>
                </w:p>
              </w:tc>
              <w:tc>
                <w:tcPr>
                  <w:tcW w:w="705" w:type="dxa"/>
                  <w:tcBorders>
                    <w:tl2br w:val="nil"/>
                    <w:tr2bl w:val="nil"/>
                  </w:tcBorders>
                  <w:vAlign w:val="center"/>
                </w:tcPr>
                <w:p w14:paraId="70723D30">
                  <w:pPr>
                    <w:jc w:val="center"/>
                    <w:rPr>
                      <w:rFonts w:hint="default"/>
                      <w:szCs w:val="21"/>
                      <w:lang w:val="en-US" w:eastAsia="zh-CN"/>
                    </w:rPr>
                  </w:pPr>
                  <w:r>
                    <w:rPr>
                      <w:rFonts w:hint="eastAsia"/>
                      <w:szCs w:val="21"/>
                      <w:lang w:val="en-US" w:eastAsia="zh-CN"/>
                    </w:rPr>
                    <w:t>一般固废</w:t>
                  </w:r>
                </w:p>
              </w:tc>
              <w:tc>
                <w:tcPr>
                  <w:tcW w:w="1033" w:type="dxa"/>
                  <w:tcBorders>
                    <w:tl2br w:val="nil"/>
                    <w:tr2bl w:val="nil"/>
                  </w:tcBorders>
                  <w:vAlign w:val="center"/>
                </w:tcPr>
                <w:p w14:paraId="0B6D16A0">
                  <w:pPr>
                    <w:widowControl/>
                    <w:jc w:val="center"/>
                    <w:rPr>
                      <w:rFonts w:hint="eastAsia"/>
                      <w:kern w:val="0"/>
                      <w:szCs w:val="21"/>
                      <w:lang w:val="en-US" w:eastAsia="zh-CN" w:bidi="ar"/>
                    </w:rPr>
                  </w:pPr>
                  <w:r>
                    <w:rPr>
                      <w:rFonts w:hint="eastAsia"/>
                      <w:kern w:val="0"/>
                      <w:szCs w:val="21"/>
                      <w:lang w:val="en-US" w:eastAsia="zh-CN" w:bidi="ar"/>
                    </w:rPr>
                    <w:t>900-099-S59</w:t>
                  </w:r>
                </w:p>
              </w:tc>
              <w:tc>
                <w:tcPr>
                  <w:tcW w:w="679" w:type="dxa"/>
                  <w:tcBorders>
                    <w:tl2br w:val="nil"/>
                    <w:tr2bl w:val="nil"/>
                  </w:tcBorders>
                  <w:vAlign w:val="center"/>
                </w:tcPr>
                <w:p w14:paraId="1BE6AECF">
                  <w:pPr>
                    <w:jc w:val="center"/>
                    <w:rPr>
                      <w:rFonts w:hint="default"/>
                      <w:szCs w:val="21"/>
                      <w:lang w:val="en-US" w:eastAsia="zh-CN"/>
                    </w:rPr>
                  </w:pPr>
                  <w:r>
                    <w:rPr>
                      <w:rFonts w:hint="eastAsia"/>
                      <w:szCs w:val="21"/>
                      <w:lang w:val="en-US" w:eastAsia="zh-CN"/>
                    </w:rPr>
                    <w:t>固态</w:t>
                  </w:r>
                </w:p>
              </w:tc>
              <w:tc>
                <w:tcPr>
                  <w:tcW w:w="952" w:type="dxa"/>
                  <w:tcBorders>
                    <w:tl2br w:val="nil"/>
                    <w:tr2bl w:val="nil"/>
                  </w:tcBorders>
                  <w:vAlign w:val="center"/>
                </w:tcPr>
                <w:p w14:paraId="7DB35932">
                  <w:pPr>
                    <w:jc w:val="center"/>
                    <w:rPr>
                      <w:rFonts w:hint="default"/>
                      <w:szCs w:val="21"/>
                      <w:lang w:val="en-US" w:eastAsia="zh-CN"/>
                    </w:rPr>
                  </w:pPr>
                  <w:r>
                    <w:rPr>
                      <w:rFonts w:hint="eastAsia"/>
                      <w:szCs w:val="21"/>
                      <w:lang w:val="en-US" w:eastAsia="zh-CN"/>
                    </w:rPr>
                    <w:t>活性炭</w:t>
                  </w:r>
                </w:p>
              </w:tc>
              <w:tc>
                <w:tcPr>
                  <w:tcW w:w="731" w:type="dxa"/>
                  <w:tcBorders>
                    <w:tl2br w:val="nil"/>
                    <w:tr2bl w:val="nil"/>
                  </w:tcBorders>
                  <w:vAlign w:val="center"/>
                </w:tcPr>
                <w:p w14:paraId="6307DA22">
                  <w:pPr>
                    <w:jc w:val="center"/>
                    <w:rPr>
                      <w:rFonts w:hint="default"/>
                      <w:szCs w:val="21"/>
                      <w:lang w:val="en-US" w:eastAsia="zh-CN"/>
                    </w:rPr>
                  </w:pPr>
                  <w:r>
                    <w:rPr>
                      <w:rFonts w:hint="eastAsia"/>
                      <w:szCs w:val="21"/>
                      <w:lang w:val="en-US" w:eastAsia="zh-CN"/>
                    </w:rPr>
                    <w:t>0.4</w:t>
                  </w:r>
                </w:p>
              </w:tc>
              <w:tc>
                <w:tcPr>
                  <w:tcW w:w="1756" w:type="dxa"/>
                  <w:tcBorders>
                    <w:tl2br w:val="nil"/>
                    <w:tr2bl w:val="nil"/>
                  </w:tcBorders>
                  <w:vAlign w:val="center"/>
                </w:tcPr>
                <w:p w14:paraId="1E561B24">
                  <w:pPr>
                    <w:jc w:val="center"/>
                    <w:rPr>
                      <w:rFonts w:hint="default"/>
                      <w:kern w:val="0"/>
                      <w:szCs w:val="21"/>
                      <w:lang w:val="en-US" w:eastAsia="zh-CN"/>
                    </w:rPr>
                  </w:pPr>
                  <w:r>
                    <w:rPr>
                      <w:rFonts w:hint="eastAsia"/>
                      <w:kern w:val="0"/>
                      <w:szCs w:val="21"/>
                      <w:lang w:val="en-US" w:eastAsia="zh-CN"/>
                    </w:rPr>
                    <w:t>出售给物质回收部门</w:t>
                  </w:r>
                </w:p>
              </w:tc>
            </w:tr>
            <w:tr w14:paraId="4410A30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17" w:type="dxa"/>
                  <w:left w:w="0" w:type="dxa"/>
                  <w:bottom w:w="17" w:type="dxa"/>
                  <w:right w:w="0" w:type="dxa"/>
                </w:tblCellMar>
              </w:tblPrEx>
              <w:trPr>
                <w:trHeight w:val="87" w:hRule="atLeast"/>
                <w:jc w:val="center"/>
              </w:trPr>
              <w:tc>
                <w:tcPr>
                  <w:tcW w:w="348" w:type="dxa"/>
                  <w:tcBorders>
                    <w:tl2br w:val="nil"/>
                    <w:tr2bl w:val="nil"/>
                  </w:tcBorders>
                  <w:vAlign w:val="center"/>
                </w:tcPr>
                <w:p w14:paraId="57E55010">
                  <w:pPr>
                    <w:jc w:val="center"/>
                    <w:rPr>
                      <w:rFonts w:hint="eastAsia" w:eastAsia="宋体"/>
                      <w:szCs w:val="21"/>
                      <w:lang w:eastAsia="zh-CN"/>
                    </w:rPr>
                  </w:pPr>
                  <w:r>
                    <w:rPr>
                      <w:rFonts w:hint="eastAsia"/>
                      <w:szCs w:val="21"/>
                      <w:lang w:val="en-US" w:eastAsia="zh-CN"/>
                    </w:rPr>
                    <w:t>5</w:t>
                  </w:r>
                </w:p>
              </w:tc>
              <w:tc>
                <w:tcPr>
                  <w:tcW w:w="1280" w:type="dxa"/>
                  <w:tcBorders>
                    <w:tl2br w:val="nil"/>
                    <w:tr2bl w:val="nil"/>
                  </w:tcBorders>
                  <w:vAlign w:val="center"/>
                </w:tcPr>
                <w:p w14:paraId="70EF7B89">
                  <w:pPr>
                    <w:ind w:firstLine="31" w:firstLineChars="15"/>
                    <w:jc w:val="center"/>
                    <w:rPr>
                      <w:szCs w:val="21"/>
                    </w:rPr>
                  </w:pPr>
                  <w:r>
                    <w:rPr>
                      <w:szCs w:val="21"/>
                    </w:rPr>
                    <w:t>职工生活</w:t>
                  </w:r>
                </w:p>
              </w:tc>
              <w:tc>
                <w:tcPr>
                  <w:tcW w:w="937" w:type="dxa"/>
                  <w:tcBorders>
                    <w:tl2br w:val="nil"/>
                    <w:tr2bl w:val="nil"/>
                  </w:tcBorders>
                  <w:vAlign w:val="center"/>
                </w:tcPr>
                <w:p w14:paraId="470A3FCD">
                  <w:pPr>
                    <w:jc w:val="center"/>
                    <w:rPr>
                      <w:szCs w:val="21"/>
                    </w:rPr>
                  </w:pPr>
                  <w:r>
                    <w:rPr>
                      <w:szCs w:val="21"/>
                    </w:rPr>
                    <w:t>生活垃圾</w:t>
                  </w:r>
                </w:p>
              </w:tc>
              <w:tc>
                <w:tcPr>
                  <w:tcW w:w="705" w:type="dxa"/>
                  <w:tcBorders>
                    <w:tl2br w:val="nil"/>
                    <w:tr2bl w:val="nil"/>
                  </w:tcBorders>
                  <w:vAlign w:val="center"/>
                </w:tcPr>
                <w:p w14:paraId="2D001CDA">
                  <w:pPr>
                    <w:jc w:val="center"/>
                    <w:rPr>
                      <w:szCs w:val="21"/>
                    </w:rPr>
                  </w:pPr>
                  <w:r>
                    <w:rPr>
                      <w:szCs w:val="21"/>
                    </w:rPr>
                    <w:t>一般固废</w:t>
                  </w:r>
                </w:p>
              </w:tc>
              <w:tc>
                <w:tcPr>
                  <w:tcW w:w="1033" w:type="dxa"/>
                  <w:tcBorders>
                    <w:tl2br w:val="nil"/>
                    <w:tr2bl w:val="nil"/>
                  </w:tcBorders>
                  <w:vAlign w:val="center"/>
                </w:tcPr>
                <w:p w14:paraId="75C38B2E">
                  <w:pPr>
                    <w:autoSpaceDE w:val="0"/>
                    <w:autoSpaceDN w:val="0"/>
                    <w:adjustRightInd w:val="0"/>
                    <w:jc w:val="center"/>
                    <w:rPr>
                      <w:szCs w:val="21"/>
                    </w:rPr>
                  </w:pPr>
                  <w:r>
                    <w:rPr>
                      <w:szCs w:val="21"/>
                    </w:rPr>
                    <w:t>/</w:t>
                  </w:r>
                </w:p>
              </w:tc>
              <w:tc>
                <w:tcPr>
                  <w:tcW w:w="679" w:type="dxa"/>
                  <w:tcBorders>
                    <w:tl2br w:val="nil"/>
                    <w:tr2bl w:val="nil"/>
                  </w:tcBorders>
                  <w:vAlign w:val="center"/>
                </w:tcPr>
                <w:p w14:paraId="7F13ED0B">
                  <w:pPr>
                    <w:jc w:val="center"/>
                    <w:rPr>
                      <w:szCs w:val="21"/>
                    </w:rPr>
                  </w:pPr>
                  <w:r>
                    <w:rPr>
                      <w:szCs w:val="21"/>
                    </w:rPr>
                    <w:t>固态</w:t>
                  </w:r>
                </w:p>
              </w:tc>
              <w:tc>
                <w:tcPr>
                  <w:tcW w:w="952" w:type="dxa"/>
                  <w:tcBorders>
                    <w:tl2br w:val="nil"/>
                    <w:tr2bl w:val="nil"/>
                  </w:tcBorders>
                  <w:vAlign w:val="center"/>
                </w:tcPr>
                <w:p w14:paraId="34CA22FC">
                  <w:pPr>
                    <w:jc w:val="center"/>
                    <w:rPr>
                      <w:szCs w:val="21"/>
                    </w:rPr>
                  </w:pPr>
                  <w:r>
                    <w:rPr>
                      <w:szCs w:val="21"/>
                    </w:rPr>
                    <w:t>生活垃圾</w:t>
                  </w:r>
                </w:p>
              </w:tc>
              <w:tc>
                <w:tcPr>
                  <w:tcW w:w="731" w:type="dxa"/>
                  <w:tcBorders>
                    <w:tl2br w:val="nil"/>
                    <w:tr2bl w:val="nil"/>
                  </w:tcBorders>
                  <w:vAlign w:val="center"/>
                </w:tcPr>
                <w:p w14:paraId="62E79DE0">
                  <w:pPr>
                    <w:jc w:val="center"/>
                    <w:rPr>
                      <w:rFonts w:hint="default" w:eastAsia="宋体"/>
                      <w:szCs w:val="21"/>
                      <w:lang w:val="en-US" w:eastAsia="zh-CN"/>
                    </w:rPr>
                  </w:pPr>
                  <w:r>
                    <w:rPr>
                      <w:rFonts w:hint="eastAsia"/>
                      <w:szCs w:val="21"/>
                      <w:lang w:val="en-US" w:eastAsia="zh-CN"/>
                    </w:rPr>
                    <w:t>1.5</w:t>
                  </w:r>
                </w:p>
              </w:tc>
              <w:tc>
                <w:tcPr>
                  <w:tcW w:w="1756" w:type="dxa"/>
                  <w:tcBorders>
                    <w:tl2br w:val="nil"/>
                    <w:tr2bl w:val="nil"/>
                  </w:tcBorders>
                  <w:vAlign w:val="center"/>
                </w:tcPr>
                <w:p w14:paraId="5B27B33B">
                  <w:pPr>
                    <w:jc w:val="center"/>
                    <w:rPr>
                      <w:szCs w:val="21"/>
                    </w:rPr>
                  </w:pPr>
                  <w:r>
                    <w:rPr>
                      <w:szCs w:val="21"/>
                    </w:rPr>
                    <w:t>委托环卫部门处理</w:t>
                  </w:r>
                </w:p>
              </w:tc>
            </w:tr>
          </w:tbl>
          <w:p w14:paraId="0714C76B">
            <w:pPr>
              <w:adjustRightInd w:val="0"/>
              <w:snapToGrid w:val="0"/>
              <w:spacing w:before="120" w:beforeLines="50" w:after="120" w:afterLines="50"/>
              <w:ind w:firstLine="240" w:firstLineChars="100"/>
              <w:outlineLvl w:val="1"/>
              <w:rPr>
                <w:rFonts w:eastAsia="等线"/>
                <w:b/>
                <w:bCs/>
                <w:color w:val="000000"/>
                <w:sz w:val="24"/>
              </w:rPr>
            </w:pPr>
            <w:r>
              <w:rPr>
                <w:rFonts w:eastAsia="等线"/>
                <w:b/>
                <w:bCs/>
                <w:color w:val="000000"/>
                <w:sz w:val="24"/>
              </w:rPr>
              <w:t>4.3固体废物环境</w:t>
            </w:r>
            <w:r>
              <w:rPr>
                <w:rFonts w:hint="eastAsia" w:eastAsia="等线"/>
                <w:b/>
                <w:bCs/>
                <w:color w:val="000000"/>
                <w:sz w:val="24"/>
              </w:rPr>
              <w:t>管理要求</w:t>
            </w:r>
          </w:p>
          <w:p w14:paraId="61EE858F">
            <w:pPr>
              <w:pStyle w:val="100"/>
              <w:rPr>
                <w:color w:val="000000"/>
              </w:rPr>
            </w:pPr>
            <w:r>
              <w:rPr>
                <w:rFonts w:hint="eastAsia"/>
                <w:color w:val="000000"/>
              </w:rPr>
              <w:t>根据《中华人民共和国固体废物污染环境防治法》等</w:t>
            </w:r>
            <w:r>
              <w:rPr>
                <w:color w:val="000000"/>
              </w:rPr>
              <w:t>法律法规</w:t>
            </w:r>
            <w:r>
              <w:rPr>
                <w:rFonts w:hint="eastAsia"/>
                <w:color w:val="000000"/>
              </w:rPr>
              <w:t>规定，评价要求建设单位应做到以下几点：</w:t>
            </w:r>
          </w:p>
          <w:p w14:paraId="4E45D43B">
            <w:pPr>
              <w:pStyle w:val="100"/>
              <w:rPr>
                <w:color w:val="000000"/>
              </w:rPr>
            </w:pPr>
            <w:r>
              <w:rPr>
                <w:rFonts w:hint="eastAsia"/>
                <w:color w:val="000000"/>
              </w:rPr>
              <w:t>（1）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14:paraId="7CF834CE">
            <w:pPr>
              <w:pStyle w:val="100"/>
              <w:rPr>
                <w:color w:val="000000"/>
              </w:rPr>
            </w:pPr>
            <w:r>
              <w:rPr>
                <w:rFonts w:hint="eastAsia"/>
                <w:color w:val="000000"/>
              </w:rPr>
              <w:t>（2）禁止向生活垃圾收集设施中投放工业固体废物。</w:t>
            </w:r>
          </w:p>
          <w:p w14:paraId="6785D542">
            <w:pPr>
              <w:pStyle w:val="100"/>
              <w:rPr>
                <w:color w:val="000000"/>
              </w:rPr>
            </w:pPr>
            <w:r>
              <w:rPr>
                <w:rFonts w:hint="eastAsia"/>
                <w:color w:val="000000"/>
              </w:rPr>
              <w:t>（3）委托他人运输、利用、处置工业固体废物的，应当对受托方的主体资格和技术能力进行核实，依法签订书面合同，在合同中约定污染防治要求。</w:t>
            </w:r>
          </w:p>
          <w:p w14:paraId="02F8DE5F">
            <w:pPr>
              <w:pStyle w:val="100"/>
              <w:rPr>
                <w:color w:val="000000"/>
              </w:rPr>
            </w:pPr>
            <w:r>
              <w:rPr>
                <w:rFonts w:hint="eastAsia"/>
                <w:color w:val="000000"/>
              </w:rPr>
              <w:t>（</w:t>
            </w:r>
            <w:r>
              <w:rPr>
                <w:color w:val="000000"/>
              </w:rPr>
              <w:t>4</w:t>
            </w:r>
            <w:r>
              <w:rPr>
                <w:rFonts w:hint="eastAsia"/>
                <w:color w:val="000000"/>
              </w:rPr>
              <w:t>）应当向所在地生态环境主管部门提供工业固体废物的种类、数量、流向、贮存、利用、处置等有关资料，以及减少工业固体废物产生、促进综合利用的具体措施，并执行排污许可管理制度的相关规定。</w:t>
            </w:r>
          </w:p>
          <w:p w14:paraId="3F9C340B">
            <w:pPr>
              <w:pStyle w:val="100"/>
              <w:rPr>
                <w:color w:val="000000"/>
              </w:rPr>
            </w:pPr>
            <w:r>
              <w:rPr>
                <w:rFonts w:hint="eastAsia"/>
                <w:color w:val="000000"/>
              </w:rPr>
              <w:t>（5）一般工业</w:t>
            </w:r>
            <w:r>
              <w:rPr>
                <w:color w:val="000000"/>
              </w:rPr>
              <w:t>固废管理：</w:t>
            </w:r>
            <w:r>
              <w:rPr>
                <w:rFonts w:hint="eastAsia"/>
                <w:color w:val="000000"/>
              </w:rPr>
              <w:t>参</w:t>
            </w:r>
            <w:r>
              <w:rPr>
                <w:color w:val="000000"/>
              </w:rPr>
              <w:t>照《</w:t>
            </w:r>
            <w:r>
              <w:rPr>
                <w:rFonts w:hint="eastAsia"/>
                <w:color w:val="000000"/>
              </w:rPr>
              <w:t>一般工业固体废物贮存和填埋污染控制标准</w:t>
            </w:r>
            <w:r>
              <w:rPr>
                <w:color w:val="000000"/>
              </w:rPr>
              <w:t>》（GB18599-2020）的相关要求建立固体废物</w:t>
            </w:r>
            <w:r>
              <w:rPr>
                <w:rFonts w:hint="eastAsia"/>
                <w:color w:val="000000"/>
              </w:rPr>
              <w:t>临时</w:t>
            </w:r>
            <w:r>
              <w:rPr>
                <w:color w:val="000000"/>
              </w:rPr>
              <w:t>堆放场地，不得随处堆放，固废临时贮存场应满足如下要求：</w:t>
            </w:r>
          </w:p>
          <w:p w14:paraId="1C0C6E0F">
            <w:pPr>
              <w:pStyle w:val="100"/>
              <w:rPr>
                <w:color w:val="000000"/>
              </w:rPr>
            </w:pPr>
            <w:r>
              <w:rPr>
                <w:rFonts w:hint="eastAsia"/>
                <w:color w:val="000000"/>
              </w:rPr>
              <w:t>①</w:t>
            </w:r>
            <w:r>
              <w:rPr>
                <w:color w:val="000000"/>
              </w:rPr>
              <w:t>地面应采取硬化措施并满足承载力要求，必要时采取相应措施防止地基下沉。</w:t>
            </w:r>
          </w:p>
          <w:p w14:paraId="35E37AAC">
            <w:pPr>
              <w:pStyle w:val="100"/>
              <w:rPr>
                <w:color w:val="000000"/>
              </w:rPr>
            </w:pPr>
            <w:r>
              <w:rPr>
                <w:rFonts w:hint="eastAsia"/>
                <w:color w:val="000000"/>
              </w:rPr>
              <w:t>②应采用库房、包装工具(罐、桶、包装袋等)贮存</w:t>
            </w:r>
            <w:r>
              <w:rPr>
                <w:color w:val="000000"/>
              </w:rPr>
              <w:t>，</w:t>
            </w:r>
            <w:r>
              <w:rPr>
                <w:rFonts w:hint="eastAsia"/>
                <w:color w:val="000000"/>
              </w:rPr>
              <w:t>固废区应</w:t>
            </w:r>
            <w:r>
              <w:rPr>
                <w:color w:val="000000"/>
              </w:rPr>
              <w:t>位于</w:t>
            </w:r>
            <w:r>
              <w:rPr>
                <w:rFonts w:hint="eastAsia"/>
                <w:color w:val="000000"/>
              </w:rPr>
              <w:t>封闭</w:t>
            </w:r>
            <w:r>
              <w:rPr>
                <w:color w:val="000000"/>
              </w:rPr>
              <w:t>厂房结构内</w:t>
            </w:r>
            <w:r>
              <w:rPr>
                <w:rFonts w:hint="eastAsia"/>
                <w:color w:val="000000"/>
              </w:rPr>
              <w:t>，满足相应防渗漏、防雨淋、防扬尘等环境保护要求。</w:t>
            </w:r>
          </w:p>
          <w:p w14:paraId="32A48F1A">
            <w:pPr>
              <w:pStyle w:val="100"/>
              <w:rPr>
                <w:color w:val="000000"/>
              </w:rPr>
            </w:pPr>
            <w:r>
              <w:rPr>
                <w:rFonts w:hint="eastAsia"/>
                <w:color w:val="000000"/>
              </w:rPr>
              <w:t>③按照</w:t>
            </w:r>
            <w:r>
              <w:rPr>
                <w:color w:val="000000"/>
              </w:rPr>
              <w:t>《环境保护图形标识—固体废物贮存（处置）场》（GB15562.2）要求设置环境保护图形标志</w:t>
            </w:r>
            <w:r>
              <w:rPr>
                <w:rFonts w:hint="eastAsia"/>
                <w:color w:val="000000"/>
              </w:rPr>
              <w:t>；按照</w:t>
            </w:r>
            <w:r>
              <w:rPr>
                <w:color w:val="000000"/>
              </w:rPr>
              <w:t>《</w:t>
            </w:r>
            <w:r>
              <w:rPr>
                <w:rFonts w:hint="eastAsia"/>
                <w:color w:val="000000"/>
              </w:rPr>
              <w:t>一般工业固体废物管理台账制定指南（试行）</w:t>
            </w:r>
            <w:r>
              <w:rPr>
                <w:color w:val="000000"/>
              </w:rPr>
              <w:t>》</w:t>
            </w:r>
            <w:r>
              <w:rPr>
                <w:rFonts w:hint="eastAsia"/>
                <w:color w:val="000000"/>
              </w:rPr>
              <w:t>制定</w:t>
            </w:r>
            <w:r>
              <w:rPr>
                <w:color w:val="000000"/>
              </w:rPr>
              <w:t>管理台账。</w:t>
            </w:r>
          </w:p>
          <w:p w14:paraId="57E91186">
            <w:pPr>
              <w:adjustRightInd w:val="0"/>
              <w:snapToGrid w:val="0"/>
              <w:spacing w:before="120" w:beforeLines="50" w:after="120" w:afterLines="50"/>
              <w:ind w:firstLine="240" w:firstLineChars="100"/>
              <w:outlineLvl w:val="1"/>
              <w:rPr>
                <w:rFonts w:eastAsia="等线"/>
                <w:b/>
                <w:bCs/>
                <w:color w:val="000000"/>
                <w:sz w:val="24"/>
              </w:rPr>
            </w:pPr>
            <w:r>
              <w:rPr>
                <w:rFonts w:hint="eastAsia" w:eastAsia="等线"/>
                <w:b/>
                <w:bCs/>
                <w:color w:val="000000"/>
                <w:sz w:val="24"/>
              </w:rPr>
              <w:t>4.</w:t>
            </w:r>
            <w:r>
              <w:rPr>
                <w:rFonts w:eastAsia="等线"/>
                <w:b/>
                <w:bCs/>
                <w:color w:val="000000"/>
                <w:sz w:val="24"/>
              </w:rPr>
              <w:t>4</w:t>
            </w:r>
            <w:r>
              <w:rPr>
                <w:rFonts w:hint="eastAsia" w:eastAsia="等线"/>
                <w:b/>
                <w:bCs/>
                <w:color w:val="000000"/>
                <w:sz w:val="24"/>
              </w:rPr>
              <w:t xml:space="preserve"> 固废</w:t>
            </w:r>
            <w:r>
              <w:rPr>
                <w:rFonts w:eastAsia="等线"/>
                <w:b/>
                <w:bCs/>
                <w:color w:val="000000"/>
                <w:sz w:val="24"/>
              </w:rPr>
              <w:t>环境</w:t>
            </w:r>
            <w:r>
              <w:rPr>
                <w:rFonts w:hint="eastAsia" w:eastAsia="等线"/>
                <w:b/>
                <w:bCs/>
                <w:color w:val="000000"/>
                <w:sz w:val="24"/>
              </w:rPr>
              <w:t>影响</w:t>
            </w:r>
            <w:r>
              <w:rPr>
                <w:rFonts w:eastAsia="等线"/>
                <w:b/>
                <w:bCs/>
                <w:color w:val="000000"/>
                <w:sz w:val="24"/>
              </w:rPr>
              <w:t>分析</w:t>
            </w:r>
          </w:p>
          <w:p w14:paraId="051EF428">
            <w:pPr>
              <w:pStyle w:val="100"/>
              <w:rPr>
                <w:color w:val="000000"/>
              </w:rPr>
            </w:pPr>
            <w:r>
              <w:rPr>
                <w:color w:val="000000"/>
              </w:rPr>
              <w:t>综上，项目各类固废能得到合理利用，妥善处置，不擅自向环境排放，符合国家对固体废物减量化、资源化、无害化的要求，不会对周围环境造成影响，因此本项目固废处置方案</w:t>
            </w:r>
            <w:r>
              <w:rPr>
                <w:rFonts w:hint="eastAsia"/>
                <w:color w:val="000000"/>
              </w:rPr>
              <w:t>合理</w:t>
            </w:r>
            <w:r>
              <w:rPr>
                <w:color w:val="000000"/>
              </w:rPr>
              <w:t>可行。</w:t>
            </w:r>
          </w:p>
          <w:p w14:paraId="72CE6A7E">
            <w:pPr>
              <w:pStyle w:val="259"/>
              <w:spacing w:before="120" w:after="120"/>
            </w:pPr>
            <w:bookmarkStart w:id="46" w:name="_Toc197848443"/>
            <w:r>
              <w:t>5、地下水</w:t>
            </w:r>
            <w:r>
              <w:rPr>
                <w:rFonts w:hint="eastAsia"/>
              </w:rPr>
              <w:t>、土壤</w:t>
            </w:r>
            <w:bookmarkEnd w:id="46"/>
          </w:p>
          <w:p w14:paraId="016ADA26">
            <w:pPr>
              <w:pStyle w:val="261"/>
              <w:ind w:firstLine="240"/>
              <w:rPr>
                <w:rFonts w:hint="eastAsia" w:eastAsia="等线"/>
                <w:lang w:val="en-US" w:eastAsia="zh-CN"/>
              </w:rPr>
            </w:pPr>
            <w:r>
              <w:rPr>
                <w:rFonts w:hint="eastAsia"/>
                <w:color w:val="000000"/>
                <w:kern w:val="0"/>
                <w:lang w:bidi="ar"/>
              </w:rPr>
              <w:t>5.</w:t>
            </w:r>
            <w:r>
              <w:rPr>
                <w:color w:val="000000"/>
                <w:kern w:val="0"/>
                <w:lang w:bidi="ar"/>
              </w:rPr>
              <w:t>1</w:t>
            </w:r>
            <w:r>
              <w:t>地下水</w:t>
            </w:r>
            <w:r>
              <w:rPr>
                <w:rFonts w:hint="eastAsia"/>
                <w:lang w:val="en-US" w:eastAsia="zh-CN"/>
              </w:rPr>
              <w:t>分析</w:t>
            </w:r>
          </w:p>
          <w:p w14:paraId="227FE648">
            <w:pPr>
              <w:pStyle w:val="100"/>
              <w:ind w:left="0" w:leftChars="0"/>
            </w:pPr>
            <w:r>
              <w:rPr>
                <w:rFonts w:hint="eastAsia"/>
                <w:color w:val="000000"/>
                <w:sz w:val="24"/>
              </w:rPr>
              <w:t>按照《环境影响评价技术导则  地下水环境》（HJ610-2016）附录A地下水环境影响评价行业分类表，本项目属于</w:t>
            </w:r>
            <w:r>
              <w:rPr>
                <w:color w:val="000000"/>
                <w:sz w:val="24"/>
              </w:rPr>
              <w:fldChar w:fldCharType="begin"/>
            </w:r>
            <w:r>
              <w:rPr>
                <w:color w:val="000000"/>
                <w:sz w:val="24"/>
              </w:rPr>
              <w:instrText xml:space="preserve"> </w:instrText>
            </w:r>
            <w:r>
              <w:rPr>
                <w:rFonts w:hint="eastAsia"/>
                <w:color w:val="000000"/>
                <w:sz w:val="24"/>
              </w:rPr>
              <w:instrText xml:space="preserve">= 4 \* ROMAN</w:instrText>
            </w:r>
            <w:r>
              <w:rPr>
                <w:color w:val="000000"/>
                <w:sz w:val="24"/>
              </w:rPr>
              <w:instrText xml:space="preserve"> </w:instrText>
            </w:r>
            <w:r>
              <w:rPr>
                <w:color w:val="000000"/>
                <w:sz w:val="24"/>
              </w:rPr>
              <w:fldChar w:fldCharType="separate"/>
            </w:r>
            <w:r>
              <w:rPr>
                <w:color w:val="000000"/>
                <w:sz w:val="24"/>
              </w:rPr>
              <w:t>IV</w:t>
            </w:r>
            <w:r>
              <w:rPr>
                <w:color w:val="000000"/>
                <w:sz w:val="24"/>
              </w:rPr>
              <w:fldChar w:fldCharType="end"/>
            </w:r>
            <w:r>
              <w:rPr>
                <w:rFonts w:hint="eastAsia"/>
                <w:color w:val="000000"/>
                <w:sz w:val="24"/>
              </w:rPr>
              <w:t>类，可不开展地下水评价。</w:t>
            </w:r>
          </w:p>
          <w:p w14:paraId="6F5C63C2">
            <w:pPr>
              <w:pStyle w:val="261"/>
              <w:ind w:firstLine="240"/>
              <w:rPr>
                <w:rFonts w:hint="default" w:eastAsia="等线"/>
                <w:lang w:val="en-US" w:eastAsia="zh-CN"/>
              </w:rPr>
            </w:pPr>
            <w:r>
              <w:rPr>
                <w:rFonts w:hint="eastAsia"/>
              </w:rPr>
              <w:t>5.</w:t>
            </w:r>
            <w:r>
              <w:t>2</w:t>
            </w:r>
            <w:r>
              <w:rPr>
                <w:rFonts w:hint="eastAsia"/>
                <w:lang w:val="en-US" w:eastAsia="zh-CN"/>
              </w:rPr>
              <w:t>土壤分析</w:t>
            </w:r>
          </w:p>
          <w:p w14:paraId="434CA642">
            <w:pPr>
              <w:adjustRightInd w:val="0"/>
              <w:snapToGrid w:val="0"/>
              <w:spacing w:line="360" w:lineRule="auto"/>
              <w:ind w:firstLine="480" w:firstLineChars="200"/>
              <w:rPr>
                <w:sz w:val="24"/>
              </w:rPr>
            </w:pPr>
            <w:r>
              <w:rPr>
                <w:rFonts w:hint="eastAsia" w:hAnsi="宋体"/>
                <w:bCs/>
                <w:sz w:val="24"/>
              </w:rPr>
              <w:t>根据《环境影响评价技术导则</w:t>
            </w:r>
            <w:r>
              <w:rPr>
                <w:bCs/>
                <w:sz w:val="24"/>
              </w:rPr>
              <w:t xml:space="preserve"> </w:t>
            </w:r>
            <w:r>
              <w:rPr>
                <w:rFonts w:hint="eastAsia" w:hAnsi="宋体"/>
                <w:bCs/>
                <w:sz w:val="24"/>
              </w:rPr>
              <w:t>土壤环境（试行）》（</w:t>
            </w:r>
            <w:r>
              <w:rPr>
                <w:bCs/>
                <w:sz w:val="24"/>
              </w:rPr>
              <w:t>HJ 964-2018</w:t>
            </w:r>
            <w:r>
              <w:rPr>
                <w:rFonts w:hint="eastAsia" w:hAnsi="宋体"/>
                <w:bCs/>
                <w:sz w:val="24"/>
              </w:rPr>
              <w:t>）附录</w:t>
            </w:r>
            <w:r>
              <w:rPr>
                <w:bCs/>
                <w:sz w:val="24"/>
              </w:rPr>
              <w:t>A</w:t>
            </w:r>
            <w:r>
              <w:rPr>
                <w:rFonts w:hint="eastAsia" w:hAnsi="宋体"/>
                <w:bCs/>
                <w:sz w:val="24"/>
              </w:rPr>
              <w:t>，本项目行业类别</w:t>
            </w:r>
            <w:r>
              <w:rPr>
                <w:rFonts w:hint="eastAsia" w:hAnsi="宋体"/>
                <w:bCs/>
                <w:sz w:val="24"/>
                <w:lang w:val="en-US" w:eastAsia="zh-CN"/>
              </w:rPr>
              <w:t>不在附录A所列行业内</w:t>
            </w:r>
            <w:r>
              <w:t>。</w:t>
            </w:r>
            <w:r>
              <w:rPr>
                <w:sz w:val="24"/>
              </w:rPr>
              <w:t>本项目运行后，正常情况下不会对土壤环境产生影响，仅在厂区内污染防治措施非正常情况下可能会对土壤环境造成影响。</w:t>
            </w:r>
          </w:p>
          <w:p w14:paraId="1C43E1E0">
            <w:pPr>
              <w:pStyle w:val="98"/>
              <w:spacing w:before="0" w:beforeLines="0" w:after="0" w:afterLines="0" w:line="360" w:lineRule="auto"/>
              <w:ind w:firstLine="708" w:firstLineChars="295"/>
              <w:rPr>
                <w:rFonts w:ascii="Times New Roman" w:hAnsi="Times New Roman" w:eastAsia="宋体"/>
                <w:b w:val="0"/>
                <w:bCs w:val="0"/>
                <w:szCs w:val="24"/>
                <w:lang w:val="en-US" w:eastAsia="zh-CN"/>
              </w:rPr>
            </w:pPr>
            <w:bookmarkStart w:id="47" w:name="_Toc103810461"/>
            <w:r>
              <w:rPr>
                <w:rFonts w:ascii="Times New Roman" w:hAnsi="Times New Roman" w:eastAsia="宋体"/>
                <w:b w:val="0"/>
                <w:bCs w:val="0"/>
                <w:szCs w:val="24"/>
                <w:lang w:val="en-US" w:eastAsia="zh-CN"/>
              </w:rPr>
              <w:t>根据本项目情况，提出以下防治措施：</w:t>
            </w:r>
            <w:bookmarkEnd w:id="47"/>
          </w:p>
          <w:p w14:paraId="6774A758">
            <w:pPr>
              <w:pStyle w:val="98"/>
              <w:spacing w:before="0" w:beforeLines="0" w:after="0" w:afterLines="0" w:line="360" w:lineRule="auto"/>
              <w:ind w:firstLine="480" w:firstLineChars="200"/>
              <w:rPr>
                <w:rFonts w:ascii="Times New Roman" w:hAnsi="Times New Roman" w:eastAsia="宋体"/>
                <w:b w:val="0"/>
                <w:bCs w:val="0"/>
                <w:szCs w:val="24"/>
                <w:lang w:val="en-US" w:eastAsia="zh-CN"/>
              </w:rPr>
            </w:pPr>
            <w:bookmarkStart w:id="48" w:name="_Toc103810462"/>
            <w:r>
              <w:rPr>
                <w:rFonts w:ascii="Times New Roman" w:hAnsi="Times New Roman" w:eastAsia="宋体"/>
                <w:b w:val="0"/>
                <w:bCs w:val="0"/>
                <w:szCs w:val="24"/>
                <w:lang w:val="en-US" w:eastAsia="zh-CN"/>
              </w:rPr>
              <w:t>（1）建设单位对废气进行严格控制，确保废气净化后稳定达标排放；</w:t>
            </w:r>
            <w:bookmarkEnd w:id="48"/>
          </w:p>
          <w:p w14:paraId="60407A83">
            <w:pPr>
              <w:pStyle w:val="98"/>
              <w:spacing w:before="0" w:beforeLines="0" w:after="0" w:afterLines="0" w:line="360" w:lineRule="auto"/>
              <w:ind w:firstLine="480" w:firstLineChars="200"/>
              <w:rPr>
                <w:rFonts w:ascii="Times New Roman" w:hAnsi="Times New Roman" w:eastAsia="宋体"/>
                <w:b w:val="0"/>
                <w:bCs w:val="0"/>
                <w:szCs w:val="24"/>
                <w:lang w:val="en-US" w:eastAsia="zh-CN"/>
              </w:rPr>
            </w:pPr>
            <w:bookmarkStart w:id="49" w:name="_Toc103810463"/>
            <w:r>
              <w:rPr>
                <w:rFonts w:ascii="Times New Roman" w:hAnsi="Times New Roman" w:eastAsia="宋体"/>
                <w:b w:val="0"/>
                <w:bCs w:val="0"/>
                <w:szCs w:val="24"/>
                <w:lang w:val="en-US" w:eastAsia="zh-CN"/>
              </w:rPr>
              <w:t>（2）本项目厂区内采取绿化措施，加大绿化面积，多种植具有较强吸附能力的植物阻止大气沉降对土壤带来的影响；</w:t>
            </w:r>
            <w:bookmarkEnd w:id="49"/>
          </w:p>
          <w:p w14:paraId="49FF04A9">
            <w:pPr>
              <w:pStyle w:val="98"/>
              <w:spacing w:before="0" w:beforeLines="0" w:after="0" w:afterLines="0" w:line="360" w:lineRule="auto"/>
              <w:ind w:firstLine="480" w:firstLineChars="200"/>
              <w:rPr>
                <w:rFonts w:ascii="Times New Roman" w:hAnsi="Times New Roman" w:eastAsia="宋体"/>
                <w:b w:val="0"/>
                <w:bCs w:val="0"/>
                <w:szCs w:val="24"/>
                <w:lang w:val="en-US" w:eastAsia="zh-CN"/>
              </w:rPr>
            </w:pPr>
            <w:bookmarkStart w:id="50" w:name="_Toc103810464"/>
            <w:r>
              <w:rPr>
                <w:rFonts w:ascii="Times New Roman" w:hAnsi="Times New Roman" w:eastAsia="宋体"/>
                <w:b w:val="0"/>
                <w:bCs w:val="0"/>
                <w:szCs w:val="24"/>
                <w:lang w:val="en-US" w:eastAsia="zh-CN"/>
              </w:rPr>
              <w:t>（3）制定严格的废水管理办法和废水处理操作规程，加强废水处理设施、污水管道的防渗和防泄漏措施。</w:t>
            </w:r>
            <w:bookmarkEnd w:id="50"/>
          </w:p>
          <w:p w14:paraId="5442F349">
            <w:pPr>
              <w:pStyle w:val="98"/>
              <w:spacing w:before="0" w:beforeLines="0" w:after="0" w:afterLines="0" w:line="360" w:lineRule="auto"/>
              <w:ind w:firstLine="480" w:firstLineChars="200"/>
              <w:rPr>
                <w:rFonts w:ascii="Times New Roman" w:hAnsi="Times New Roman" w:eastAsia="宋体q萀"/>
                <w:b w:val="0"/>
                <w:bCs w:val="0"/>
                <w:color w:val="000000"/>
                <w:kern w:val="0"/>
                <w:szCs w:val="24"/>
                <w:lang w:val="en-US" w:eastAsia="zh-CN"/>
              </w:rPr>
            </w:pPr>
            <w:bookmarkStart w:id="51" w:name="_Toc103810465"/>
            <w:r>
              <w:rPr>
                <w:rFonts w:ascii="Times New Roman" w:hAnsi="Times New Roman" w:eastAsia="宋体"/>
                <w:b w:val="0"/>
                <w:bCs w:val="0"/>
                <w:szCs w:val="24"/>
                <w:lang w:val="en-US" w:eastAsia="zh-CN"/>
              </w:rPr>
              <w:t>（4）</w:t>
            </w:r>
            <w:r>
              <w:rPr>
                <w:rFonts w:ascii="Times New Roman" w:hAnsi="Times New Roman" w:eastAsia="宋体q萀"/>
                <w:b w:val="0"/>
                <w:bCs w:val="0"/>
                <w:color w:val="000000"/>
                <w:kern w:val="0"/>
                <w:szCs w:val="24"/>
                <w:lang w:val="en-US" w:eastAsia="zh-CN"/>
              </w:rPr>
              <w:t>对厂区实行地面硬化和外围的绿化隔离措施，其中还应设置合理的截水、集水、导排水系统，地埋排水管网应加强底部防渗设计；</w:t>
            </w:r>
            <w:bookmarkEnd w:id="51"/>
          </w:p>
          <w:p w14:paraId="421B2B87">
            <w:pPr>
              <w:pStyle w:val="98"/>
              <w:spacing w:before="0" w:beforeLines="0" w:after="0" w:afterLines="0" w:line="360" w:lineRule="auto"/>
              <w:ind w:firstLine="480" w:firstLineChars="200"/>
              <w:rPr>
                <w:rFonts w:ascii="Times New Roman" w:hAnsi="Times New Roman" w:eastAsia="宋体q萀"/>
                <w:b w:val="0"/>
                <w:bCs w:val="0"/>
                <w:color w:val="000000"/>
                <w:kern w:val="0"/>
                <w:szCs w:val="24"/>
                <w:lang w:val="en-US" w:eastAsia="zh-CN"/>
              </w:rPr>
            </w:pPr>
            <w:bookmarkStart w:id="52" w:name="_Toc103810466"/>
            <w:r>
              <w:rPr>
                <w:rFonts w:ascii="Times New Roman" w:hAnsi="Times New Roman" w:eastAsia="宋体q萀"/>
                <w:b w:val="0"/>
                <w:bCs w:val="0"/>
                <w:color w:val="000000"/>
                <w:kern w:val="0"/>
                <w:szCs w:val="24"/>
                <w:lang w:val="en-US" w:eastAsia="zh-CN"/>
              </w:rPr>
              <w:t>（5）污水管网采用高密度聚乙烯材料管，管路要全防护、管道接口熔融连接、无渗漏，以达到有效防止污水渗漏的目的。</w:t>
            </w:r>
            <w:bookmarkEnd w:id="52"/>
            <w:r>
              <w:rPr>
                <w:rFonts w:ascii="Times New Roman" w:hAnsi="Times New Roman" w:eastAsia="宋体q萀"/>
                <w:b w:val="0"/>
                <w:bCs w:val="0"/>
                <w:color w:val="000000"/>
                <w:kern w:val="0"/>
                <w:szCs w:val="24"/>
                <w:lang w:val="en-US" w:eastAsia="zh-CN"/>
              </w:rPr>
              <w:t xml:space="preserve"> </w:t>
            </w:r>
          </w:p>
          <w:p w14:paraId="112576B1">
            <w:pPr>
              <w:pStyle w:val="261"/>
              <w:ind w:firstLine="240"/>
            </w:pPr>
            <w:r>
              <w:rPr>
                <w:rFonts w:hint="eastAsia"/>
                <w:lang w:bidi="ar"/>
              </w:rPr>
              <w:t>5.</w:t>
            </w:r>
            <w:r>
              <w:rPr>
                <w:lang w:bidi="ar"/>
              </w:rPr>
              <w:t>3监测要求</w:t>
            </w:r>
          </w:p>
          <w:p w14:paraId="5CF24E1B">
            <w:pPr>
              <w:pStyle w:val="144"/>
            </w:pPr>
            <w:r>
              <w:t>本项目不具备风险物质泄漏的地下水、土壤污染传播途径，故不进行跟踪监测</w:t>
            </w:r>
            <w:r>
              <w:rPr>
                <w:rFonts w:hint="eastAsia"/>
              </w:rPr>
              <w:t>。</w:t>
            </w:r>
          </w:p>
          <w:p w14:paraId="5266D477">
            <w:pPr>
              <w:pStyle w:val="259"/>
              <w:spacing w:before="120" w:after="120"/>
            </w:pPr>
            <w:bookmarkStart w:id="53" w:name="_Toc197848444"/>
            <w:r>
              <w:rPr>
                <w:rFonts w:hint="eastAsia"/>
              </w:rPr>
              <w:t>6</w:t>
            </w:r>
            <w:r>
              <w:t>、环境风险</w:t>
            </w:r>
            <w:bookmarkEnd w:id="53"/>
          </w:p>
          <w:p w14:paraId="184974C1">
            <w:pPr>
              <w:pStyle w:val="142"/>
              <w:keepNext w:val="0"/>
              <w:keepLines w:val="0"/>
              <w:pageBreakBefore w:val="0"/>
              <w:widowControl w:val="0"/>
              <w:kinsoku/>
              <w:wordWrap/>
              <w:overflowPunct/>
              <w:topLinePunct w:val="0"/>
              <w:autoSpaceDE/>
              <w:autoSpaceDN/>
              <w:bidi w:val="0"/>
              <w:snapToGrid/>
              <w:spacing w:line="360" w:lineRule="auto"/>
              <w:ind w:firstLine="480"/>
              <w:rPr>
                <w:b w:val="0"/>
                <w:bCs/>
                <w:color w:val="000000"/>
                <w:kern w:val="0"/>
                <w:szCs w:val="24"/>
              </w:rPr>
            </w:pPr>
            <w:bookmarkStart w:id="54" w:name="_Toc197848446"/>
            <w:r>
              <w:rPr>
                <w:rFonts w:hint="eastAsia"/>
                <w:b w:val="0"/>
                <w:bCs/>
                <w:color w:val="000000"/>
                <w:kern w:val="0"/>
                <w:szCs w:val="24"/>
              </w:rPr>
              <w:t>6.1建设项目风险源调查</w:t>
            </w:r>
          </w:p>
          <w:p w14:paraId="7132DAAC">
            <w:pPr>
              <w:widowControl/>
              <w:adjustRightInd w:val="0"/>
              <w:snapToGrid w:val="0"/>
              <w:spacing w:line="360" w:lineRule="auto"/>
              <w:ind w:firstLine="480" w:firstLineChars="200"/>
              <w:jc w:val="left"/>
              <w:rPr>
                <w:color w:val="000000"/>
                <w:kern w:val="0"/>
                <w:sz w:val="24"/>
              </w:rPr>
            </w:pPr>
            <w:bookmarkStart w:id="55" w:name="_Toc465969231"/>
            <w:r>
              <w:rPr>
                <w:rFonts w:hint="eastAsia"/>
                <w:color w:val="000000"/>
                <w:kern w:val="0"/>
                <w:sz w:val="24"/>
              </w:rPr>
              <w:t>根据《建设项目环境风险评价技术导则》（</w:t>
            </w:r>
            <w:r>
              <w:rPr>
                <w:color w:val="000000"/>
                <w:kern w:val="0"/>
                <w:sz w:val="24"/>
              </w:rPr>
              <w:t>HJ/T169-2018</w:t>
            </w:r>
            <w:r>
              <w:rPr>
                <w:rFonts w:hint="eastAsia"/>
                <w:color w:val="000000"/>
                <w:kern w:val="0"/>
                <w:sz w:val="24"/>
              </w:rPr>
              <w:t>）和《危险化学品重大危险源辨识》（</w:t>
            </w:r>
            <w:r>
              <w:rPr>
                <w:color w:val="000000"/>
                <w:kern w:val="0"/>
                <w:sz w:val="24"/>
              </w:rPr>
              <w:t>GB18218-2009</w:t>
            </w:r>
            <w:r>
              <w:rPr>
                <w:rFonts w:hint="eastAsia"/>
                <w:color w:val="000000"/>
                <w:kern w:val="0"/>
                <w:sz w:val="24"/>
              </w:rPr>
              <w:t>），本项目生产过程中所涉及的危险化学品为</w:t>
            </w:r>
            <w:bookmarkEnd w:id="55"/>
            <w:r>
              <w:rPr>
                <w:rFonts w:hint="eastAsia"/>
                <w:color w:val="000000"/>
                <w:kern w:val="0"/>
                <w:sz w:val="24"/>
              </w:rPr>
              <w:t>管道天然气。</w:t>
            </w:r>
          </w:p>
          <w:p w14:paraId="2DF32BB4">
            <w:pPr>
              <w:adjustRightInd w:val="0"/>
              <w:spacing w:line="360" w:lineRule="auto"/>
              <w:ind w:firstLine="480" w:firstLineChars="200"/>
              <w:jc w:val="left"/>
              <w:rPr>
                <w:bCs/>
                <w:color w:val="000000"/>
                <w:kern w:val="0"/>
                <w:sz w:val="24"/>
              </w:rPr>
            </w:pPr>
            <w:r>
              <w:rPr>
                <w:rFonts w:hint="eastAsia"/>
                <w:bCs/>
                <w:color w:val="000000"/>
                <w:kern w:val="0"/>
                <w:sz w:val="24"/>
              </w:rPr>
              <w:t>天然气：主要成分为甲烷、乙烷、丙烷、丁烷等，甲烷对人体基本无毒，但浓度过高时，使空气中氧含量明显降低，使人窒息。当空气中甲烷到</w:t>
            </w:r>
            <w:r>
              <w:rPr>
                <w:bCs/>
                <w:color w:val="000000"/>
                <w:kern w:val="0"/>
                <w:sz w:val="24"/>
              </w:rPr>
              <w:t>25%</w:t>
            </w:r>
            <w:r>
              <w:rPr>
                <w:rFonts w:hint="eastAsia"/>
                <w:bCs/>
                <w:color w:val="000000"/>
                <w:kern w:val="0"/>
                <w:sz w:val="24"/>
              </w:rPr>
              <w:t>到</w:t>
            </w:r>
            <w:r>
              <w:rPr>
                <w:bCs/>
                <w:color w:val="000000"/>
                <w:kern w:val="0"/>
                <w:sz w:val="24"/>
              </w:rPr>
              <w:t>30%</w:t>
            </w:r>
            <w:r>
              <w:rPr>
                <w:rFonts w:hint="eastAsia"/>
                <w:bCs/>
                <w:color w:val="000000"/>
                <w:kern w:val="0"/>
                <w:sz w:val="24"/>
              </w:rPr>
              <w:t>时，可引起头痛、头晕、乏力、注意力不集中、呼吸和心跳加速、共济失调。若不及时脱离，可致窒息死亡。皮肤接触液化甲烷，可致冻伤。液化气易燃，存在着爆炸危险，若液化气在空气中浓度为</w:t>
            </w:r>
            <w:r>
              <w:rPr>
                <w:bCs/>
                <w:color w:val="000000"/>
                <w:kern w:val="0"/>
                <w:sz w:val="24"/>
              </w:rPr>
              <w:t>5%</w:t>
            </w:r>
            <w:r>
              <w:rPr>
                <w:rFonts w:hint="eastAsia"/>
                <w:bCs/>
                <w:color w:val="000000"/>
                <w:kern w:val="0"/>
                <w:sz w:val="24"/>
              </w:rPr>
              <w:t>到</w:t>
            </w:r>
            <w:r>
              <w:rPr>
                <w:bCs/>
                <w:color w:val="000000"/>
                <w:kern w:val="0"/>
                <w:sz w:val="24"/>
              </w:rPr>
              <w:t>15%</w:t>
            </w:r>
            <w:r>
              <w:rPr>
                <w:rFonts w:hint="eastAsia"/>
                <w:bCs/>
                <w:color w:val="000000"/>
                <w:kern w:val="0"/>
                <w:sz w:val="24"/>
              </w:rPr>
              <w:t>的范围内时，遇明火即可发生爆炸，这个浓度范围即为液化气的爆炸极限。爆炸在瞬间产生高压、高温，其破坏力和危险性都是很大的。同时，泄漏后遇明火可导致火灾爆炸。具有窒息性。若发生泄漏等情况，可对环境造成污染，危害人群健康。</w:t>
            </w:r>
          </w:p>
          <w:p w14:paraId="0B8D46E3">
            <w:pPr>
              <w:pStyle w:val="100"/>
              <w:snapToGrid w:val="0"/>
            </w:pPr>
            <w:r>
              <w:rPr>
                <w:rFonts w:hint="eastAsia"/>
                <w:color w:val="000000"/>
              </w:rPr>
              <w:t>根据建设单位提供的工程资料，本项目天然气来源于管道天然气，管道长</w:t>
            </w:r>
            <w:r>
              <w:rPr>
                <w:rFonts w:hint="eastAsia"/>
                <w:color w:val="000000"/>
                <w:lang w:val="en-US" w:eastAsia="zh-CN"/>
              </w:rPr>
              <w:t>7</w:t>
            </w:r>
            <w:r>
              <w:rPr>
                <w:color w:val="000000"/>
              </w:rPr>
              <w:t>0m</w:t>
            </w:r>
            <w:r>
              <w:rPr>
                <w:rFonts w:hint="eastAsia"/>
                <w:color w:val="000000"/>
              </w:rPr>
              <w:t>，内径</w:t>
            </w:r>
            <w:r>
              <w:rPr>
                <w:color w:val="000000"/>
              </w:rPr>
              <w:t>60mm</w:t>
            </w:r>
            <w:r>
              <w:rPr>
                <w:rFonts w:hint="eastAsia"/>
                <w:color w:val="000000"/>
              </w:rPr>
              <w:t>，厂内</w:t>
            </w:r>
            <w:r>
              <w:rPr>
                <w:rFonts w:hint="eastAsia"/>
                <w:color w:val="000000"/>
                <w:kern w:val="0"/>
              </w:rPr>
              <w:t>天然气最大在线量为</w:t>
            </w:r>
            <w:r>
              <w:rPr>
                <w:rFonts w:hint="eastAsia"/>
                <w:color w:val="000000"/>
                <w:kern w:val="0"/>
                <w:lang w:val="en-US" w:eastAsia="zh-CN"/>
              </w:rPr>
              <w:t>1</w:t>
            </w:r>
            <w:r>
              <w:rPr>
                <w:color w:val="000000"/>
                <w:kern w:val="0"/>
              </w:rPr>
              <w:t>kg</w:t>
            </w:r>
            <w:r>
              <w:rPr>
                <w:rFonts w:hint="eastAsia"/>
                <w:color w:val="000000"/>
              </w:rPr>
              <w:t>。</w:t>
            </w:r>
            <w:r>
              <w:rPr>
                <w:rFonts w:hint="eastAsia" w:hAnsi="宋体"/>
                <w:bCs/>
                <w:color w:val="000000"/>
              </w:rPr>
              <w:t>生产过程中使用的设备、装置危害因素识别见下表</w:t>
            </w:r>
            <w:r>
              <w:t>。</w:t>
            </w:r>
          </w:p>
          <w:p w14:paraId="52924C69">
            <w:pPr>
              <w:pStyle w:val="56"/>
              <w:numPr>
                <w:ilvl w:val="0"/>
                <w:numId w:val="0"/>
              </w:numPr>
              <w:spacing w:before="120"/>
              <w:ind w:left="3150" w:leftChars="0"/>
              <w:jc w:val="both"/>
              <w:rPr>
                <w:rFonts w:hint="default"/>
                <w:lang w:val="en-US" w:bidi="ar"/>
              </w:rPr>
            </w:pPr>
            <w:r>
              <w:rPr>
                <w:rFonts w:hint="eastAsia"/>
                <w:lang w:val="en-US" w:eastAsia="zh-CN" w:bidi="ar"/>
              </w:rPr>
              <w:t>表40</w:t>
            </w:r>
            <w:r>
              <w:rPr>
                <w:rFonts w:hint="default"/>
                <w:lang w:val="en-US" w:eastAsia="zh-CN" w:bidi="ar"/>
              </w:rPr>
              <w:t xml:space="preserve"> </w:t>
            </w:r>
            <w:r>
              <w:rPr>
                <w:rFonts w:hint="eastAsia"/>
                <w:lang w:val="en-US" w:eastAsia="zh-CN" w:bidi="ar"/>
              </w:rPr>
              <w:t xml:space="preserve"> </w:t>
            </w:r>
            <w:r>
              <w:rPr>
                <w:rFonts w:hint="default"/>
                <w:lang w:bidi="ar"/>
              </w:rPr>
              <w:t>本项目危险设施一览表</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1799"/>
              <w:gridCol w:w="1786"/>
              <w:gridCol w:w="2101"/>
            </w:tblGrid>
            <w:tr w14:paraId="5D13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3300626C">
                  <w:pPr>
                    <w:adjustRightInd w:val="0"/>
                    <w:snapToGrid w:val="0"/>
                    <w:jc w:val="center"/>
                    <w:rPr>
                      <w:color w:val="000000"/>
                    </w:rPr>
                  </w:pPr>
                  <w:r>
                    <w:rPr>
                      <w:rFonts w:hint="eastAsia"/>
                      <w:color w:val="000000"/>
                    </w:rPr>
                    <w:t>设备名称</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06C94F30">
                  <w:pPr>
                    <w:adjustRightInd w:val="0"/>
                    <w:snapToGrid w:val="0"/>
                    <w:jc w:val="center"/>
                    <w:rPr>
                      <w:color w:val="000000"/>
                    </w:rPr>
                  </w:pPr>
                  <w:r>
                    <w:rPr>
                      <w:rFonts w:hint="eastAsia"/>
                      <w:color w:val="000000"/>
                    </w:rPr>
                    <w:t>规格</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518ACF2D">
                  <w:pPr>
                    <w:adjustRightInd w:val="0"/>
                    <w:snapToGrid w:val="0"/>
                    <w:jc w:val="center"/>
                    <w:rPr>
                      <w:color w:val="000000"/>
                    </w:rPr>
                  </w:pPr>
                  <w:r>
                    <w:rPr>
                      <w:rFonts w:hint="eastAsia"/>
                      <w:color w:val="000000"/>
                    </w:rPr>
                    <w:t>数量</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7C9CE7BD">
                  <w:pPr>
                    <w:adjustRightInd w:val="0"/>
                    <w:snapToGrid w:val="0"/>
                    <w:jc w:val="center"/>
                    <w:rPr>
                      <w:color w:val="000000"/>
                    </w:rPr>
                  </w:pPr>
                  <w:r>
                    <w:rPr>
                      <w:rFonts w:hint="eastAsia"/>
                      <w:color w:val="000000"/>
                    </w:rPr>
                    <w:t>风险类别</w:t>
                  </w:r>
                </w:p>
              </w:tc>
            </w:tr>
            <w:tr w14:paraId="02C8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395A412E">
                  <w:pPr>
                    <w:adjustRightInd w:val="0"/>
                    <w:snapToGrid w:val="0"/>
                    <w:jc w:val="center"/>
                    <w:rPr>
                      <w:color w:val="000000"/>
                    </w:rPr>
                  </w:pPr>
                  <w:r>
                    <w:rPr>
                      <w:rFonts w:hint="eastAsia"/>
                      <w:bCs/>
                      <w:color w:val="000000"/>
                    </w:rPr>
                    <w:t>天然</w:t>
                  </w:r>
                  <w:r>
                    <w:rPr>
                      <w:rFonts w:hint="eastAsia"/>
                      <w:color w:val="000000"/>
                    </w:rPr>
                    <w:t>气输送管道</w:t>
                  </w:r>
                </w:p>
              </w:tc>
              <w:tc>
                <w:tcPr>
                  <w:tcW w:w="1799" w:type="dxa"/>
                  <w:tcBorders>
                    <w:top w:val="single" w:color="auto" w:sz="4" w:space="0"/>
                    <w:left w:val="single" w:color="auto" w:sz="4" w:space="0"/>
                    <w:bottom w:val="single" w:color="auto" w:sz="4" w:space="0"/>
                    <w:right w:val="single" w:color="auto" w:sz="4" w:space="0"/>
                  </w:tcBorders>
                  <w:noWrap w:val="0"/>
                  <w:vAlign w:val="center"/>
                </w:tcPr>
                <w:p w14:paraId="7BB9642F">
                  <w:pPr>
                    <w:adjustRightInd w:val="0"/>
                    <w:snapToGrid w:val="0"/>
                    <w:jc w:val="center"/>
                    <w:rPr>
                      <w:color w:val="000000"/>
                    </w:rPr>
                  </w:pPr>
                  <w:r>
                    <w:rPr>
                      <w:rFonts w:hint="eastAsia"/>
                      <w:color w:val="000000"/>
                    </w:rPr>
                    <w:t>管道长</w:t>
                  </w:r>
                  <w:r>
                    <w:rPr>
                      <w:rFonts w:hint="eastAsia"/>
                      <w:color w:val="000000"/>
                      <w:lang w:val="en-US" w:eastAsia="zh-CN"/>
                    </w:rPr>
                    <w:t>70</w:t>
                  </w:r>
                  <w:r>
                    <w:rPr>
                      <w:color w:val="000000"/>
                    </w:rPr>
                    <w:t>m</w:t>
                  </w:r>
                  <w:r>
                    <w:rPr>
                      <w:rFonts w:hint="eastAsia"/>
                      <w:color w:val="000000"/>
                    </w:rPr>
                    <w:t>，内径</w:t>
                  </w:r>
                  <w:r>
                    <w:rPr>
                      <w:color w:val="000000"/>
                    </w:rPr>
                    <w:t>60mm</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2B3D5F29">
                  <w:pPr>
                    <w:adjustRightInd w:val="0"/>
                    <w:snapToGrid w:val="0"/>
                    <w:jc w:val="center"/>
                    <w:rPr>
                      <w:color w:val="000000"/>
                    </w:rPr>
                  </w:pPr>
                  <w:r>
                    <w:rPr>
                      <w:color w:val="000000"/>
                    </w:rPr>
                    <w:t>1</w:t>
                  </w:r>
                  <w:r>
                    <w:rPr>
                      <w:rFonts w:hint="eastAsia"/>
                      <w:color w:val="000000"/>
                    </w:rPr>
                    <w:t>根</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657DF6EF">
                  <w:pPr>
                    <w:adjustRightInd w:val="0"/>
                    <w:snapToGrid w:val="0"/>
                    <w:jc w:val="center"/>
                    <w:rPr>
                      <w:color w:val="000000"/>
                    </w:rPr>
                  </w:pPr>
                  <w:r>
                    <w:rPr>
                      <w:rFonts w:hint="eastAsia"/>
                      <w:color w:val="000000"/>
                    </w:rPr>
                    <w:t>泄漏、着火、爆炸</w:t>
                  </w:r>
                </w:p>
              </w:tc>
            </w:tr>
          </w:tbl>
          <w:p w14:paraId="22B6860E">
            <w:pPr>
              <w:pStyle w:val="100"/>
              <w:snapToGrid w:val="0"/>
              <w:rPr>
                <w:b/>
                <w:bCs/>
              </w:rPr>
            </w:pPr>
            <w:r>
              <w:rPr>
                <w:rFonts w:hint="eastAsia" w:hAnsi="宋体"/>
                <w:bCs/>
                <w:color w:val="000000"/>
              </w:rPr>
              <w:t>环境敏感目标调查：按照《建设项目环境风险评价技术导则》（</w:t>
            </w:r>
            <w:r>
              <w:rPr>
                <w:rFonts w:hAnsi="宋体"/>
                <w:bCs/>
                <w:color w:val="000000"/>
              </w:rPr>
              <w:t>HJ169-2018</w:t>
            </w:r>
            <w:r>
              <w:rPr>
                <w:rFonts w:hint="eastAsia" w:hAnsi="宋体"/>
                <w:bCs/>
                <w:color w:val="000000"/>
              </w:rPr>
              <w:t>）的要求，根据危险物质可能的影响途径，明确环境敏感目标，给出环境敏感目标区位分布图，列表明确调查对象、属性、相对方位及位置等信息。</w:t>
            </w:r>
          </w:p>
          <w:p w14:paraId="5EB91F0F">
            <w:pPr>
              <w:pStyle w:val="56"/>
              <w:numPr>
                <w:ilvl w:val="0"/>
                <w:numId w:val="0"/>
              </w:numPr>
              <w:spacing w:before="120"/>
              <w:ind w:left="3150" w:leftChars="0"/>
              <w:jc w:val="both"/>
              <w:rPr>
                <w:rFonts w:hint="default"/>
                <w:lang w:val="en-US" w:eastAsia="zh-CN" w:bidi="ar"/>
              </w:rPr>
            </w:pPr>
            <w:r>
              <w:rPr>
                <w:rFonts w:hint="eastAsia"/>
                <w:lang w:val="en-US" w:eastAsia="zh-CN" w:bidi="ar"/>
              </w:rPr>
              <w:t>表41 本项目</w:t>
            </w:r>
            <w:r>
              <w:rPr>
                <w:rFonts w:hint="default"/>
                <w:lang w:val="en-US" w:eastAsia="zh-CN" w:bidi="ar"/>
              </w:rPr>
              <w:t>500</w:t>
            </w:r>
            <w:r>
              <w:rPr>
                <w:rFonts w:hint="eastAsia"/>
                <w:lang w:val="en-US" w:eastAsia="zh-CN" w:bidi="ar"/>
              </w:rPr>
              <w:t>0</w:t>
            </w:r>
            <w:r>
              <w:rPr>
                <w:rFonts w:hint="default"/>
                <w:lang w:val="en-US" w:eastAsia="zh-CN" w:bidi="ar"/>
              </w:rPr>
              <w:t>m</w:t>
            </w:r>
            <w:r>
              <w:rPr>
                <w:rFonts w:hint="eastAsia"/>
                <w:lang w:val="en-US" w:eastAsia="zh-CN" w:bidi="ar"/>
              </w:rPr>
              <w:t>范围内敏感目标分布情况表</w:t>
            </w:r>
          </w:p>
          <w:tbl>
            <w:tblPr>
              <w:tblStyle w:val="47"/>
              <w:tblW w:w="8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1710"/>
              <w:gridCol w:w="1410"/>
              <w:gridCol w:w="1576"/>
            </w:tblGrid>
            <w:tr w14:paraId="059E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3322" w:type="dxa"/>
                  <w:tcBorders>
                    <w:top w:val="single" w:color="auto" w:sz="4" w:space="0"/>
                    <w:left w:val="single" w:color="auto" w:sz="4" w:space="0"/>
                    <w:bottom w:val="single" w:color="auto" w:sz="4" w:space="0"/>
                    <w:right w:val="single" w:color="auto" w:sz="4" w:space="0"/>
                  </w:tcBorders>
                  <w:noWrap w:val="0"/>
                  <w:vAlign w:val="center"/>
                </w:tcPr>
                <w:p w14:paraId="3E7C8AD4">
                  <w:pPr>
                    <w:adjustRightInd w:val="0"/>
                    <w:snapToGrid w:val="0"/>
                    <w:jc w:val="center"/>
                    <w:rPr>
                      <w:color w:val="000000"/>
                    </w:rPr>
                  </w:pPr>
                  <w:r>
                    <w:rPr>
                      <w:rFonts w:hint="eastAsia"/>
                      <w:color w:val="000000"/>
                    </w:rPr>
                    <w:t>敏感目标</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21C78DF">
                  <w:pPr>
                    <w:adjustRightInd w:val="0"/>
                    <w:snapToGrid w:val="0"/>
                    <w:jc w:val="center"/>
                    <w:rPr>
                      <w:color w:val="000000"/>
                    </w:rPr>
                  </w:pPr>
                  <w:r>
                    <w:rPr>
                      <w:rFonts w:hint="eastAsia"/>
                      <w:color w:val="000000"/>
                    </w:rPr>
                    <w:t>相对位置</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5BF0361F">
                  <w:pPr>
                    <w:adjustRightInd w:val="0"/>
                    <w:snapToGrid w:val="0"/>
                    <w:jc w:val="center"/>
                    <w:rPr>
                      <w:color w:val="000000"/>
                    </w:rPr>
                  </w:pPr>
                  <w:r>
                    <w:rPr>
                      <w:rFonts w:hint="eastAsia"/>
                      <w:color w:val="000000"/>
                    </w:rPr>
                    <w:t>距离（</w:t>
                  </w:r>
                  <w:r>
                    <w:rPr>
                      <w:color w:val="000000"/>
                    </w:rPr>
                    <w:t>m</w:t>
                  </w:r>
                  <w:r>
                    <w:rPr>
                      <w:rFonts w:hint="eastAsia"/>
                      <w:color w:val="000000"/>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16A2036A">
                  <w:pPr>
                    <w:adjustRightInd w:val="0"/>
                    <w:snapToGrid w:val="0"/>
                    <w:jc w:val="center"/>
                    <w:rPr>
                      <w:color w:val="000000"/>
                    </w:rPr>
                  </w:pPr>
                  <w:r>
                    <w:rPr>
                      <w:rFonts w:hint="eastAsia"/>
                      <w:color w:val="000000"/>
                    </w:rPr>
                    <w:t>人数</w:t>
                  </w:r>
                </w:p>
              </w:tc>
            </w:tr>
            <w:tr w14:paraId="76FA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3322" w:type="dxa"/>
                  <w:tcBorders>
                    <w:top w:val="single" w:color="auto" w:sz="4" w:space="0"/>
                    <w:left w:val="single" w:color="auto" w:sz="4" w:space="0"/>
                    <w:bottom w:val="single" w:color="auto" w:sz="4" w:space="0"/>
                    <w:right w:val="single" w:color="auto" w:sz="4" w:space="0"/>
                  </w:tcBorders>
                  <w:noWrap w:val="0"/>
                  <w:vAlign w:val="center"/>
                </w:tcPr>
                <w:p w14:paraId="0AE3D4B9">
                  <w:pPr>
                    <w:adjustRightInd w:val="0"/>
                    <w:snapToGrid w:val="0"/>
                    <w:jc w:val="center"/>
                    <w:rPr>
                      <w:color w:val="000000"/>
                    </w:rPr>
                  </w:pPr>
                  <w:r>
                    <w:rPr>
                      <w:rFonts w:hint="eastAsia"/>
                      <w:color w:val="000000"/>
                    </w:rPr>
                    <w:t>项目四周居住、学习、办公区域</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019D9FD9">
                  <w:pPr>
                    <w:adjustRightInd w:val="0"/>
                    <w:snapToGrid w:val="0"/>
                    <w:jc w:val="center"/>
                    <w:rPr>
                      <w:color w:val="000000"/>
                    </w:rPr>
                  </w:pPr>
                  <w:r>
                    <w:rPr>
                      <w:rFonts w:hint="eastAsia"/>
                      <w:color w:val="000000"/>
                    </w:rPr>
                    <w:t>东、</w:t>
                  </w:r>
                  <w:r>
                    <w:rPr>
                      <w:color w:val="000000"/>
                    </w:rPr>
                    <w:t>西</w:t>
                  </w:r>
                  <w:r>
                    <w:rPr>
                      <w:rFonts w:hint="eastAsia"/>
                      <w:color w:val="000000"/>
                    </w:rPr>
                    <w:t>、</w:t>
                  </w:r>
                  <w:r>
                    <w:rPr>
                      <w:color w:val="000000"/>
                    </w:rPr>
                    <w:t>南</w:t>
                  </w:r>
                  <w:r>
                    <w:rPr>
                      <w:rFonts w:hint="eastAsia"/>
                      <w:color w:val="000000"/>
                    </w:rPr>
                    <w:t>、</w:t>
                  </w:r>
                  <w:r>
                    <w:rPr>
                      <w:color w:val="000000"/>
                    </w:rPr>
                    <w:t>北</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F323F57">
                  <w:pPr>
                    <w:adjustRightInd w:val="0"/>
                    <w:snapToGrid w:val="0"/>
                    <w:jc w:val="center"/>
                    <w:rPr>
                      <w:color w:val="000000"/>
                    </w:rPr>
                  </w:pPr>
                  <w:r>
                    <w:rPr>
                      <w:rFonts w:hint="eastAsia"/>
                      <w:color w:val="000000"/>
                    </w:rPr>
                    <w:t>5000</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5DFCA88B">
                  <w:pPr>
                    <w:adjustRightInd w:val="0"/>
                    <w:snapToGrid w:val="0"/>
                    <w:jc w:val="center"/>
                    <w:rPr>
                      <w:color w:val="000000"/>
                    </w:rPr>
                  </w:pPr>
                  <w:r>
                    <w:rPr>
                      <w:rFonts w:hint="eastAsia"/>
                      <w:color w:val="000000"/>
                    </w:rPr>
                    <w:t>约</w:t>
                  </w:r>
                  <w:r>
                    <w:rPr>
                      <w:color w:val="000000"/>
                    </w:rPr>
                    <w:t>6</w:t>
                  </w:r>
                  <w:r>
                    <w:rPr>
                      <w:rFonts w:hint="eastAsia"/>
                      <w:color w:val="000000"/>
                    </w:rPr>
                    <w:t>万人</w:t>
                  </w:r>
                </w:p>
              </w:tc>
            </w:tr>
          </w:tbl>
          <w:p w14:paraId="368C2387">
            <w:pPr>
              <w:pStyle w:val="142"/>
              <w:keepNext w:val="0"/>
              <w:keepLines w:val="0"/>
              <w:pageBreakBefore w:val="0"/>
              <w:widowControl w:val="0"/>
              <w:kinsoku/>
              <w:wordWrap/>
              <w:overflowPunct/>
              <w:topLinePunct w:val="0"/>
              <w:autoSpaceDE/>
              <w:autoSpaceDN/>
              <w:bidi w:val="0"/>
              <w:adjustRightInd w:val="0"/>
              <w:snapToGrid/>
              <w:spacing w:before="157" w:beforeLines="50" w:line="360" w:lineRule="auto"/>
              <w:ind w:firstLine="482"/>
              <w:textAlignment w:val="baseline"/>
              <w:rPr>
                <w:b w:val="0"/>
                <w:bCs/>
                <w:color w:val="000000"/>
                <w:kern w:val="0"/>
                <w:szCs w:val="24"/>
              </w:rPr>
            </w:pPr>
            <w:r>
              <w:rPr>
                <w:rFonts w:hint="eastAsia"/>
                <w:b w:val="0"/>
                <w:bCs/>
                <w:color w:val="000000"/>
                <w:kern w:val="0"/>
                <w:szCs w:val="24"/>
              </w:rPr>
              <w:t>6</w:t>
            </w:r>
            <w:r>
              <w:rPr>
                <w:b w:val="0"/>
                <w:bCs/>
                <w:color w:val="000000"/>
                <w:kern w:val="0"/>
                <w:szCs w:val="24"/>
              </w:rPr>
              <w:t>.2</w:t>
            </w:r>
            <w:r>
              <w:rPr>
                <w:rFonts w:hint="eastAsia"/>
                <w:b w:val="0"/>
                <w:bCs/>
                <w:color w:val="000000"/>
              </w:rPr>
              <w:t>环境风险潜势初判</w:t>
            </w:r>
          </w:p>
          <w:p w14:paraId="611465F5">
            <w:pPr>
              <w:adjustRightInd w:val="0"/>
              <w:snapToGrid w:val="0"/>
              <w:spacing w:line="360" w:lineRule="auto"/>
              <w:ind w:left="23" w:leftChars="11" w:firstLine="480" w:firstLineChars="200"/>
              <w:rPr>
                <w:sz w:val="24"/>
              </w:rPr>
            </w:pPr>
            <w:r>
              <w:rPr>
                <w:rFonts w:hint="eastAsia"/>
                <w:bCs/>
                <w:color w:val="000000"/>
                <w:sz w:val="24"/>
              </w:rPr>
              <w:t>根据</w:t>
            </w:r>
            <w:r>
              <w:rPr>
                <w:rFonts w:hint="eastAsia" w:hAnsi="宋体"/>
                <w:bCs/>
                <w:color w:val="000000"/>
                <w:sz w:val="24"/>
              </w:rPr>
              <w:t>《建设项目环境风险评价技术导则》（</w:t>
            </w:r>
            <w:r>
              <w:rPr>
                <w:rFonts w:hAnsi="宋体"/>
                <w:bCs/>
                <w:color w:val="000000"/>
                <w:sz w:val="24"/>
              </w:rPr>
              <w:t>HJ169-2018</w:t>
            </w:r>
            <w:r>
              <w:rPr>
                <w:rFonts w:hint="eastAsia" w:hAnsi="宋体"/>
                <w:bCs/>
                <w:color w:val="000000"/>
                <w:sz w:val="24"/>
              </w:rPr>
              <w:t>）附录</w:t>
            </w:r>
            <w:r>
              <w:rPr>
                <w:rFonts w:hAnsi="宋体"/>
                <w:bCs/>
                <w:color w:val="000000"/>
                <w:sz w:val="24"/>
              </w:rPr>
              <w:t>B</w:t>
            </w:r>
            <w:r>
              <w:rPr>
                <w:rFonts w:hint="eastAsia" w:hAnsi="宋体"/>
                <w:bCs/>
                <w:color w:val="000000"/>
                <w:sz w:val="24"/>
              </w:rPr>
              <w:t>，重点关注的危险物质及临界量，本项目重点关注的危险物质及临界量见下表</w:t>
            </w:r>
            <w:r>
              <w:rPr>
                <w:sz w:val="24"/>
              </w:rPr>
              <w:t>。</w:t>
            </w:r>
          </w:p>
          <w:p w14:paraId="027CA087">
            <w:pPr>
              <w:pStyle w:val="56"/>
              <w:numPr>
                <w:ilvl w:val="0"/>
                <w:numId w:val="0"/>
              </w:numPr>
              <w:spacing w:before="120"/>
              <w:ind w:left="3150" w:leftChars="0"/>
              <w:jc w:val="both"/>
              <w:rPr>
                <w:rFonts w:hint="eastAsia"/>
                <w:lang w:val="en-US" w:eastAsia="zh-CN" w:bidi="ar"/>
              </w:rPr>
            </w:pPr>
            <w:r>
              <w:rPr>
                <w:rFonts w:hint="eastAsia"/>
                <w:lang w:val="en-US" w:eastAsia="zh-CN" w:bidi="ar"/>
              </w:rPr>
              <w:t>表42 本项目重点关注的危险物质及临界量</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1754"/>
              <w:gridCol w:w="1939"/>
              <w:gridCol w:w="1740"/>
            </w:tblGrid>
            <w:tr w14:paraId="608CE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 w:hRule="atLeast"/>
                <w:jc w:val="center"/>
              </w:trPr>
              <w:tc>
                <w:tcPr>
                  <w:tcW w:w="2213" w:type="dxa"/>
                  <w:tcBorders>
                    <w:top w:val="single" w:color="auto" w:sz="4" w:space="0"/>
                    <w:left w:val="single" w:color="auto" w:sz="4" w:space="0"/>
                    <w:bottom w:val="single" w:color="auto" w:sz="4" w:space="0"/>
                    <w:right w:val="single" w:color="auto" w:sz="4" w:space="0"/>
                  </w:tcBorders>
                  <w:noWrap w:val="0"/>
                  <w:vAlign w:val="center"/>
                </w:tcPr>
                <w:p w14:paraId="73F3159A">
                  <w:pPr>
                    <w:adjustRightInd w:val="0"/>
                    <w:snapToGrid w:val="0"/>
                    <w:jc w:val="center"/>
                    <w:rPr>
                      <w:color w:val="000000"/>
                      <w:szCs w:val="21"/>
                    </w:rPr>
                  </w:pPr>
                  <w:r>
                    <w:rPr>
                      <w:rFonts w:hint="eastAsia"/>
                      <w:color w:val="000000"/>
                      <w:szCs w:val="21"/>
                    </w:rPr>
                    <w:t>生产单元</w:t>
                  </w:r>
                </w:p>
              </w:tc>
              <w:tc>
                <w:tcPr>
                  <w:tcW w:w="1754" w:type="dxa"/>
                  <w:tcBorders>
                    <w:top w:val="single" w:color="auto" w:sz="4" w:space="0"/>
                    <w:left w:val="single" w:color="auto" w:sz="4" w:space="0"/>
                    <w:bottom w:val="single" w:color="auto" w:sz="4" w:space="0"/>
                    <w:right w:val="single" w:color="auto" w:sz="4" w:space="0"/>
                  </w:tcBorders>
                  <w:noWrap w:val="0"/>
                  <w:vAlign w:val="center"/>
                </w:tcPr>
                <w:p w14:paraId="01206EB5">
                  <w:pPr>
                    <w:adjustRightInd w:val="0"/>
                    <w:snapToGrid w:val="0"/>
                    <w:jc w:val="center"/>
                    <w:rPr>
                      <w:color w:val="000000"/>
                      <w:szCs w:val="21"/>
                    </w:rPr>
                  </w:pPr>
                  <w:r>
                    <w:rPr>
                      <w:rFonts w:hint="eastAsia"/>
                      <w:color w:val="000000"/>
                      <w:szCs w:val="21"/>
                    </w:rPr>
                    <w:t>物质名称</w:t>
                  </w:r>
                </w:p>
              </w:tc>
              <w:tc>
                <w:tcPr>
                  <w:tcW w:w="1939" w:type="dxa"/>
                  <w:tcBorders>
                    <w:top w:val="single" w:color="auto" w:sz="4" w:space="0"/>
                    <w:left w:val="single" w:color="auto" w:sz="4" w:space="0"/>
                    <w:bottom w:val="single" w:color="auto" w:sz="4" w:space="0"/>
                    <w:right w:val="single" w:color="auto" w:sz="4" w:space="0"/>
                  </w:tcBorders>
                  <w:noWrap w:val="0"/>
                  <w:vAlign w:val="center"/>
                </w:tcPr>
                <w:p w14:paraId="6BCD1AB3">
                  <w:pPr>
                    <w:adjustRightInd w:val="0"/>
                    <w:snapToGrid w:val="0"/>
                    <w:jc w:val="center"/>
                    <w:rPr>
                      <w:color w:val="000000"/>
                      <w:szCs w:val="21"/>
                    </w:rPr>
                  </w:pPr>
                  <w:r>
                    <w:rPr>
                      <w:rFonts w:hint="eastAsia"/>
                      <w:color w:val="000000"/>
                      <w:szCs w:val="21"/>
                    </w:rPr>
                    <w:t>临界量（</w:t>
                  </w:r>
                  <w:r>
                    <w:rPr>
                      <w:color w:val="000000"/>
                      <w:szCs w:val="21"/>
                    </w:rPr>
                    <w:t>t</w:t>
                  </w:r>
                  <w:r>
                    <w:rPr>
                      <w:rFonts w:hint="eastAsia"/>
                      <w:color w:val="000000"/>
                      <w:szCs w:val="21"/>
                    </w:rPr>
                    <w:t>）</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6C038CE1">
                  <w:pPr>
                    <w:adjustRightInd w:val="0"/>
                    <w:snapToGrid w:val="0"/>
                    <w:jc w:val="center"/>
                    <w:rPr>
                      <w:color w:val="000000"/>
                      <w:szCs w:val="21"/>
                    </w:rPr>
                  </w:pPr>
                  <w:r>
                    <w:rPr>
                      <w:rFonts w:hint="eastAsia"/>
                      <w:color w:val="000000"/>
                      <w:szCs w:val="21"/>
                    </w:rPr>
                    <w:t>实际量（</w:t>
                  </w:r>
                  <w:r>
                    <w:rPr>
                      <w:color w:val="000000"/>
                      <w:szCs w:val="21"/>
                    </w:rPr>
                    <w:t>t</w:t>
                  </w:r>
                  <w:r>
                    <w:rPr>
                      <w:rFonts w:hint="eastAsia"/>
                      <w:color w:val="000000"/>
                      <w:szCs w:val="21"/>
                    </w:rPr>
                    <w:t>）</w:t>
                  </w:r>
                </w:p>
              </w:tc>
            </w:tr>
            <w:tr w14:paraId="1715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213" w:type="dxa"/>
                  <w:tcBorders>
                    <w:top w:val="single" w:color="auto" w:sz="4" w:space="0"/>
                    <w:left w:val="single" w:color="auto" w:sz="4" w:space="0"/>
                    <w:bottom w:val="single" w:color="auto" w:sz="4" w:space="0"/>
                    <w:right w:val="single" w:color="auto" w:sz="4" w:space="0"/>
                  </w:tcBorders>
                  <w:noWrap w:val="0"/>
                  <w:vAlign w:val="center"/>
                </w:tcPr>
                <w:p w14:paraId="43319D97">
                  <w:pPr>
                    <w:adjustRightInd w:val="0"/>
                    <w:snapToGrid w:val="0"/>
                    <w:jc w:val="center"/>
                    <w:rPr>
                      <w:color w:val="000000"/>
                      <w:szCs w:val="21"/>
                    </w:rPr>
                  </w:pPr>
                  <w:r>
                    <w:rPr>
                      <w:rFonts w:hint="eastAsia"/>
                      <w:color w:val="000000"/>
                      <w:szCs w:val="21"/>
                    </w:rPr>
                    <w:t>天然气管线</w:t>
                  </w:r>
                </w:p>
              </w:tc>
              <w:tc>
                <w:tcPr>
                  <w:tcW w:w="1754" w:type="dxa"/>
                  <w:tcBorders>
                    <w:top w:val="single" w:color="auto" w:sz="4" w:space="0"/>
                    <w:left w:val="single" w:color="auto" w:sz="4" w:space="0"/>
                    <w:bottom w:val="single" w:color="auto" w:sz="4" w:space="0"/>
                    <w:right w:val="single" w:color="auto" w:sz="4" w:space="0"/>
                  </w:tcBorders>
                  <w:noWrap w:val="0"/>
                  <w:vAlign w:val="center"/>
                </w:tcPr>
                <w:p w14:paraId="1EA4149E">
                  <w:pPr>
                    <w:adjustRightInd w:val="0"/>
                    <w:snapToGrid w:val="0"/>
                    <w:jc w:val="center"/>
                    <w:rPr>
                      <w:color w:val="000000"/>
                      <w:szCs w:val="21"/>
                    </w:rPr>
                  </w:pPr>
                  <w:r>
                    <w:rPr>
                      <w:rFonts w:hint="eastAsia"/>
                      <w:color w:val="000000"/>
                      <w:szCs w:val="21"/>
                    </w:rPr>
                    <w:t>天然气</w:t>
                  </w:r>
                </w:p>
              </w:tc>
              <w:tc>
                <w:tcPr>
                  <w:tcW w:w="1939" w:type="dxa"/>
                  <w:tcBorders>
                    <w:top w:val="single" w:color="auto" w:sz="4" w:space="0"/>
                    <w:left w:val="single" w:color="auto" w:sz="4" w:space="0"/>
                    <w:bottom w:val="single" w:color="auto" w:sz="4" w:space="0"/>
                    <w:right w:val="single" w:color="auto" w:sz="4" w:space="0"/>
                  </w:tcBorders>
                  <w:noWrap w:val="0"/>
                  <w:vAlign w:val="center"/>
                </w:tcPr>
                <w:p w14:paraId="0A73D409">
                  <w:pPr>
                    <w:adjustRightInd w:val="0"/>
                    <w:snapToGrid w:val="0"/>
                    <w:jc w:val="center"/>
                    <w:rPr>
                      <w:color w:val="000000"/>
                      <w:szCs w:val="21"/>
                    </w:rPr>
                  </w:pPr>
                  <w:r>
                    <w:rPr>
                      <w:color w:val="000000"/>
                      <w:szCs w:val="21"/>
                    </w:rPr>
                    <w:t>10</w:t>
                  </w:r>
                </w:p>
              </w:tc>
              <w:tc>
                <w:tcPr>
                  <w:tcW w:w="1740" w:type="dxa"/>
                  <w:tcBorders>
                    <w:top w:val="single" w:color="auto" w:sz="4" w:space="0"/>
                    <w:left w:val="single" w:color="auto" w:sz="4" w:space="0"/>
                    <w:bottom w:val="single" w:color="auto" w:sz="4" w:space="0"/>
                    <w:right w:val="single" w:color="auto" w:sz="4" w:space="0"/>
                  </w:tcBorders>
                  <w:noWrap w:val="0"/>
                  <w:vAlign w:val="center"/>
                </w:tcPr>
                <w:p w14:paraId="37A893B0">
                  <w:pPr>
                    <w:adjustRightInd w:val="0"/>
                    <w:snapToGrid w:val="0"/>
                    <w:jc w:val="center"/>
                    <w:rPr>
                      <w:rFonts w:hint="default" w:eastAsia="宋体"/>
                      <w:color w:val="000000"/>
                      <w:szCs w:val="21"/>
                      <w:lang w:val="en-US" w:eastAsia="zh-CN"/>
                    </w:rPr>
                  </w:pPr>
                  <w:r>
                    <w:rPr>
                      <w:color w:val="000000"/>
                      <w:szCs w:val="21"/>
                    </w:rPr>
                    <w:t>0.00</w:t>
                  </w:r>
                  <w:r>
                    <w:rPr>
                      <w:rFonts w:hint="eastAsia"/>
                      <w:color w:val="000000"/>
                      <w:szCs w:val="21"/>
                      <w:lang w:val="en-US" w:eastAsia="zh-CN"/>
                    </w:rPr>
                    <w:t>1</w:t>
                  </w:r>
                </w:p>
              </w:tc>
            </w:tr>
          </w:tbl>
          <w:p w14:paraId="15805B9D">
            <w:pPr>
              <w:adjustRightInd w:val="0"/>
              <w:spacing w:line="360" w:lineRule="auto"/>
              <w:ind w:firstLine="480" w:firstLineChars="200"/>
              <w:rPr>
                <w:rFonts w:hAnsi="宋体"/>
                <w:bCs/>
                <w:color w:val="000000"/>
                <w:sz w:val="24"/>
              </w:rPr>
            </w:pPr>
            <w:r>
              <w:rPr>
                <w:rFonts w:hint="eastAsia" w:hAnsi="宋体"/>
                <w:bCs/>
                <w:color w:val="000000"/>
                <w:sz w:val="24"/>
              </w:rPr>
              <w:t>本项目</w:t>
            </w:r>
            <w:r>
              <w:rPr>
                <w:rFonts w:hAnsi="宋体"/>
                <w:bCs/>
                <w:color w:val="000000"/>
                <w:sz w:val="24"/>
              </w:rPr>
              <w:t>Q=0.00</w:t>
            </w:r>
            <w:r>
              <w:rPr>
                <w:rFonts w:hint="eastAsia" w:hAnsi="宋体"/>
                <w:bCs/>
                <w:color w:val="000000"/>
                <w:sz w:val="24"/>
                <w:lang w:val="en-US" w:eastAsia="zh-CN"/>
              </w:rPr>
              <w:t>1</w:t>
            </w:r>
            <w:r>
              <w:rPr>
                <w:rFonts w:hAnsi="宋体"/>
                <w:bCs/>
                <w:color w:val="000000"/>
                <w:sz w:val="24"/>
              </w:rPr>
              <w:t>/10=0.000</w:t>
            </w:r>
            <w:r>
              <w:rPr>
                <w:rFonts w:hint="eastAsia" w:hAnsi="宋体"/>
                <w:bCs/>
                <w:color w:val="000000"/>
                <w:sz w:val="24"/>
                <w:lang w:val="en-US" w:eastAsia="zh-CN"/>
              </w:rPr>
              <w:t>1</w:t>
            </w:r>
            <w:r>
              <w:rPr>
                <w:rFonts w:hAnsi="宋体"/>
                <w:bCs/>
                <w:color w:val="000000"/>
                <w:sz w:val="24"/>
              </w:rPr>
              <w:t>&lt;1</w:t>
            </w:r>
            <w:r>
              <w:rPr>
                <w:rFonts w:hint="eastAsia" w:hAnsi="宋体"/>
                <w:bCs/>
                <w:color w:val="000000"/>
                <w:sz w:val="24"/>
              </w:rPr>
              <w:t>，所以本项目环境风险潜势为Ⅰ，仅开展简单分析。</w:t>
            </w:r>
          </w:p>
          <w:p w14:paraId="4DD7504C">
            <w:pPr>
              <w:adjustRightInd w:val="0"/>
              <w:spacing w:line="360" w:lineRule="auto"/>
              <w:ind w:firstLine="480" w:firstLineChars="200"/>
              <w:rPr>
                <w:rFonts w:hAnsi="宋体"/>
                <w:b w:val="0"/>
                <w:bCs/>
                <w:color w:val="000000"/>
                <w:sz w:val="24"/>
              </w:rPr>
            </w:pPr>
            <w:r>
              <w:rPr>
                <w:rFonts w:hint="eastAsia" w:hAnsi="宋体"/>
                <w:b w:val="0"/>
                <w:bCs/>
                <w:color w:val="000000"/>
                <w:sz w:val="24"/>
              </w:rPr>
              <w:t>6</w:t>
            </w:r>
            <w:r>
              <w:rPr>
                <w:rFonts w:hAnsi="宋体"/>
                <w:b w:val="0"/>
                <w:bCs/>
                <w:color w:val="000000"/>
                <w:sz w:val="24"/>
              </w:rPr>
              <w:t>.3</w:t>
            </w:r>
            <w:r>
              <w:rPr>
                <w:rFonts w:hint="eastAsia" w:hAnsi="宋体"/>
                <w:b w:val="0"/>
                <w:bCs/>
                <w:color w:val="000000"/>
                <w:sz w:val="24"/>
              </w:rPr>
              <w:t>环境风险分析</w:t>
            </w:r>
          </w:p>
          <w:p w14:paraId="644927D7">
            <w:pPr>
              <w:adjustRightInd w:val="0"/>
              <w:spacing w:line="360" w:lineRule="auto"/>
              <w:ind w:firstLine="480" w:firstLineChars="200"/>
              <w:rPr>
                <w:color w:val="000000"/>
                <w:sz w:val="24"/>
              </w:rPr>
            </w:pPr>
            <w:r>
              <w:rPr>
                <w:rFonts w:hint="eastAsia"/>
                <w:color w:val="000000"/>
                <w:kern w:val="0"/>
                <w:sz w:val="24"/>
              </w:rPr>
              <w:t>管道天然气为气态天然气，一旦泄漏，气态天然气与设施周边空气混合达到爆炸范围（爆炸下限：</w:t>
            </w:r>
            <w:r>
              <w:rPr>
                <w:color w:val="000000"/>
                <w:kern w:val="0"/>
                <w:sz w:val="24"/>
              </w:rPr>
              <w:t>5%</w:t>
            </w:r>
            <w:r>
              <w:rPr>
                <w:rFonts w:hint="eastAsia"/>
                <w:color w:val="000000"/>
                <w:kern w:val="0"/>
                <w:sz w:val="24"/>
              </w:rPr>
              <w:t>，爆炸上限：</w:t>
            </w:r>
            <w:r>
              <w:rPr>
                <w:color w:val="000000"/>
                <w:kern w:val="0"/>
                <w:sz w:val="24"/>
              </w:rPr>
              <w:t>15%</w:t>
            </w:r>
            <w:r>
              <w:rPr>
                <w:rFonts w:hint="eastAsia"/>
                <w:color w:val="000000"/>
                <w:kern w:val="0"/>
                <w:sz w:val="24"/>
              </w:rPr>
              <w:t>），</w:t>
            </w:r>
            <w:r>
              <w:rPr>
                <w:rFonts w:hint="eastAsia"/>
                <w:color w:val="000000"/>
                <w:sz w:val="24"/>
              </w:rPr>
              <w:t>形成爆炸烟云，这种烟云点燃后，会产生一种敞口的爆炸蒸汽烟云，或者形成闪烁火焰，在闪烁火焰范围内的人群会被烧死或造成严重伤害；当产生敞口的爆炸蒸汽烟云时，其冲击波可使烟云以外的人受到伤害。</w:t>
            </w:r>
          </w:p>
          <w:p w14:paraId="00B5F97F">
            <w:pPr>
              <w:adjustRightInd w:val="0"/>
              <w:spacing w:line="360" w:lineRule="auto"/>
              <w:ind w:firstLine="480" w:firstLineChars="200"/>
              <w:rPr>
                <w:bCs/>
                <w:color w:val="000000"/>
                <w:sz w:val="24"/>
              </w:rPr>
            </w:pPr>
            <w:r>
              <w:rPr>
                <w:rFonts w:hint="eastAsia"/>
                <w:color w:val="000000"/>
                <w:sz w:val="24"/>
              </w:rPr>
              <w:t>本项目天然气管道安全防火距离的设置参考《建筑设计防火规范》（</w:t>
            </w:r>
            <w:r>
              <w:rPr>
                <w:color w:val="000000"/>
                <w:sz w:val="24"/>
              </w:rPr>
              <w:t>GB50016-2014</w:t>
            </w:r>
            <w:r>
              <w:rPr>
                <w:rFonts w:hint="eastAsia"/>
                <w:color w:val="000000"/>
                <w:sz w:val="24"/>
              </w:rPr>
              <w:t>）中的相关规定，天然气管道布设与居民、村镇等敏感目标的距离应大于等于</w:t>
            </w:r>
            <w:r>
              <w:rPr>
                <w:color w:val="000000"/>
                <w:sz w:val="24"/>
              </w:rPr>
              <w:t>35m</w:t>
            </w:r>
            <w:r>
              <w:rPr>
                <w:rFonts w:hint="eastAsia"/>
                <w:color w:val="000000"/>
                <w:sz w:val="24"/>
              </w:rPr>
              <w:t>。结合项目周围环境敏感目标分布图和项目平面布置图，周边最近敏感点</w:t>
            </w:r>
            <w:r>
              <w:rPr>
                <w:rFonts w:hint="eastAsia"/>
                <w:bCs/>
                <w:color w:val="000000"/>
                <w:sz w:val="24"/>
              </w:rPr>
              <w:t>与</w:t>
            </w:r>
            <w:r>
              <w:rPr>
                <w:rFonts w:hint="eastAsia"/>
                <w:color w:val="000000"/>
                <w:sz w:val="24"/>
              </w:rPr>
              <w:t>项目</w:t>
            </w:r>
            <w:r>
              <w:rPr>
                <w:rFonts w:hint="eastAsia"/>
                <w:color w:val="000000"/>
                <w:sz w:val="24"/>
                <w:lang w:val="en-US" w:eastAsia="zh-CN"/>
              </w:rPr>
              <w:t>天然气管道布设</w:t>
            </w:r>
            <w:r>
              <w:rPr>
                <w:rFonts w:hint="eastAsia"/>
                <w:color w:val="000000"/>
                <w:sz w:val="24"/>
              </w:rPr>
              <w:t>符合相关规定。</w:t>
            </w:r>
          </w:p>
          <w:p w14:paraId="2B4E422A">
            <w:pPr>
              <w:adjustRightInd w:val="0"/>
              <w:spacing w:line="360" w:lineRule="auto"/>
              <w:ind w:firstLine="480" w:firstLineChars="200"/>
              <w:rPr>
                <w:rFonts w:hAnsi="宋体"/>
                <w:b w:val="0"/>
                <w:bCs/>
                <w:color w:val="000000"/>
                <w:sz w:val="24"/>
              </w:rPr>
            </w:pPr>
            <w:r>
              <w:rPr>
                <w:rFonts w:hint="eastAsia" w:hAnsi="宋体"/>
                <w:b w:val="0"/>
                <w:bCs/>
                <w:color w:val="000000"/>
                <w:sz w:val="24"/>
              </w:rPr>
              <w:t>6</w:t>
            </w:r>
            <w:r>
              <w:rPr>
                <w:rFonts w:hAnsi="宋体"/>
                <w:b w:val="0"/>
                <w:bCs/>
                <w:color w:val="000000"/>
                <w:sz w:val="24"/>
              </w:rPr>
              <w:t>.4</w:t>
            </w:r>
            <w:r>
              <w:rPr>
                <w:rFonts w:hint="eastAsia" w:hAnsi="宋体"/>
                <w:b w:val="0"/>
                <w:bCs/>
                <w:color w:val="000000"/>
                <w:sz w:val="24"/>
              </w:rPr>
              <w:t>风险防范措施</w:t>
            </w:r>
          </w:p>
          <w:p w14:paraId="5C41FB5A">
            <w:pPr>
              <w:adjustRightInd w:val="0"/>
              <w:spacing w:line="360" w:lineRule="auto"/>
              <w:ind w:firstLine="480" w:firstLineChars="200"/>
              <w:rPr>
                <w:rFonts w:hAnsi="宋体"/>
                <w:bCs/>
                <w:color w:val="000000"/>
                <w:sz w:val="24"/>
              </w:rPr>
            </w:pPr>
            <w:r>
              <w:rPr>
                <w:rFonts w:hint="eastAsia" w:hAnsi="宋体"/>
                <w:bCs/>
                <w:color w:val="000000"/>
                <w:sz w:val="24"/>
              </w:rPr>
              <w:t>本次评价对风险识别及事故影响进行简要分析，提出防范和应急措施。风险管理措施如下：</w:t>
            </w:r>
          </w:p>
          <w:p w14:paraId="09EF83E1">
            <w:pPr>
              <w:adjustRightInd w:val="0"/>
              <w:spacing w:line="360" w:lineRule="auto"/>
              <w:ind w:firstLine="480" w:firstLineChars="200"/>
              <w:rPr>
                <w:rFonts w:hAnsi="宋体"/>
                <w:bCs/>
                <w:color w:val="000000"/>
                <w:sz w:val="24"/>
              </w:rPr>
            </w:pPr>
            <w:r>
              <w:rPr>
                <w:rFonts w:hint="eastAsia" w:hAnsi="宋体"/>
                <w:bCs/>
                <w:color w:val="000000"/>
                <w:sz w:val="24"/>
              </w:rPr>
              <w:t>Ⅰ、事故风险防范</w:t>
            </w:r>
          </w:p>
          <w:p w14:paraId="1A77532C">
            <w:pPr>
              <w:adjustRightInd w:val="0"/>
              <w:spacing w:line="360" w:lineRule="auto"/>
              <w:ind w:firstLine="480"/>
              <w:rPr>
                <w:rFonts w:hAnsi="宋体"/>
                <w:bCs/>
                <w:color w:val="000000"/>
                <w:sz w:val="24"/>
              </w:rPr>
            </w:pPr>
            <w:r>
              <w:rPr>
                <w:rFonts w:hint="eastAsia" w:hAnsi="宋体"/>
                <w:bCs/>
                <w:color w:val="000000"/>
                <w:sz w:val="24"/>
              </w:rPr>
              <w:t>①在输入管线上应设置手动紧急截断阀。紧急截断阀的安装位置应便于发生事故时能及时切断气源，同时安装天然气</w:t>
            </w:r>
            <w:r>
              <w:rPr>
                <w:rFonts w:hint="eastAsia" w:hAnsi="宋体"/>
                <w:bCs/>
                <w:color w:val="000000"/>
                <w:sz w:val="24"/>
                <w:lang w:val="en-US" w:eastAsia="zh-CN"/>
              </w:rPr>
              <w:t>泄露</w:t>
            </w:r>
            <w:r>
              <w:rPr>
                <w:rFonts w:hint="eastAsia" w:hAnsi="宋体"/>
                <w:bCs/>
                <w:color w:val="000000"/>
                <w:sz w:val="24"/>
              </w:rPr>
              <w:t>报警仪。</w:t>
            </w:r>
          </w:p>
          <w:p w14:paraId="501DAF82">
            <w:pPr>
              <w:adjustRightInd w:val="0"/>
              <w:spacing w:line="360" w:lineRule="auto"/>
              <w:ind w:firstLine="480" w:firstLineChars="200"/>
              <w:rPr>
                <w:rFonts w:hAnsi="宋体"/>
                <w:bCs/>
                <w:color w:val="000000"/>
                <w:sz w:val="24"/>
              </w:rPr>
            </w:pPr>
            <w:r>
              <w:rPr>
                <w:rFonts w:hint="eastAsia" w:hAnsi="宋体"/>
                <w:bCs/>
                <w:color w:val="000000"/>
                <w:sz w:val="24"/>
              </w:rPr>
              <w:t>②加强明火管理，严防火种进入，一般物质火灾，蔓延和扩展的速度较慢，在发生初期，范围较小，扑灭较为容易。液化气火灾蔓延和扩展速度极快，其火焰速度达</w:t>
            </w:r>
            <w:r>
              <w:rPr>
                <w:rFonts w:hAnsi="宋体"/>
                <w:bCs/>
                <w:color w:val="000000"/>
                <w:sz w:val="24"/>
              </w:rPr>
              <w:t>2000m/s</w:t>
            </w:r>
            <w:r>
              <w:rPr>
                <w:rFonts w:hint="eastAsia" w:hAnsi="宋体"/>
                <w:bCs/>
                <w:color w:val="000000"/>
                <w:sz w:val="24"/>
              </w:rPr>
              <w:t>以上，且难以扑灭，特别是爆炸事故，如一旦发生，将立即造成重大灾害。对液化气泄漏来说，不论是火灾还是爆炸，主要是采取预防措施，而加强明火，严防火种的产生是防治液化气泄漏安全管理的一项首要措施，具体应做好以下几点：应在醒目位置设立“严禁烟火”、“禁火区”等警示标语和标牌。禁止任何人携带火种（入打火机、火柴、烟头等）和易产生碰撞火花的钉鞋器等进入生产区内。操作和维修设备时，应采用不发火的工具。生产区内，不准无阻火器车辆行驶，要严格限制外单位车辆进入生产区。在厂区设置灭火器等消防器材。</w:t>
            </w:r>
          </w:p>
          <w:p w14:paraId="6F0BFAA3">
            <w:pPr>
              <w:adjustRightInd w:val="0"/>
              <w:spacing w:line="360" w:lineRule="auto"/>
              <w:ind w:firstLine="480" w:firstLineChars="200"/>
              <w:rPr>
                <w:rFonts w:hAnsi="宋体"/>
                <w:bCs/>
                <w:color w:val="000000"/>
                <w:sz w:val="24"/>
              </w:rPr>
            </w:pPr>
            <w:r>
              <w:rPr>
                <w:rFonts w:hint="eastAsia" w:hAnsi="宋体"/>
                <w:bCs/>
                <w:color w:val="000000"/>
                <w:sz w:val="24"/>
              </w:rPr>
              <w:t>Ⅱ、管理措施</w:t>
            </w:r>
          </w:p>
          <w:p w14:paraId="727204C7">
            <w:pPr>
              <w:adjustRightInd w:val="0"/>
              <w:spacing w:line="360" w:lineRule="auto"/>
              <w:ind w:firstLine="480" w:firstLineChars="200"/>
              <w:rPr>
                <w:rFonts w:hAnsi="宋体"/>
                <w:bCs/>
                <w:color w:val="000000"/>
                <w:sz w:val="24"/>
              </w:rPr>
            </w:pPr>
            <w:r>
              <w:rPr>
                <w:rFonts w:hint="eastAsia" w:hAnsi="宋体"/>
                <w:bCs/>
                <w:color w:val="000000"/>
                <w:sz w:val="24"/>
              </w:rPr>
              <w:t>①本项目相关管理人员应清楚项目所有可能发生火灾、爆炸、泄漏危险场所的情况，并采取能有效控制火灾、爆炸、泄漏的措施。</w:t>
            </w:r>
          </w:p>
          <w:p w14:paraId="09E88115">
            <w:pPr>
              <w:adjustRightInd w:val="0"/>
              <w:spacing w:line="360" w:lineRule="auto"/>
              <w:ind w:firstLine="480" w:firstLineChars="200"/>
              <w:rPr>
                <w:rFonts w:hAnsi="宋体"/>
                <w:bCs/>
                <w:color w:val="000000"/>
                <w:sz w:val="24"/>
              </w:rPr>
            </w:pPr>
            <w:r>
              <w:rPr>
                <w:rFonts w:hint="eastAsia" w:hAnsi="宋体"/>
                <w:bCs/>
                <w:color w:val="000000"/>
                <w:sz w:val="24"/>
              </w:rPr>
              <w:t>②认真做好职工的安全生产教育，普及有关安全法规。对重点岗位职工应定期进行安全培训，并经考试合格，方准上岗。</w:t>
            </w:r>
          </w:p>
          <w:p w14:paraId="0D8F1D18">
            <w:pPr>
              <w:adjustRightInd w:val="0"/>
              <w:spacing w:line="360" w:lineRule="auto"/>
              <w:ind w:firstLine="480" w:firstLineChars="200"/>
              <w:rPr>
                <w:rFonts w:hAnsi="宋体"/>
                <w:bCs/>
                <w:color w:val="000000"/>
                <w:sz w:val="24"/>
              </w:rPr>
            </w:pPr>
            <w:r>
              <w:rPr>
                <w:rFonts w:hint="eastAsia" w:hAnsi="宋体"/>
                <w:bCs/>
                <w:color w:val="000000"/>
                <w:sz w:val="24"/>
              </w:rPr>
              <w:t>③厂房等产品爆炸或火灾危险场所不应有非生产性明火。主要生产厂房所用电气设备应是防爆型的。</w:t>
            </w:r>
          </w:p>
          <w:p w14:paraId="479B8D04">
            <w:pPr>
              <w:adjustRightInd w:val="0"/>
              <w:spacing w:line="360" w:lineRule="auto"/>
              <w:ind w:firstLine="480" w:firstLineChars="200"/>
              <w:rPr>
                <w:rFonts w:hAnsi="宋体"/>
                <w:bCs/>
                <w:color w:val="000000"/>
                <w:sz w:val="24"/>
              </w:rPr>
            </w:pPr>
            <w:r>
              <w:rPr>
                <w:rFonts w:hint="eastAsia" w:hAnsi="宋体"/>
                <w:bCs/>
                <w:color w:val="000000"/>
                <w:sz w:val="24"/>
              </w:rPr>
              <w:t>④安全、通风、阻爆、隔爆、泄爆等设施应完善有效，未经主管部门许可，不得拆除或弃用。</w:t>
            </w:r>
          </w:p>
          <w:p w14:paraId="0034E1A7">
            <w:pPr>
              <w:adjustRightInd w:val="0"/>
              <w:spacing w:line="360" w:lineRule="auto"/>
              <w:ind w:firstLine="480" w:firstLineChars="200"/>
              <w:rPr>
                <w:rFonts w:hAnsi="宋体"/>
                <w:bCs/>
                <w:color w:val="000000"/>
                <w:sz w:val="24"/>
              </w:rPr>
            </w:pPr>
            <w:r>
              <w:rPr>
                <w:rFonts w:hint="eastAsia" w:hAnsi="宋体"/>
                <w:bCs/>
                <w:color w:val="000000"/>
                <w:sz w:val="24"/>
              </w:rPr>
              <w:t>Ⅲ、环境风险应急措施</w:t>
            </w:r>
          </w:p>
          <w:p w14:paraId="40B3FEC3">
            <w:pPr>
              <w:adjustRightInd w:val="0"/>
              <w:spacing w:line="360" w:lineRule="auto"/>
              <w:ind w:firstLine="480" w:firstLineChars="200"/>
              <w:rPr>
                <w:rFonts w:hAnsi="宋体"/>
                <w:bCs/>
                <w:color w:val="000000"/>
                <w:sz w:val="24"/>
              </w:rPr>
            </w:pPr>
            <w:r>
              <w:rPr>
                <w:rFonts w:hint="eastAsia" w:hAnsi="宋体"/>
                <w:bCs/>
                <w:color w:val="000000"/>
                <w:sz w:val="24"/>
              </w:rPr>
              <w:t>应急处理：发现泄漏后，立即切断一切火源，工艺操作人员佩戴好护具后迅速切断泄漏点，现场无关人员立即撤离至上风向处，建议应急处理人员带自给正压式呼吸器，穿消防防护服。合理通风，加速扩散。火灾爆炸发生后，岗位人员报火警，并及时向生产调度报告，生产调度报告应急小组只会部领导，并向泄漏或下风向毗邻单位提出安全防范要求。设置警戒区域，封锁通往现场的各个路口，禁止无关人员和车辆进入，防止因火灾或爆炸而造成不必要的损失和伤亡。</w:t>
            </w:r>
          </w:p>
          <w:p w14:paraId="7BE3FC54">
            <w:pPr>
              <w:adjustRightInd w:val="0"/>
              <w:spacing w:line="360" w:lineRule="auto"/>
              <w:ind w:firstLine="480" w:firstLineChars="200"/>
              <w:rPr>
                <w:rFonts w:hAnsi="宋体"/>
                <w:bCs/>
                <w:color w:val="000000"/>
                <w:sz w:val="24"/>
              </w:rPr>
            </w:pPr>
            <w:r>
              <w:rPr>
                <w:rFonts w:hint="eastAsia" w:hAnsi="宋体"/>
                <w:bCs/>
                <w:color w:val="000000"/>
                <w:sz w:val="24"/>
              </w:rPr>
              <w:t>应急预案：根据环保部《关于切实加强风险防范严格环境影响评价管理的通知》（环发</w:t>
            </w:r>
            <w:r>
              <w:rPr>
                <w:rFonts w:hAnsi="宋体"/>
                <w:bCs/>
                <w:color w:val="000000"/>
                <w:sz w:val="24"/>
              </w:rPr>
              <w:t>[2012]98</w:t>
            </w:r>
            <w:r>
              <w:rPr>
                <w:rFonts w:hint="eastAsia" w:hAnsi="宋体"/>
                <w:bCs/>
                <w:color w:val="000000"/>
                <w:sz w:val="24"/>
              </w:rPr>
              <w:t>号）、河南省环保厅《关于加强环评管理防范环境风险的通知》（豫环文</w:t>
            </w:r>
            <w:r>
              <w:rPr>
                <w:rFonts w:hAnsi="宋体"/>
                <w:bCs/>
                <w:color w:val="000000"/>
                <w:sz w:val="24"/>
              </w:rPr>
              <w:t>[2012]159</w:t>
            </w:r>
            <w:r>
              <w:rPr>
                <w:rFonts w:hint="eastAsia" w:hAnsi="宋体"/>
                <w:bCs/>
                <w:color w:val="000000"/>
                <w:sz w:val="24"/>
              </w:rPr>
              <w:t>号）等文件的要求，通过对污染事故的风险评价，各有关企业应制定对</w:t>
            </w:r>
            <w:r>
              <w:rPr>
                <w:rFonts w:hint="eastAsia" w:hAnsi="宋体"/>
                <w:bCs/>
                <w:color w:val="000000"/>
                <w:sz w:val="24"/>
                <w:lang w:val="en-US" w:eastAsia="zh-CN"/>
              </w:rPr>
              <w:t>突发环境事件</w:t>
            </w:r>
            <w:r>
              <w:rPr>
                <w:rFonts w:hint="eastAsia" w:hAnsi="宋体"/>
                <w:bCs/>
                <w:color w:val="000000"/>
                <w:sz w:val="24"/>
              </w:rPr>
              <w:t>发生的工作计划，消除事故隐患的实施方案及突发性事故的应急办法。本公司应建立</w:t>
            </w:r>
            <w:r>
              <w:rPr>
                <w:rFonts w:hint="eastAsia" w:hAnsi="宋体"/>
                <w:bCs/>
                <w:color w:val="000000"/>
                <w:sz w:val="24"/>
                <w:lang w:val="en-US" w:eastAsia="zh-CN"/>
              </w:rPr>
              <w:t>突发环境事件</w:t>
            </w:r>
            <w:r>
              <w:rPr>
                <w:rFonts w:hint="eastAsia" w:hAnsi="宋体"/>
                <w:bCs/>
                <w:color w:val="000000"/>
                <w:sz w:val="24"/>
              </w:rPr>
              <w:t>应急预案，设立公司急救指挥小组和事故处理抢险队，并和当地有关事故应急救援部门建立正常的联系，并定期进行演练。</w:t>
            </w:r>
          </w:p>
          <w:p w14:paraId="19BBBB7B">
            <w:pPr>
              <w:pStyle w:val="56"/>
              <w:numPr>
                <w:ilvl w:val="0"/>
                <w:numId w:val="0"/>
              </w:numPr>
              <w:spacing w:before="120"/>
              <w:ind w:left="3150" w:leftChars="0"/>
              <w:jc w:val="both"/>
              <w:rPr>
                <w:rFonts w:hint="eastAsia"/>
                <w:lang w:val="en-US" w:eastAsia="zh-CN" w:bidi="ar"/>
              </w:rPr>
            </w:pPr>
            <w:r>
              <w:rPr>
                <w:rFonts w:hint="eastAsia"/>
                <w:lang w:val="en-US" w:eastAsia="zh-CN" w:bidi="ar"/>
              </w:rPr>
              <w:t>表43  项目突发环境事件应急预案框架</w:t>
            </w:r>
          </w:p>
          <w:tbl>
            <w:tblPr>
              <w:tblStyle w:val="47"/>
              <w:tblW w:w="8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267"/>
              <w:gridCol w:w="4983"/>
            </w:tblGrid>
            <w:tr w14:paraId="6401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14:paraId="714C35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rPr>
                  </w:pPr>
                  <w:r>
                    <w:rPr>
                      <w:rFonts w:hint="eastAsia"/>
                      <w:color w:val="000000"/>
                    </w:rPr>
                    <w:t>序号</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720E8B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rPr>
                  </w:pPr>
                  <w:r>
                    <w:rPr>
                      <w:rFonts w:hint="eastAsia"/>
                      <w:color w:val="000000"/>
                    </w:rPr>
                    <w:t>项目</w:t>
                  </w:r>
                </w:p>
              </w:tc>
              <w:tc>
                <w:tcPr>
                  <w:tcW w:w="4983" w:type="dxa"/>
                  <w:tcBorders>
                    <w:top w:val="single" w:color="auto" w:sz="4" w:space="0"/>
                    <w:left w:val="single" w:color="auto" w:sz="4" w:space="0"/>
                    <w:bottom w:val="single" w:color="auto" w:sz="4" w:space="0"/>
                    <w:right w:val="single" w:color="auto" w:sz="4" w:space="0"/>
                  </w:tcBorders>
                  <w:noWrap w:val="0"/>
                  <w:vAlign w:val="center"/>
                </w:tcPr>
                <w:p w14:paraId="09275C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rPr>
                  </w:pPr>
                  <w:r>
                    <w:rPr>
                      <w:rFonts w:hint="eastAsia"/>
                      <w:color w:val="000000"/>
                    </w:rPr>
                    <w:t>内容及要求</w:t>
                  </w:r>
                </w:p>
              </w:tc>
            </w:tr>
            <w:tr w14:paraId="2BB5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14:paraId="000D44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rPr>
                  </w:pPr>
                  <w:r>
                    <w:rPr>
                      <w:color w:val="000000"/>
                    </w:rPr>
                    <w:t>1</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69D081A2">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000000"/>
                    </w:rPr>
                  </w:pPr>
                  <w:r>
                    <w:rPr>
                      <w:rFonts w:hint="eastAsia"/>
                      <w:color w:val="000000"/>
                    </w:rPr>
                    <w:t>应急计划区</w:t>
                  </w:r>
                </w:p>
              </w:tc>
              <w:tc>
                <w:tcPr>
                  <w:tcW w:w="4983" w:type="dxa"/>
                  <w:tcBorders>
                    <w:top w:val="single" w:color="auto" w:sz="4" w:space="0"/>
                    <w:left w:val="single" w:color="auto" w:sz="4" w:space="0"/>
                    <w:bottom w:val="single" w:color="auto" w:sz="4" w:space="0"/>
                    <w:right w:val="single" w:color="auto" w:sz="4" w:space="0"/>
                  </w:tcBorders>
                  <w:noWrap w:val="0"/>
                  <w:vAlign w:val="center"/>
                </w:tcPr>
                <w:p w14:paraId="0E397CB5">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000000"/>
                    </w:rPr>
                  </w:pPr>
                  <w:r>
                    <w:rPr>
                      <w:rFonts w:hint="eastAsia"/>
                      <w:color w:val="000000"/>
                    </w:rPr>
                    <w:t>确定生产区周围</w:t>
                  </w:r>
                  <w:r>
                    <w:rPr>
                      <w:color w:val="000000"/>
                    </w:rPr>
                    <w:t>200m</w:t>
                  </w:r>
                  <w:r>
                    <w:rPr>
                      <w:rFonts w:hint="eastAsia"/>
                      <w:color w:val="000000"/>
                    </w:rPr>
                    <w:t>范围</w:t>
                  </w:r>
                </w:p>
              </w:tc>
            </w:tr>
            <w:tr w14:paraId="56E0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14:paraId="3934BC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rPr>
                  </w:pPr>
                  <w:r>
                    <w:rPr>
                      <w:color w:val="000000"/>
                    </w:rPr>
                    <w:t>2</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4F531F01">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000000"/>
                    </w:rPr>
                  </w:pPr>
                  <w:r>
                    <w:rPr>
                      <w:rFonts w:hint="eastAsia"/>
                      <w:color w:val="000000"/>
                    </w:rPr>
                    <w:t>应急组织机构、人员</w:t>
                  </w:r>
                </w:p>
              </w:tc>
              <w:tc>
                <w:tcPr>
                  <w:tcW w:w="4983" w:type="dxa"/>
                  <w:tcBorders>
                    <w:top w:val="single" w:color="auto" w:sz="4" w:space="0"/>
                    <w:left w:val="single" w:color="auto" w:sz="4" w:space="0"/>
                    <w:bottom w:val="single" w:color="auto" w:sz="4" w:space="0"/>
                    <w:right w:val="single" w:color="auto" w:sz="4" w:space="0"/>
                  </w:tcBorders>
                  <w:noWrap w:val="0"/>
                  <w:vAlign w:val="center"/>
                </w:tcPr>
                <w:p w14:paraId="282F5AA4">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000000"/>
                    </w:rPr>
                  </w:pPr>
                  <w:r>
                    <w:rPr>
                      <w:rFonts w:hint="eastAsia"/>
                      <w:color w:val="000000"/>
                    </w:rPr>
                    <w:t>每班有</w:t>
                  </w:r>
                  <w:r>
                    <w:rPr>
                      <w:color w:val="000000"/>
                    </w:rPr>
                    <w:t>1</w:t>
                  </w:r>
                  <w:r>
                    <w:rPr>
                      <w:rFonts w:hint="eastAsia"/>
                      <w:color w:val="000000"/>
                    </w:rPr>
                    <w:t>人负责安全工作，公司应组织有</w:t>
                  </w:r>
                  <w:r>
                    <w:rPr>
                      <w:color w:val="000000"/>
                    </w:rPr>
                    <w:t>5</w:t>
                  </w:r>
                  <w:r>
                    <w:rPr>
                      <w:rFonts w:hint="eastAsia"/>
                      <w:color w:val="000000"/>
                    </w:rPr>
                    <w:t>人参与的应急处理机构。</w:t>
                  </w:r>
                </w:p>
              </w:tc>
            </w:tr>
            <w:tr w14:paraId="6559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14:paraId="35ACD2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rPr>
                  </w:pPr>
                  <w:r>
                    <w:rPr>
                      <w:color w:val="000000"/>
                    </w:rPr>
                    <w:t>3</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58EEB4BD">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000000"/>
                    </w:rPr>
                  </w:pPr>
                  <w:r>
                    <w:rPr>
                      <w:rFonts w:hint="eastAsia"/>
                      <w:color w:val="000000"/>
                    </w:rPr>
                    <w:t>应急处理</w:t>
                  </w:r>
                </w:p>
              </w:tc>
              <w:tc>
                <w:tcPr>
                  <w:tcW w:w="4983" w:type="dxa"/>
                  <w:tcBorders>
                    <w:top w:val="single" w:color="auto" w:sz="4" w:space="0"/>
                    <w:left w:val="single" w:color="auto" w:sz="4" w:space="0"/>
                    <w:bottom w:val="single" w:color="auto" w:sz="4" w:space="0"/>
                    <w:right w:val="single" w:color="auto" w:sz="4" w:space="0"/>
                  </w:tcBorders>
                  <w:noWrap w:val="0"/>
                  <w:vAlign w:val="center"/>
                </w:tcPr>
                <w:p w14:paraId="0B98F1CE">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000000"/>
                    </w:rPr>
                  </w:pPr>
                  <w:r>
                    <w:rPr>
                      <w:rFonts w:hint="eastAsia"/>
                      <w:color w:val="000000"/>
                    </w:rPr>
                    <w:t>安全人员紧急关闭管道阀门。</w:t>
                  </w:r>
                </w:p>
              </w:tc>
            </w:tr>
            <w:tr w14:paraId="181CD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14:paraId="47A873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rPr>
                  </w:pPr>
                  <w:r>
                    <w:rPr>
                      <w:color w:val="000000"/>
                    </w:rPr>
                    <w:t>4</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1484F0E8">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000000"/>
                    </w:rPr>
                  </w:pPr>
                  <w:r>
                    <w:rPr>
                      <w:rFonts w:hint="eastAsia"/>
                      <w:color w:val="000000"/>
                    </w:rPr>
                    <w:t>应急救援保障</w:t>
                  </w:r>
                </w:p>
              </w:tc>
              <w:tc>
                <w:tcPr>
                  <w:tcW w:w="4983" w:type="dxa"/>
                  <w:tcBorders>
                    <w:top w:val="single" w:color="auto" w:sz="4" w:space="0"/>
                    <w:left w:val="single" w:color="auto" w:sz="4" w:space="0"/>
                    <w:bottom w:val="single" w:color="auto" w:sz="4" w:space="0"/>
                    <w:right w:val="single" w:color="auto" w:sz="4" w:space="0"/>
                  </w:tcBorders>
                  <w:noWrap w:val="0"/>
                  <w:vAlign w:val="center"/>
                </w:tcPr>
                <w:p w14:paraId="2A062EB4">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000000"/>
                    </w:rPr>
                  </w:pPr>
                  <w:r>
                    <w:rPr>
                      <w:rFonts w:hint="eastAsia"/>
                      <w:color w:val="000000"/>
                    </w:rPr>
                    <w:t>公司应配齐应急设施、防火等设备与器材。</w:t>
                  </w:r>
                </w:p>
              </w:tc>
            </w:tr>
            <w:tr w14:paraId="459B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14:paraId="22B9B7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rPr>
                  </w:pPr>
                  <w:r>
                    <w:rPr>
                      <w:color w:val="000000"/>
                    </w:rPr>
                    <w:t>5</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79B6083D">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000000"/>
                    </w:rPr>
                  </w:pPr>
                  <w:r>
                    <w:rPr>
                      <w:rFonts w:hint="eastAsia"/>
                      <w:color w:val="000000"/>
                    </w:rPr>
                    <w:t>报警、通讯、联络方式</w:t>
                  </w:r>
                </w:p>
              </w:tc>
              <w:tc>
                <w:tcPr>
                  <w:tcW w:w="4983" w:type="dxa"/>
                  <w:tcBorders>
                    <w:top w:val="single" w:color="auto" w:sz="4" w:space="0"/>
                    <w:left w:val="single" w:color="auto" w:sz="4" w:space="0"/>
                    <w:bottom w:val="single" w:color="auto" w:sz="4" w:space="0"/>
                    <w:right w:val="single" w:color="auto" w:sz="4" w:space="0"/>
                  </w:tcBorders>
                  <w:noWrap w:val="0"/>
                  <w:vAlign w:val="center"/>
                </w:tcPr>
                <w:p w14:paraId="4F32D4D9">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000000"/>
                    </w:rPr>
                  </w:pPr>
                  <w:r>
                    <w:rPr>
                      <w:rFonts w:hint="eastAsia"/>
                      <w:color w:val="000000"/>
                    </w:rPr>
                    <w:t>规定应急状态下的报警通讯方式、通知方式，迅速通知相关人员到场；迅速通知当地公安、武警及消防单位到场参与救护。</w:t>
                  </w:r>
                </w:p>
              </w:tc>
            </w:tr>
            <w:tr w14:paraId="418C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14:paraId="26239B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rPr>
                  </w:pPr>
                  <w:r>
                    <w:rPr>
                      <w:color w:val="000000"/>
                    </w:rPr>
                    <w:t>6</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1279B9FD">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000000"/>
                    </w:rPr>
                  </w:pPr>
                  <w:r>
                    <w:rPr>
                      <w:rFonts w:hint="eastAsia"/>
                      <w:color w:val="000000"/>
                    </w:rPr>
                    <w:t>应急环境监测、抢险、救援及控制措施</w:t>
                  </w:r>
                </w:p>
              </w:tc>
              <w:tc>
                <w:tcPr>
                  <w:tcW w:w="4983" w:type="dxa"/>
                  <w:tcBorders>
                    <w:top w:val="single" w:color="auto" w:sz="4" w:space="0"/>
                    <w:left w:val="single" w:color="auto" w:sz="4" w:space="0"/>
                    <w:bottom w:val="single" w:color="auto" w:sz="4" w:space="0"/>
                    <w:right w:val="single" w:color="auto" w:sz="4" w:space="0"/>
                  </w:tcBorders>
                  <w:noWrap w:val="0"/>
                  <w:vAlign w:val="center"/>
                </w:tcPr>
                <w:p w14:paraId="11419FE2">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000000"/>
                    </w:rPr>
                  </w:pPr>
                  <w:r>
                    <w:rPr>
                      <w:rFonts w:hint="eastAsia"/>
                      <w:color w:val="000000"/>
                    </w:rPr>
                    <w:t>由当地环境监测站负责对事故现场进行监测，对事故性质、参数及后果进行评估，为指挥部门提供决策依据。</w:t>
                  </w:r>
                </w:p>
              </w:tc>
            </w:tr>
            <w:tr w14:paraId="61A7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14:paraId="4A51A8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rPr>
                  </w:pPr>
                  <w:r>
                    <w:rPr>
                      <w:color w:val="000000"/>
                    </w:rPr>
                    <w:t>7</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2A69EF29">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000000"/>
                    </w:rPr>
                  </w:pPr>
                  <w:r>
                    <w:rPr>
                      <w:rFonts w:hint="eastAsia"/>
                      <w:color w:val="000000"/>
                    </w:rPr>
                    <w:t>应急检测、防护措施、清除泄漏措施和器材</w:t>
                  </w:r>
                </w:p>
              </w:tc>
              <w:tc>
                <w:tcPr>
                  <w:tcW w:w="4983" w:type="dxa"/>
                  <w:tcBorders>
                    <w:top w:val="single" w:color="auto" w:sz="4" w:space="0"/>
                    <w:left w:val="single" w:color="auto" w:sz="4" w:space="0"/>
                    <w:bottom w:val="single" w:color="auto" w:sz="4" w:space="0"/>
                    <w:right w:val="single" w:color="auto" w:sz="4" w:space="0"/>
                  </w:tcBorders>
                  <w:noWrap w:val="0"/>
                  <w:vAlign w:val="center"/>
                </w:tcPr>
                <w:p w14:paraId="7BAF4E81">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000000"/>
                    </w:rPr>
                  </w:pPr>
                  <w:r>
                    <w:rPr>
                      <w:rFonts w:hint="eastAsia"/>
                      <w:color w:val="000000"/>
                    </w:rPr>
                    <w:t>事故现场、临近区域、控制防火区域，控制和清楚污染措施及相应设备。</w:t>
                  </w:r>
                </w:p>
              </w:tc>
            </w:tr>
            <w:tr w14:paraId="36F0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14:paraId="4E594C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rPr>
                  </w:pPr>
                  <w:r>
                    <w:rPr>
                      <w:color w:val="000000"/>
                    </w:rPr>
                    <w:t>8</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0436EE34">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000000"/>
                    </w:rPr>
                  </w:pPr>
                  <w:r>
                    <w:rPr>
                      <w:rFonts w:hint="eastAsia"/>
                      <w:color w:val="000000"/>
                    </w:rPr>
                    <w:t>人员紧急撤离、疏散；医疗救护</w:t>
                  </w:r>
                </w:p>
              </w:tc>
              <w:tc>
                <w:tcPr>
                  <w:tcW w:w="4983" w:type="dxa"/>
                  <w:tcBorders>
                    <w:top w:val="single" w:color="auto" w:sz="4" w:space="0"/>
                    <w:left w:val="single" w:color="auto" w:sz="4" w:space="0"/>
                    <w:bottom w:val="single" w:color="auto" w:sz="4" w:space="0"/>
                    <w:right w:val="single" w:color="auto" w:sz="4" w:space="0"/>
                  </w:tcBorders>
                  <w:noWrap w:val="0"/>
                  <w:vAlign w:val="center"/>
                </w:tcPr>
                <w:p w14:paraId="2C190C1E">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000000"/>
                    </w:rPr>
                  </w:pPr>
                  <w:r>
                    <w:rPr>
                      <w:rFonts w:hint="eastAsia"/>
                      <w:color w:val="000000"/>
                    </w:rPr>
                    <w:t>迅速组织工厂临近区、受事故影响的区域人员及公众进行撤离；迅速通知当地医疗卫生单位到现场进行救护。</w:t>
                  </w:r>
                </w:p>
              </w:tc>
            </w:tr>
            <w:tr w14:paraId="0082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14:paraId="1BE45E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rPr>
                  </w:pPr>
                  <w:r>
                    <w:rPr>
                      <w:color w:val="000000"/>
                    </w:rPr>
                    <w:t>9</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056020C8">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000000"/>
                    </w:rPr>
                  </w:pPr>
                  <w:r>
                    <w:rPr>
                      <w:rFonts w:hint="eastAsia"/>
                      <w:color w:val="000000"/>
                    </w:rPr>
                    <w:t>事故应急救援恢复措施</w:t>
                  </w:r>
                </w:p>
              </w:tc>
              <w:tc>
                <w:tcPr>
                  <w:tcW w:w="4983" w:type="dxa"/>
                  <w:tcBorders>
                    <w:top w:val="single" w:color="auto" w:sz="4" w:space="0"/>
                    <w:left w:val="single" w:color="auto" w:sz="4" w:space="0"/>
                    <w:bottom w:val="single" w:color="auto" w:sz="4" w:space="0"/>
                    <w:right w:val="single" w:color="auto" w:sz="4" w:space="0"/>
                  </w:tcBorders>
                  <w:noWrap w:val="0"/>
                  <w:vAlign w:val="center"/>
                </w:tcPr>
                <w:p w14:paraId="5F5CA437">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000000"/>
                    </w:rPr>
                  </w:pPr>
                  <w:r>
                    <w:rPr>
                      <w:rFonts w:hint="eastAsia"/>
                      <w:color w:val="000000"/>
                    </w:rPr>
                    <w:t>对事故现场及影响区进行善后处理，进行恢复。</w:t>
                  </w:r>
                </w:p>
              </w:tc>
            </w:tr>
            <w:tr w14:paraId="10B1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14:paraId="2F471B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rPr>
                  </w:pPr>
                  <w:r>
                    <w:rPr>
                      <w:color w:val="000000"/>
                    </w:rPr>
                    <w:t>10</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718505F0">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000000"/>
                    </w:rPr>
                  </w:pPr>
                  <w:r>
                    <w:rPr>
                      <w:rFonts w:hint="eastAsia"/>
                      <w:color w:val="000000"/>
                    </w:rPr>
                    <w:t>应急培训计划</w:t>
                  </w:r>
                </w:p>
              </w:tc>
              <w:tc>
                <w:tcPr>
                  <w:tcW w:w="4983" w:type="dxa"/>
                  <w:tcBorders>
                    <w:top w:val="single" w:color="auto" w:sz="4" w:space="0"/>
                    <w:left w:val="single" w:color="auto" w:sz="4" w:space="0"/>
                    <w:bottom w:val="single" w:color="auto" w:sz="4" w:space="0"/>
                    <w:right w:val="single" w:color="auto" w:sz="4" w:space="0"/>
                  </w:tcBorders>
                  <w:noWrap w:val="0"/>
                  <w:vAlign w:val="center"/>
                </w:tcPr>
                <w:p w14:paraId="5C59E3E8">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000000"/>
                    </w:rPr>
                  </w:pPr>
                  <w:r>
                    <w:rPr>
                      <w:rFonts w:hint="eastAsia"/>
                      <w:color w:val="000000"/>
                    </w:rPr>
                    <w:t>应急计划制定后，平时安排人员培训与演练，每年进行</w:t>
                  </w:r>
                  <w:r>
                    <w:rPr>
                      <w:color w:val="000000"/>
                    </w:rPr>
                    <w:t>1-2</w:t>
                  </w:r>
                  <w:r>
                    <w:rPr>
                      <w:rFonts w:hint="eastAsia"/>
                      <w:color w:val="000000"/>
                    </w:rPr>
                    <w:t>次。</w:t>
                  </w:r>
                </w:p>
              </w:tc>
            </w:tr>
            <w:tr w14:paraId="315F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14:paraId="446433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color w:val="000000"/>
                    </w:rPr>
                  </w:pPr>
                  <w:r>
                    <w:rPr>
                      <w:color w:val="000000"/>
                    </w:rPr>
                    <w:t>11</w:t>
                  </w:r>
                </w:p>
              </w:tc>
              <w:tc>
                <w:tcPr>
                  <w:tcW w:w="2267" w:type="dxa"/>
                  <w:tcBorders>
                    <w:top w:val="single" w:color="auto" w:sz="4" w:space="0"/>
                    <w:left w:val="single" w:color="auto" w:sz="4" w:space="0"/>
                    <w:bottom w:val="single" w:color="auto" w:sz="4" w:space="0"/>
                    <w:right w:val="single" w:color="auto" w:sz="4" w:space="0"/>
                  </w:tcBorders>
                  <w:noWrap w:val="0"/>
                  <w:vAlign w:val="center"/>
                </w:tcPr>
                <w:p w14:paraId="11EC403E">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000000"/>
                    </w:rPr>
                  </w:pPr>
                  <w:r>
                    <w:rPr>
                      <w:rFonts w:hint="eastAsia"/>
                      <w:color w:val="000000"/>
                    </w:rPr>
                    <w:t>公众教育和信息</w:t>
                  </w:r>
                </w:p>
              </w:tc>
              <w:tc>
                <w:tcPr>
                  <w:tcW w:w="4983" w:type="dxa"/>
                  <w:tcBorders>
                    <w:top w:val="single" w:color="auto" w:sz="4" w:space="0"/>
                    <w:left w:val="single" w:color="auto" w:sz="4" w:space="0"/>
                    <w:bottom w:val="single" w:color="auto" w:sz="4" w:space="0"/>
                    <w:right w:val="single" w:color="auto" w:sz="4" w:space="0"/>
                  </w:tcBorders>
                  <w:noWrap w:val="0"/>
                  <w:vAlign w:val="center"/>
                </w:tcPr>
                <w:p w14:paraId="548DCAAF">
                  <w:pPr>
                    <w:keepNext w:val="0"/>
                    <w:keepLines w:val="0"/>
                    <w:pageBreakBefore w:val="0"/>
                    <w:widowControl w:val="0"/>
                    <w:kinsoku/>
                    <w:wordWrap/>
                    <w:overflowPunct/>
                    <w:topLinePunct w:val="0"/>
                    <w:autoSpaceDE/>
                    <w:autoSpaceDN/>
                    <w:bidi w:val="0"/>
                    <w:adjustRightInd w:val="0"/>
                    <w:snapToGrid w:val="0"/>
                    <w:spacing w:line="240" w:lineRule="auto"/>
                    <w:textAlignment w:val="auto"/>
                    <w:rPr>
                      <w:color w:val="000000"/>
                    </w:rPr>
                  </w:pPr>
                  <w:r>
                    <w:rPr>
                      <w:rFonts w:hint="eastAsia"/>
                      <w:color w:val="000000"/>
                    </w:rPr>
                    <w:t>对工厂临近地区开展公众教育、培训和发布有关信息。</w:t>
                  </w:r>
                </w:p>
              </w:tc>
            </w:tr>
          </w:tbl>
          <w:p w14:paraId="54C5CD7B">
            <w:pPr>
              <w:tabs>
                <w:tab w:val="left" w:pos="360"/>
              </w:tabs>
              <w:adjustRightInd w:val="0"/>
              <w:spacing w:line="360" w:lineRule="auto"/>
              <w:ind w:firstLine="480" w:firstLineChars="200"/>
              <w:rPr>
                <w:rFonts w:hint="eastAsia" w:ascii="宋体" w:hAnsi="宋体"/>
                <w:snapToGrid w:val="0"/>
                <w:color w:val="000000"/>
                <w:sz w:val="24"/>
              </w:rPr>
            </w:pPr>
            <w:r>
              <w:rPr>
                <w:rFonts w:hint="eastAsia" w:ascii="宋体" w:hAnsi="宋体"/>
                <w:snapToGrid w:val="0"/>
                <w:color w:val="000000"/>
                <w:sz w:val="24"/>
              </w:rPr>
              <w:t>建设单位应进一步建立和制备完善的突发事件的应急预案，特别是加强对周边居民的宣传，当出</w:t>
            </w:r>
            <w:r>
              <w:rPr>
                <w:rFonts w:hint="eastAsia"/>
                <w:bCs/>
                <w:color w:val="000000"/>
                <w:kern w:val="24"/>
                <w:sz w:val="24"/>
              </w:rPr>
              <w:t>现事故时，迅速撤离；同时，加强安全生产和运输管理，可有效防</w:t>
            </w:r>
            <w:r>
              <w:rPr>
                <w:rFonts w:hint="eastAsia" w:ascii="宋体" w:hAnsi="宋体"/>
                <w:snapToGrid w:val="0"/>
                <w:color w:val="000000"/>
                <w:sz w:val="24"/>
              </w:rPr>
              <w:t>止重大风险事故的发生。</w:t>
            </w:r>
          </w:p>
          <w:p w14:paraId="68774776">
            <w:pPr>
              <w:tabs>
                <w:tab w:val="left" w:pos="360"/>
              </w:tabs>
              <w:adjustRightInd w:val="0"/>
              <w:spacing w:line="360" w:lineRule="auto"/>
              <w:ind w:firstLine="480" w:firstLineChars="200"/>
              <w:rPr>
                <w:rFonts w:hint="eastAsia" w:ascii="宋体" w:hAnsi="宋体"/>
                <w:snapToGrid w:val="0"/>
                <w:color w:val="000000"/>
                <w:sz w:val="24"/>
                <w:lang w:val="en-US" w:eastAsia="zh-CN"/>
              </w:rPr>
            </w:pPr>
            <w:r>
              <w:rPr>
                <w:rFonts w:hint="eastAsia" w:ascii="宋体" w:hAnsi="宋体"/>
                <w:snapToGrid w:val="0"/>
                <w:color w:val="000000"/>
                <w:sz w:val="24"/>
              </w:rPr>
              <w:fldChar w:fldCharType="begin"/>
            </w:r>
            <w:r>
              <w:rPr>
                <w:rFonts w:hint="eastAsia" w:ascii="宋体" w:hAnsi="宋体"/>
                <w:snapToGrid w:val="0"/>
                <w:color w:val="000000"/>
                <w:sz w:val="24"/>
              </w:rPr>
              <w:instrText xml:space="preserve"> = 4 \* ROMAN \* MERGEFORMAT </w:instrText>
            </w:r>
            <w:r>
              <w:rPr>
                <w:rFonts w:hint="eastAsia" w:ascii="宋体" w:hAnsi="宋体"/>
                <w:snapToGrid w:val="0"/>
                <w:color w:val="000000"/>
                <w:sz w:val="24"/>
              </w:rPr>
              <w:fldChar w:fldCharType="separate"/>
            </w:r>
            <w:r>
              <w:t>IV</w:t>
            </w:r>
            <w:r>
              <w:rPr>
                <w:rFonts w:hint="eastAsia" w:ascii="宋体" w:hAnsi="宋体"/>
                <w:snapToGrid w:val="0"/>
                <w:color w:val="000000"/>
                <w:sz w:val="24"/>
              </w:rPr>
              <w:fldChar w:fldCharType="end"/>
            </w:r>
            <w:r>
              <w:rPr>
                <w:rFonts w:hint="eastAsia" w:ascii="宋体" w:hAnsi="宋体"/>
                <w:snapToGrid w:val="0"/>
                <w:color w:val="000000"/>
                <w:sz w:val="24"/>
                <w:lang w:eastAsia="zh-CN"/>
              </w:rPr>
              <w:t>、</w:t>
            </w:r>
            <w:r>
              <w:rPr>
                <w:rFonts w:hint="eastAsia" w:ascii="宋体" w:hAnsi="宋体"/>
                <w:snapToGrid w:val="0"/>
                <w:color w:val="000000"/>
                <w:sz w:val="24"/>
                <w:lang w:val="en-US" w:eastAsia="zh-CN"/>
              </w:rPr>
              <w:t>环保设施安全</w:t>
            </w:r>
          </w:p>
          <w:p w14:paraId="53B59C28">
            <w:pPr>
              <w:pStyle w:val="100"/>
            </w:pPr>
            <w:r>
              <w:rPr>
                <w:rFonts w:hint="eastAsia"/>
              </w:rPr>
              <w:t>根据国务院安委会办公室、生态环境部、应急管理部印发《关于进一步加强环保设备设施安全生产工作的通知》（安委办明电〔2022〕17号）和安阳市生态环境局印发的《生态环境系统安全生产治本攻坚三年行动方案（2024-2026年)》（安环文〔2024〕62号）要求</w:t>
            </w:r>
            <w:r>
              <w:t>，</w:t>
            </w:r>
            <w:r>
              <w:rPr>
                <w:rFonts w:hint="eastAsia"/>
              </w:rPr>
              <w:t>针</w:t>
            </w:r>
            <w:r>
              <w:t>对</w:t>
            </w:r>
            <w:r>
              <w:rPr>
                <w:rFonts w:hint="eastAsia"/>
              </w:rPr>
              <w:t>本项目</w:t>
            </w:r>
            <w:r>
              <w:t>环保设施</w:t>
            </w:r>
            <w:r>
              <w:rPr>
                <w:rFonts w:hint="eastAsia"/>
              </w:rPr>
              <w:t>安全</w:t>
            </w:r>
            <w:r>
              <w:t>生产提出以下要求：</w:t>
            </w:r>
          </w:p>
          <w:p w14:paraId="7BF516A6">
            <w:pPr>
              <w:pStyle w:val="100"/>
              <w:ind w:firstLine="482"/>
              <w:rPr>
                <w:b/>
              </w:rPr>
            </w:pPr>
            <w:r>
              <w:rPr>
                <w:rFonts w:hint="eastAsia"/>
                <w:b/>
              </w:rPr>
              <w:t>（1）管理</w:t>
            </w:r>
            <w:r>
              <w:rPr>
                <w:b/>
              </w:rPr>
              <w:t>要求</w:t>
            </w:r>
          </w:p>
          <w:p w14:paraId="439D2F5B">
            <w:pPr>
              <w:pStyle w:val="100"/>
            </w:pPr>
            <w:r>
              <w:rPr>
                <w:rFonts w:hint="eastAsia"/>
              </w:rPr>
              <w:t>①企业开展环保设备设施安全风险辨识评估和隐患排查治理，系统排查隐患，建立隐患整改台账，及时消除隐患，编制</w:t>
            </w:r>
            <w:r>
              <w:t>环保设施安全</w:t>
            </w:r>
            <w:r>
              <w:rPr>
                <w:rFonts w:hint="eastAsia"/>
              </w:rPr>
              <w:t>事故</w:t>
            </w:r>
            <w:r>
              <w:t>处置预案</w:t>
            </w:r>
            <w:r>
              <w:rPr>
                <w:rFonts w:hint="eastAsia"/>
              </w:rPr>
              <w:t>并</w:t>
            </w:r>
            <w:r>
              <w:t>加强演练，</w:t>
            </w:r>
            <w:r>
              <w:rPr>
                <w:rFonts w:hint="eastAsia"/>
              </w:rPr>
              <w:t>落实安全生产各项责任措施。</w:t>
            </w:r>
          </w:p>
          <w:p w14:paraId="3D63A49B">
            <w:pPr>
              <w:pStyle w:val="100"/>
            </w:pPr>
            <w:r>
              <w:rPr>
                <w:rFonts w:hint="eastAsia"/>
              </w:rPr>
              <w:t>②</w:t>
            </w:r>
            <w:r>
              <w:t>严格落实涉环保设备设施新、改、扩建项目环保和安全“三同时”有关要求。</w:t>
            </w:r>
          </w:p>
          <w:p w14:paraId="3019331D">
            <w:pPr>
              <w:pStyle w:val="100"/>
            </w:pPr>
            <w:r>
              <w:rPr>
                <w:rFonts w:hint="eastAsia"/>
              </w:rPr>
              <w:t>③对涉环保设备设施相关岗位人员进行操作规程、风险管控、应急处置等专项安全培训教育。</w:t>
            </w:r>
          </w:p>
          <w:p w14:paraId="75633E36">
            <w:pPr>
              <w:pStyle w:val="100"/>
            </w:pPr>
            <w:r>
              <w:rPr>
                <w:rFonts w:hint="eastAsia"/>
              </w:rPr>
              <w:t>④认真落实相关技术标准规范，严格执行危险作业审批制度，加强有限空间、检维修作业安全管理。</w:t>
            </w:r>
          </w:p>
          <w:p w14:paraId="38C1FCB8">
            <w:pPr>
              <w:pStyle w:val="100"/>
            </w:pPr>
            <w:r>
              <w:rPr>
                <w:rFonts w:hint="eastAsia"/>
              </w:rPr>
              <w:t>⑤</w:t>
            </w:r>
            <w:r>
              <w:t>加强台账及巡检管理，</w:t>
            </w:r>
            <w:r>
              <w:rPr>
                <w:rFonts w:hint="eastAsia"/>
              </w:rPr>
              <w:t>包括</w:t>
            </w:r>
            <w:r>
              <w:t>危废台账、</w:t>
            </w:r>
            <w:r>
              <w:rPr>
                <w:rFonts w:hint="eastAsia"/>
              </w:rPr>
              <w:t>安全巡检台账、专业检查台账、隐患排查记录台账，巡视检查每班不少于1次。</w:t>
            </w:r>
          </w:p>
          <w:p w14:paraId="7C693DCD">
            <w:pPr>
              <w:pStyle w:val="100"/>
              <w:ind w:firstLine="482"/>
              <w:rPr>
                <w:rFonts w:hint="eastAsia" w:eastAsia="宋体"/>
                <w:b/>
                <w:lang w:eastAsia="zh-CN"/>
              </w:rPr>
            </w:pPr>
            <w:r>
              <w:rPr>
                <w:rFonts w:hint="eastAsia"/>
                <w:b/>
              </w:rPr>
              <w:t>（2）风险</w:t>
            </w:r>
            <w:r>
              <w:rPr>
                <w:b/>
              </w:rPr>
              <w:t>防控措施</w:t>
            </w:r>
            <w:r>
              <w:rPr>
                <w:rFonts w:hint="eastAsia"/>
                <w:b/>
                <w:lang w:eastAsia="zh-CN"/>
              </w:rPr>
              <w:t>（</w:t>
            </w:r>
            <w:r>
              <w:rPr>
                <w:rFonts w:hint="eastAsia"/>
                <w:b/>
                <w:lang w:val="en-US" w:eastAsia="zh-CN"/>
              </w:rPr>
              <w:t>废水处理设施</w:t>
            </w:r>
            <w:r>
              <w:rPr>
                <w:rFonts w:hint="eastAsia"/>
                <w:b/>
                <w:lang w:eastAsia="zh-CN"/>
              </w:rPr>
              <w:t>）</w:t>
            </w:r>
          </w:p>
          <w:p w14:paraId="014B9925">
            <w:pPr>
              <w:pStyle w:val="100"/>
            </w:pPr>
            <w:r>
              <w:rPr>
                <w:rFonts w:hint="eastAsia"/>
              </w:rPr>
              <w:t>1.风险防控措施</w:t>
            </w:r>
          </w:p>
          <w:p w14:paraId="1D4CBBAA">
            <w:pPr>
              <w:pStyle w:val="100"/>
              <w:rPr>
                <w:rFonts w:hint="eastAsia" w:eastAsia="宋体"/>
                <w:lang w:eastAsia="zh-CN"/>
              </w:rPr>
            </w:pPr>
            <w:r>
              <w:rPr>
                <w:rFonts w:hint="eastAsia"/>
              </w:rPr>
              <w:t>（</w:t>
            </w:r>
            <w:r>
              <w:rPr>
                <w:rFonts w:hint="eastAsia"/>
                <w:lang w:val="en-US" w:eastAsia="zh-CN"/>
              </w:rPr>
              <w:t>1</w:t>
            </w:r>
            <w:r>
              <w:rPr>
                <w:rFonts w:hint="eastAsia"/>
              </w:rPr>
              <w:t>）污水处理站不得存放杂物和各种车辆、乱接电源线、为车辆和大功率电器设备提供充电、维修等作业</w:t>
            </w:r>
            <w:r>
              <w:rPr>
                <w:rFonts w:hint="eastAsia"/>
                <w:lang w:eastAsia="zh-CN"/>
              </w:rPr>
              <w:t>；</w:t>
            </w:r>
          </w:p>
          <w:p w14:paraId="5891C2B2">
            <w:pPr>
              <w:pStyle w:val="100"/>
              <w:rPr>
                <w:rFonts w:hint="eastAsia" w:eastAsia="宋体"/>
                <w:lang w:eastAsia="zh-CN"/>
              </w:rPr>
            </w:pPr>
            <w:r>
              <w:rPr>
                <w:rFonts w:hint="eastAsia"/>
              </w:rPr>
              <w:t>（</w:t>
            </w:r>
            <w:r>
              <w:rPr>
                <w:rFonts w:hint="eastAsia"/>
                <w:lang w:val="en-US" w:eastAsia="zh-CN"/>
              </w:rPr>
              <w:t>2</w:t>
            </w:r>
            <w:r>
              <w:rPr>
                <w:rFonts w:hint="eastAsia"/>
              </w:rPr>
              <w:t>）对于可能产生 CH</w:t>
            </w:r>
            <w:r>
              <w:rPr>
                <w:rFonts w:hint="eastAsia"/>
                <w:vertAlign w:val="subscript"/>
              </w:rPr>
              <w:t>4</w:t>
            </w:r>
            <w:r>
              <w:rPr>
                <w:rFonts w:hint="eastAsia"/>
              </w:rPr>
              <w:t>、H</w:t>
            </w:r>
            <w:r>
              <w:rPr>
                <w:rFonts w:hint="eastAsia"/>
                <w:vertAlign w:val="subscript"/>
              </w:rPr>
              <w:t>2</w:t>
            </w:r>
            <w:r>
              <w:rPr>
                <w:rFonts w:hint="eastAsia"/>
              </w:rPr>
              <w:t>S 等气体的污水高位储罐废气排放口设置水封且水封的设置符合有关规定</w:t>
            </w:r>
            <w:r>
              <w:rPr>
                <w:rFonts w:hint="eastAsia"/>
                <w:lang w:eastAsia="zh-CN"/>
              </w:rPr>
              <w:t>；</w:t>
            </w:r>
          </w:p>
          <w:p w14:paraId="559B0029">
            <w:pPr>
              <w:pStyle w:val="100"/>
              <w:rPr>
                <w:rFonts w:hint="eastAsia" w:eastAsia="宋体"/>
                <w:lang w:eastAsia="zh-CN"/>
              </w:rPr>
            </w:pPr>
            <w:r>
              <w:rPr>
                <w:rFonts w:hint="eastAsia"/>
              </w:rPr>
              <w:t>（</w:t>
            </w:r>
            <w:r>
              <w:rPr>
                <w:rFonts w:hint="eastAsia"/>
                <w:lang w:val="en-US" w:eastAsia="zh-CN"/>
              </w:rPr>
              <w:t>3</w:t>
            </w:r>
            <w:r>
              <w:rPr>
                <w:rFonts w:hint="eastAsia"/>
              </w:rPr>
              <w:t>）隔油池的保护高度不应小于400mm，隔油池设置难燃烧材料的盖板；距隔油池池壁5m以内的水封井、检查井的井盖与盖座接缝处应密封，且井盖不得有孔洞</w:t>
            </w:r>
            <w:r>
              <w:rPr>
                <w:rFonts w:hint="eastAsia"/>
                <w:lang w:eastAsia="zh-CN"/>
              </w:rPr>
              <w:t>；</w:t>
            </w:r>
          </w:p>
          <w:p w14:paraId="043BE0B9">
            <w:pPr>
              <w:pStyle w:val="100"/>
              <w:rPr>
                <w:rFonts w:hint="eastAsia" w:eastAsia="宋体"/>
                <w:lang w:eastAsia="zh-CN"/>
              </w:rPr>
            </w:pPr>
            <w:r>
              <w:rPr>
                <w:rFonts w:hint="eastAsia"/>
              </w:rPr>
              <w:t>（</w:t>
            </w:r>
            <w:r>
              <w:rPr>
                <w:rFonts w:hint="eastAsia"/>
                <w:lang w:val="en-US" w:eastAsia="zh-CN"/>
              </w:rPr>
              <w:t>4</w:t>
            </w:r>
            <w:r>
              <w:rPr>
                <w:rFonts w:hint="eastAsia"/>
              </w:rPr>
              <w:t>）构（建）筑物上的金属器件根据腐蚀情况进行防腐处理，原液池、溶液池、储泥池和生化池等池体防腐要求符合规范</w:t>
            </w:r>
            <w:r>
              <w:rPr>
                <w:rFonts w:hint="eastAsia"/>
                <w:lang w:eastAsia="zh-CN"/>
              </w:rPr>
              <w:t>；</w:t>
            </w:r>
          </w:p>
          <w:p w14:paraId="0F56CA36">
            <w:pPr>
              <w:pStyle w:val="100"/>
              <w:rPr>
                <w:rFonts w:hint="eastAsia" w:eastAsia="宋体"/>
                <w:lang w:eastAsia="zh-CN"/>
              </w:rPr>
            </w:pPr>
            <w:r>
              <w:rPr>
                <w:rFonts w:hint="eastAsia"/>
              </w:rPr>
              <w:t>（</w:t>
            </w:r>
            <w:r>
              <w:rPr>
                <w:rFonts w:hint="eastAsia"/>
                <w:lang w:val="en-US" w:eastAsia="zh-CN"/>
              </w:rPr>
              <w:t>5</w:t>
            </w:r>
            <w:r>
              <w:rPr>
                <w:rFonts w:hint="eastAsia"/>
              </w:rPr>
              <w:t>）对于厂区内中输送液碱、次氯酸钠、盐酸、废水、废气的管道，机泵、风机等输送设备要根据物料特性选择耐腐蚀的材质</w:t>
            </w:r>
            <w:r>
              <w:rPr>
                <w:rFonts w:hint="eastAsia"/>
                <w:lang w:eastAsia="zh-CN"/>
              </w:rPr>
              <w:t>；</w:t>
            </w:r>
          </w:p>
          <w:p w14:paraId="7AB8B071">
            <w:pPr>
              <w:pStyle w:val="100"/>
              <w:rPr>
                <w:rFonts w:hint="eastAsia" w:eastAsia="宋体"/>
                <w:lang w:eastAsia="zh-CN"/>
              </w:rPr>
            </w:pPr>
            <w:r>
              <w:rPr>
                <w:rFonts w:hint="eastAsia"/>
              </w:rPr>
              <w:t>（</w:t>
            </w:r>
            <w:r>
              <w:rPr>
                <w:rFonts w:hint="eastAsia"/>
                <w:lang w:val="en-US" w:eastAsia="zh-CN"/>
              </w:rPr>
              <w:t>6</w:t>
            </w:r>
            <w:r>
              <w:rPr>
                <w:rFonts w:hint="eastAsia"/>
              </w:rPr>
              <w:t>）污水处理池的池体采用现浇钢筋混凝土结构，池体不宜设置伸缩缝，必须设置时，构造应严密，满足防腐蚀和变形的要求</w:t>
            </w:r>
            <w:r>
              <w:rPr>
                <w:rFonts w:hint="eastAsia"/>
                <w:lang w:eastAsia="zh-CN"/>
              </w:rPr>
              <w:t>；</w:t>
            </w:r>
          </w:p>
          <w:p w14:paraId="644AFDDD">
            <w:pPr>
              <w:pStyle w:val="100"/>
            </w:pPr>
            <w:r>
              <w:rPr>
                <w:rFonts w:hint="eastAsia"/>
              </w:rPr>
              <w:t>（</w:t>
            </w:r>
            <w:r>
              <w:rPr>
                <w:rFonts w:hint="eastAsia"/>
                <w:lang w:val="en-US" w:eastAsia="zh-CN"/>
              </w:rPr>
              <w:t>7</w:t>
            </w:r>
            <w:r>
              <w:rPr>
                <w:rFonts w:hint="eastAsia"/>
              </w:rPr>
              <w:t>）地上明管渗漏情况和地下管线上方路面情况符合安全管理要求。</w:t>
            </w:r>
          </w:p>
          <w:p w14:paraId="26D1BA2D">
            <w:pPr>
              <w:pStyle w:val="100"/>
            </w:pPr>
            <w:r>
              <w:rPr>
                <w:rFonts w:hint="eastAsia"/>
              </w:rPr>
              <w:t>（</w:t>
            </w:r>
            <w:r>
              <w:rPr>
                <w:rFonts w:hint="eastAsia"/>
                <w:lang w:val="en-US" w:eastAsia="zh-CN"/>
              </w:rPr>
              <w:t>8</w:t>
            </w:r>
            <w:r>
              <w:rPr>
                <w:rFonts w:hint="eastAsia"/>
              </w:rPr>
              <w:t>）设备设有消除静电装置。对机械设备的防火防爆安装阻火器、防爆片、防爆窗、阻火闸门和安全阀等防火防爆安全装置。</w:t>
            </w:r>
          </w:p>
          <w:p w14:paraId="4ABA2B09">
            <w:pPr>
              <w:pStyle w:val="100"/>
            </w:pPr>
            <w:r>
              <w:rPr>
                <w:rFonts w:hint="eastAsia"/>
              </w:rPr>
              <w:t>2.预防与监控</w:t>
            </w:r>
          </w:p>
          <w:p w14:paraId="51356018">
            <w:pPr>
              <w:pStyle w:val="100"/>
              <w:rPr>
                <w:rFonts w:hint="eastAsia" w:eastAsia="宋体"/>
                <w:lang w:eastAsia="zh-CN"/>
              </w:rPr>
            </w:pPr>
            <w:r>
              <w:rPr>
                <w:rFonts w:hint="eastAsia"/>
              </w:rPr>
              <w:t>（1）污水处理设施（场、站）中易产生和聚集易燃易爆气体的场所设置可燃气体报警仪，污水处理系统防爆型电气设备，其数量和要求符合要求</w:t>
            </w:r>
            <w:r>
              <w:rPr>
                <w:rFonts w:hint="eastAsia"/>
                <w:lang w:eastAsia="zh-CN"/>
              </w:rPr>
              <w:t>；</w:t>
            </w:r>
          </w:p>
          <w:p w14:paraId="30818105">
            <w:pPr>
              <w:pStyle w:val="100"/>
              <w:rPr>
                <w:rFonts w:hint="eastAsia" w:eastAsia="宋体"/>
                <w:lang w:eastAsia="zh-CN"/>
              </w:rPr>
            </w:pPr>
            <w:r>
              <w:rPr>
                <w:rFonts w:hint="eastAsia"/>
              </w:rPr>
              <w:t>（2）密闭空间检测顺序包括测氧含量、测爆、测有毒气体等</w:t>
            </w:r>
            <w:r>
              <w:rPr>
                <w:rFonts w:hint="eastAsia"/>
                <w:lang w:eastAsia="zh-CN"/>
              </w:rPr>
              <w:t>；</w:t>
            </w:r>
          </w:p>
          <w:p w14:paraId="226DECC5">
            <w:pPr>
              <w:pStyle w:val="100"/>
              <w:rPr>
                <w:rFonts w:hint="eastAsia" w:eastAsia="宋体"/>
                <w:lang w:eastAsia="zh-CN"/>
              </w:rPr>
            </w:pPr>
            <w:r>
              <w:rPr>
                <w:rFonts w:hint="eastAsia"/>
              </w:rPr>
              <w:t>（3）可能突然逸出大量有毒物质或易造成急性中毒的化学物质的作业场所设置自动报警装置和采取事故通风设施，机械通风装置的进风口位置设于室外空气洁净的地方</w:t>
            </w:r>
            <w:r>
              <w:rPr>
                <w:rFonts w:hint="eastAsia"/>
                <w:lang w:eastAsia="zh-CN"/>
              </w:rPr>
              <w:t>；</w:t>
            </w:r>
          </w:p>
          <w:p w14:paraId="52424B09">
            <w:pPr>
              <w:pStyle w:val="100"/>
            </w:pPr>
            <w:r>
              <w:rPr>
                <w:rFonts w:hint="eastAsia"/>
              </w:rPr>
              <w:t>（4）设备在有爆炸性气体环境中应用时，主机及附件使用防爆型设备。设备使用时可能产生爆炸性气体时，其排气孔（管）末（外）端防火设置符合规定。</w:t>
            </w:r>
          </w:p>
          <w:p w14:paraId="392FFE32">
            <w:pPr>
              <w:pStyle w:val="100"/>
            </w:pPr>
            <w:r>
              <w:rPr>
                <w:rFonts w:hint="eastAsia"/>
              </w:rPr>
              <w:t>3.非正常工况</w:t>
            </w:r>
          </w:p>
          <w:p w14:paraId="0BB97840">
            <w:pPr>
              <w:pStyle w:val="100"/>
            </w:pPr>
            <w:r>
              <w:rPr>
                <w:rFonts w:hint="eastAsia"/>
              </w:rPr>
              <w:t>（1）定期对厌氧系统进行有效的检测和维护，如果发现泄漏，立即进行停气修复，检修过的厌氧反应池、管道和贮存柜等相关设施，重新投入使用前进行气密性试验</w:t>
            </w:r>
          </w:p>
          <w:p w14:paraId="67973B72">
            <w:pPr>
              <w:pStyle w:val="100"/>
            </w:pPr>
            <w:r>
              <w:rPr>
                <w:rFonts w:hint="eastAsia"/>
              </w:rPr>
              <w:t>（2）当进入臭气收集系统的封闭环境内进行检修维护时，通风情况及防毒操作安全应符合相关要求</w:t>
            </w:r>
          </w:p>
          <w:p w14:paraId="12137722">
            <w:pPr>
              <w:pStyle w:val="100"/>
            </w:pPr>
            <w:r>
              <w:rPr>
                <w:rFonts w:hint="eastAsia"/>
              </w:rPr>
              <w:t>（3）污水处理设备和管道等因维修、改造须动用明火作业时指定专人负责采取各项防火措施，配备消防器材</w:t>
            </w:r>
          </w:p>
          <w:p w14:paraId="6B2FB3D5">
            <w:pPr>
              <w:pStyle w:val="100"/>
            </w:pPr>
            <w:r>
              <w:rPr>
                <w:rFonts w:hint="eastAsia"/>
              </w:rPr>
              <w:t>（4）对可能含有有毒有害气体或可燃性气体的深井、管道、构筑物等设施、设备进行维护、维修操作前应具有现场的有毒有害气体检测证明，所有参与操作的人员佩戴防护装置</w:t>
            </w:r>
          </w:p>
          <w:p w14:paraId="3E5D5276">
            <w:pPr>
              <w:tabs>
                <w:tab w:val="left" w:pos="360"/>
              </w:tabs>
              <w:adjustRightInd w:val="0"/>
              <w:spacing w:line="360" w:lineRule="auto"/>
              <w:ind w:firstLine="482" w:firstLineChars="200"/>
            </w:pPr>
            <w:r>
              <w:rPr>
                <w:rFonts w:hint="eastAsia" w:ascii="宋体" w:hAnsi="宋体"/>
                <w:b/>
                <w:snapToGrid w:val="0"/>
                <w:color w:val="000000"/>
                <w:sz w:val="24"/>
              </w:rPr>
              <w:t>结论：</w:t>
            </w:r>
            <w:r>
              <w:rPr>
                <w:rFonts w:hint="eastAsia"/>
                <w:sz w:val="24"/>
                <w:szCs w:val="24"/>
              </w:rPr>
              <w:t>项目运营过程中要加强管理，遵守相应的规章制度。同时运营期严格做到天然气储罐及管线的防火、防爆、防雷击措施，其使用等必须严格执行《化学危险品安全管理条例》以及相关的各项法律、法规、规范和文件，制定并严格执行日常生产操作规程和突发环境事件应急预案。项目建成后，严格执行本环评中提出的风险防范措施，合理建设，风险事故将降至到最低，保证站区和周围人们的生命财产安全。</w:t>
            </w:r>
          </w:p>
          <w:bookmarkEnd w:id="54"/>
          <w:p w14:paraId="72896CD6">
            <w:pPr>
              <w:pStyle w:val="98"/>
              <w:spacing w:before="0" w:beforeLines="0" w:after="0" w:afterLines="0" w:line="360" w:lineRule="auto"/>
              <w:rPr>
                <w:rFonts w:ascii="Times New Roman" w:hAnsi="Times New Roman" w:eastAsia="宋体"/>
              </w:rPr>
            </w:pPr>
            <w:r>
              <w:rPr>
                <w:rFonts w:ascii="Times New Roman" w:hAnsi="Times New Roman" w:eastAsia="宋体"/>
              </w:rPr>
              <w:t>7、</w:t>
            </w:r>
            <w:r>
              <w:rPr>
                <w:rFonts w:hint="eastAsia" w:ascii="Times New Roman" w:hAnsi="Times New Roman" w:eastAsia="宋体"/>
              </w:rPr>
              <w:t>冷库分析</w:t>
            </w:r>
          </w:p>
          <w:p w14:paraId="1741A741">
            <w:pPr>
              <w:keepNext w:val="0"/>
              <w:keepLines w:val="0"/>
              <w:pageBreakBefore w:val="0"/>
              <w:widowControl w:val="0"/>
              <w:kinsoku/>
              <w:wordWrap/>
              <w:overflowPunct/>
              <w:topLinePunct w:val="0"/>
              <w:autoSpaceDE/>
              <w:autoSpaceDN/>
              <w:bidi w:val="0"/>
              <w:adjustRightInd w:val="0"/>
              <w:snapToGrid w:val="0"/>
              <w:spacing w:line="360" w:lineRule="auto"/>
              <w:ind w:left="23" w:leftChars="11" w:firstLine="480" w:firstLineChars="200"/>
              <w:textAlignment w:val="auto"/>
              <w:rPr>
                <w:bCs/>
                <w:sz w:val="24"/>
              </w:rPr>
            </w:pPr>
            <w:r>
              <w:rPr>
                <w:rFonts w:hint="eastAsia"/>
                <w:bCs/>
                <w:sz w:val="24"/>
              </w:rPr>
              <w:t>本项目车间内设有冷库，制冷剂采用R</w:t>
            </w:r>
            <w:r>
              <w:rPr>
                <w:bCs/>
                <w:sz w:val="24"/>
              </w:rPr>
              <w:t>404A</w:t>
            </w:r>
            <w:r>
              <w:rPr>
                <w:rFonts w:hint="eastAsia"/>
                <w:bCs/>
                <w:sz w:val="24"/>
              </w:rPr>
              <w:t>。R</w:t>
            </w:r>
            <w:r>
              <w:rPr>
                <w:bCs/>
                <w:sz w:val="24"/>
              </w:rPr>
              <w:t>404A</w:t>
            </w:r>
            <w:r>
              <w:rPr>
                <w:rFonts w:hint="eastAsia"/>
                <w:bCs/>
                <w:sz w:val="24"/>
              </w:rPr>
              <w:t>是五氟乙烷、四氟乙烷、三氟乙烷的混合物，为不燃气体，且无爆炸极限，是一种对臭氧层不起破坏作用的混合制冷剂。它是应用在商用制冷系统领域的R-502与R-22的长期替代品。R-404a广泛适用于超市冷冻柜、冷库、陈列柜、运输冷冻、制冰机等领域。</w:t>
            </w:r>
          </w:p>
          <w:p w14:paraId="3BB5B571">
            <w:pPr>
              <w:adjustRightInd w:val="0"/>
              <w:snapToGrid w:val="0"/>
              <w:spacing w:line="360" w:lineRule="auto"/>
              <w:ind w:left="23" w:leftChars="11" w:firstLine="480" w:firstLineChars="200"/>
              <w:rPr>
                <w:bCs/>
                <w:sz w:val="24"/>
              </w:rPr>
            </w:pPr>
            <w:r>
              <w:rPr>
                <w:rFonts w:hint="eastAsia"/>
                <w:bCs/>
                <w:sz w:val="24"/>
              </w:rPr>
              <w:t>危害性：1、R</w:t>
            </w:r>
            <w:r>
              <w:rPr>
                <w:bCs/>
                <w:sz w:val="24"/>
              </w:rPr>
              <w:t>404A</w:t>
            </w:r>
            <w:r>
              <w:rPr>
                <w:rFonts w:hint="eastAsia"/>
                <w:bCs/>
                <w:sz w:val="24"/>
              </w:rPr>
              <w:t>如遇高温，容器内压增大，有泄漏和破裂的危险；2、高浓度时存在窒息危险。使用和操作中应严格按照操作规程执行。</w:t>
            </w:r>
          </w:p>
          <w:p w14:paraId="1CAAD753">
            <w:pPr>
              <w:adjustRightInd w:val="0"/>
              <w:snapToGrid w:val="0"/>
              <w:spacing w:line="360" w:lineRule="auto"/>
              <w:jc w:val="center"/>
              <w:rPr>
                <w:bCs/>
                <w:sz w:val="24"/>
              </w:rPr>
            </w:pPr>
          </w:p>
          <w:p w14:paraId="1CA33B7A">
            <w:pPr>
              <w:pStyle w:val="100"/>
              <w:rPr>
                <w:bCs/>
              </w:rPr>
            </w:pPr>
          </w:p>
          <w:p w14:paraId="4F1FDDE7">
            <w:pPr>
              <w:pStyle w:val="100"/>
              <w:rPr>
                <w:bCs/>
              </w:rPr>
            </w:pPr>
          </w:p>
          <w:p w14:paraId="2B58812F">
            <w:pPr>
              <w:pStyle w:val="100"/>
              <w:rPr>
                <w:bCs/>
              </w:rPr>
            </w:pPr>
          </w:p>
        </w:tc>
      </w:tr>
    </w:tbl>
    <w:p w14:paraId="73D1A505">
      <w:pPr>
        <w:pStyle w:val="42"/>
        <w:adjustRightInd w:val="0"/>
        <w:snapToGrid w:val="0"/>
        <w:jc w:val="center"/>
        <w:outlineLvl w:val="0"/>
        <w:rPr>
          <w:rFonts w:ascii="Times New Roman" w:hAnsi="Times New Roman" w:eastAsia="黑体"/>
          <w:snapToGrid w:val="0"/>
          <w:sz w:val="30"/>
          <w:szCs w:val="30"/>
        </w:rPr>
        <w:sectPr>
          <w:pgSz w:w="11906" w:h="16838"/>
          <w:pgMar w:top="1701" w:right="1531" w:bottom="1701" w:left="1531" w:header="851" w:footer="851" w:gutter="0"/>
          <w:cols w:space="720" w:num="1"/>
          <w:docGrid w:linePitch="312" w:charSpace="0"/>
        </w:sectPr>
      </w:pPr>
    </w:p>
    <w:p w14:paraId="2A1AD977">
      <w:pPr>
        <w:pStyle w:val="263"/>
        <w:spacing w:before="120" w:after="120"/>
        <w:rPr>
          <w:snapToGrid w:val="0"/>
        </w:rPr>
      </w:pPr>
      <w:bookmarkStart w:id="56" w:name="_Toc197848449"/>
      <w:r>
        <w:rPr>
          <w:snapToGrid w:val="0"/>
        </w:rPr>
        <w:t>五、</w:t>
      </w:r>
      <w:bookmarkStart w:id="57" w:name="_Hlk54167917"/>
      <w:r>
        <w:rPr>
          <w:snapToGrid w:val="0"/>
        </w:rPr>
        <w:t>环境保护措施监督检查清单</w:t>
      </w:r>
      <w:bookmarkEnd w:id="56"/>
      <w:bookmarkEnd w:id="57"/>
    </w:p>
    <w:tbl>
      <w:tblPr>
        <w:tblStyle w:val="4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361"/>
        <w:gridCol w:w="1418"/>
        <w:gridCol w:w="2123"/>
        <w:gridCol w:w="2644"/>
      </w:tblGrid>
      <w:tr w14:paraId="7CDD3F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4" w:type="dxa"/>
            <w:tcBorders>
              <w:tl2br w:val="single" w:color="auto" w:sz="4" w:space="0"/>
            </w:tcBorders>
          </w:tcPr>
          <w:p w14:paraId="72B3BF16">
            <w:pPr>
              <w:adjustRightInd w:val="0"/>
              <w:snapToGrid w:val="0"/>
              <w:ind w:firstLine="420" w:firstLineChars="200"/>
              <w:rPr>
                <w:szCs w:val="21"/>
              </w:rPr>
            </w:pPr>
            <w:r>
              <w:rPr>
                <w:szCs w:val="21"/>
              </w:rPr>
              <w:t>内容</w:t>
            </w:r>
          </w:p>
          <w:p w14:paraId="74942A94">
            <w:pPr>
              <w:adjustRightInd w:val="0"/>
              <w:snapToGrid w:val="0"/>
              <w:rPr>
                <w:szCs w:val="21"/>
              </w:rPr>
            </w:pPr>
          </w:p>
          <w:p w14:paraId="4518E69A">
            <w:pPr>
              <w:adjustRightInd w:val="0"/>
              <w:snapToGrid w:val="0"/>
              <w:rPr>
                <w:szCs w:val="21"/>
              </w:rPr>
            </w:pPr>
            <w:r>
              <w:rPr>
                <w:szCs w:val="21"/>
              </w:rPr>
              <w:t>要素</w:t>
            </w:r>
          </w:p>
        </w:tc>
        <w:tc>
          <w:tcPr>
            <w:tcW w:w="1361" w:type="dxa"/>
            <w:vAlign w:val="center"/>
          </w:tcPr>
          <w:p w14:paraId="59D0D8C6">
            <w:pPr>
              <w:adjustRightInd w:val="0"/>
              <w:snapToGrid w:val="0"/>
              <w:jc w:val="center"/>
              <w:rPr>
                <w:szCs w:val="21"/>
              </w:rPr>
            </w:pPr>
            <w:r>
              <w:rPr>
                <w:szCs w:val="21"/>
              </w:rPr>
              <w:t>排放口</w:t>
            </w:r>
            <w:r>
              <w:rPr>
                <w:rFonts w:hint="eastAsia"/>
                <w:szCs w:val="21"/>
              </w:rPr>
              <w:t>（</w:t>
            </w:r>
            <w:r>
              <w:rPr>
                <w:szCs w:val="21"/>
              </w:rPr>
              <w:t>编号、名称</w:t>
            </w:r>
            <w:r>
              <w:rPr>
                <w:rFonts w:hint="eastAsia"/>
                <w:szCs w:val="21"/>
              </w:rPr>
              <w:t>）</w:t>
            </w:r>
            <w:r>
              <w:rPr>
                <w:szCs w:val="21"/>
              </w:rPr>
              <w:t>/污染源</w:t>
            </w:r>
          </w:p>
        </w:tc>
        <w:tc>
          <w:tcPr>
            <w:tcW w:w="1418" w:type="dxa"/>
            <w:vAlign w:val="center"/>
          </w:tcPr>
          <w:p w14:paraId="5EF11DCA">
            <w:pPr>
              <w:adjustRightInd w:val="0"/>
              <w:snapToGrid w:val="0"/>
              <w:jc w:val="center"/>
              <w:rPr>
                <w:szCs w:val="21"/>
              </w:rPr>
            </w:pPr>
            <w:r>
              <w:rPr>
                <w:szCs w:val="21"/>
              </w:rPr>
              <w:t>污染物项目</w:t>
            </w:r>
          </w:p>
        </w:tc>
        <w:tc>
          <w:tcPr>
            <w:tcW w:w="2123" w:type="dxa"/>
            <w:vAlign w:val="center"/>
          </w:tcPr>
          <w:p w14:paraId="26497698">
            <w:pPr>
              <w:adjustRightInd w:val="0"/>
              <w:snapToGrid w:val="0"/>
              <w:jc w:val="center"/>
              <w:rPr>
                <w:szCs w:val="21"/>
              </w:rPr>
            </w:pPr>
            <w:r>
              <w:rPr>
                <w:szCs w:val="21"/>
              </w:rPr>
              <w:t>环境保护措施</w:t>
            </w:r>
          </w:p>
        </w:tc>
        <w:tc>
          <w:tcPr>
            <w:tcW w:w="2644" w:type="dxa"/>
            <w:vAlign w:val="center"/>
          </w:tcPr>
          <w:p w14:paraId="64690A7D">
            <w:pPr>
              <w:adjustRightInd w:val="0"/>
              <w:snapToGrid w:val="0"/>
              <w:jc w:val="center"/>
              <w:rPr>
                <w:szCs w:val="21"/>
              </w:rPr>
            </w:pPr>
            <w:r>
              <w:rPr>
                <w:szCs w:val="21"/>
              </w:rPr>
              <w:t>执行标准</w:t>
            </w:r>
          </w:p>
        </w:tc>
      </w:tr>
      <w:tr w14:paraId="428101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4" w:type="dxa"/>
            <w:vMerge w:val="restart"/>
            <w:vAlign w:val="center"/>
          </w:tcPr>
          <w:p w14:paraId="253B6D0C">
            <w:pPr>
              <w:adjustRightInd w:val="0"/>
              <w:snapToGrid w:val="0"/>
              <w:jc w:val="center"/>
              <w:rPr>
                <w:szCs w:val="21"/>
              </w:rPr>
            </w:pPr>
            <w:r>
              <w:rPr>
                <w:szCs w:val="21"/>
              </w:rPr>
              <w:t>大气环境</w:t>
            </w:r>
          </w:p>
        </w:tc>
        <w:tc>
          <w:tcPr>
            <w:tcW w:w="1361" w:type="dxa"/>
            <w:vAlign w:val="center"/>
          </w:tcPr>
          <w:p w14:paraId="040FCF39">
            <w:pPr>
              <w:pStyle w:val="257"/>
              <w:rPr>
                <w:rFonts w:hint="default" w:eastAsia="宋体"/>
                <w:lang w:val="en-US" w:eastAsia="zh-CN"/>
              </w:rPr>
            </w:pPr>
            <w:r>
              <w:rPr>
                <w:rFonts w:hint="eastAsia"/>
                <w:b w:val="0"/>
                <w:bCs w:val="0"/>
                <w:u w:val="none"/>
                <w:lang w:val="en-US" w:eastAsia="zh-CN"/>
              </w:rPr>
              <w:t>天然气燃烧+炒锅（DA001）</w:t>
            </w:r>
          </w:p>
        </w:tc>
        <w:tc>
          <w:tcPr>
            <w:tcW w:w="1418" w:type="dxa"/>
            <w:vAlign w:val="center"/>
          </w:tcPr>
          <w:p w14:paraId="4336F6F9">
            <w:pPr>
              <w:adjustRightInd w:val="0"/>
              <w:snapToGrid w:val="0"/>
              <w:jc w:val="center"/>
              <w:rPr>
                <w:rFonts w:hint="default" w:eastAsia="宋体"/>
                <w:szCs w:val="21"/>
                <w:lang w:val="en-US" w:eastAsia="zh-CN"/>
              </w:rPr>
            </w:pPr>
            <w:r>
              <w:rPr>
                <w:rFonts w:hint="eastAsia"/>
                <w:szCs w:val="21"/>
                <w:lang w:val="en-US" w:eastAsia="zh-CN"/>
              </w:rPr>
              <w:t>颗粒物、二氧化硫、氮氧化物、烟气黑度、油烟</w:t>
            </w:r>
          </w:p>
        </w:tc>
        <w:tc>
          <w:tcPr>
            <w:tcW w:w="2123" w:type="dxa"/>
            <w:vAlign w:val="center"/>
          </w:tcPr>
          <w:p w14:paraId="2C2C230B">
            <w:pPr>
              <w:pStyle w:val="257"/>
              <w:rPr>
                <w:rFonts w:hint="default" w:eastAsia="宋体"/>
                <w:lang w:val="en-US" w:eastAsia="zh-CN"/>
              </w:rPr>
            </w:pPr>
            <w:r>
              <w:rPr>
                <w:rFonts w:hint="eastAsia"/>
                <w:lang w:val="en-US" w:eastAsia="zh-CN"/>
              </w:rPr>
              <w:t>集气罩+高效油烟净化装置+活性炭吸附+15m高排气筒</w:t>
            </w:r>
          </w:p>
        </w:tc>
        <w:tc>
          <w:tcPr>
            <w:tcW w:w="2644" w:type="dxa"/>
            <w:vAlign w:val="center"/>
          </w:tcPr>
          <w:p w14:paraId="04DC9212">
            <w:pPr>
              <w:adjustRightInd w:val="0"/>
              <w:snapToGrid w:val="0"/>
              <w:jc w:val="center"/>
              <w:rPr>
                <w:szCs w:val="21"/>
              </w:rPr>
            </w:pPr>
            <w:r>
              <w:rPr>
                <w:szCs w:val="21"/>
              </w:rPr>
              <w:t>《工业炉窑大气污染物排放标准》（DB411066-2020）</w:t>
            </w:r>
            <w:r>
              <w:rPr>
                <w:rFonts w:hint="eastAsia"/>
                <w:szCs w:val="21"/>
                <w:lang w:val="en-US" w:eastAsia="zh-CN"/>
              </w:rPr>
              <w:t>及</w:t>
            </w:r>
            <w:r>
              <w:rPr>
                <w:szCs w:val="21"/>
              </w:rPr>
              <w:t>《河南省重污染天气</w:t>
            </w:r>
            <w:r>
              <w:rPr>
                <w:rFonts w:hint="eastAsia"/>
                <w:szCs w:val="21"/>
                <w:lang w:val="en-US" w:eastAsia="zh-CN"/>
              </w:rPr>
              <w:t>通用</w:t>
            </w:r>
            <w:r>
              <w:rPr>
                <w:szCs w:val="21"/>
              </w:rPr>
              <w:t>行业应急减排措施制定技术指南》（20</w:t>
            </w:r>
            <w:r>
              <w:rPr>
                <w:rFonts w:hint="eastAsia"/>
                <w:szCs w:val="21"/>
                <w:lang w:val="en-US" w:eastAsia="zh-CN"/>
              </w:rPr>
              <w:t>24</w:t>
            </w:r>
            <w:r>
              <w:rPr>
                <w:szCs w:val="21"/>
              </w:rPr>
              <w:t>年修订版）中“</w:t>
            </w:r>
            <w:r>
              <w:rPr>
                <w:rFonts w:hint="eastAsia"/>
                <w:szCs w:val="21"/>
                <w:lang w:val="en-US" w:eastAsia="zh-CN"/>
              </w:rPr>
              <w:t>涉工业炉窑</w:t>
            </w:r>
            <w:r>
              <w:rPr>
                <w:szCs w:val="21"/>
              </w:rPr>
              <w:t>”</w:t>
            </w:r>
            <w:r>
              <w:rPr>
                <w:rFonts w:hint="eastAsia"/>
                <w:szCs w:val="21"/>
                <w:lang w:val="en-US" w:eastAsia="zh-CN"/>
              </w:rPr>
              <w:t>排放标准要求、《饮食业油烟排放标准（试行）》（GB18483-2001）小型标准要求</w:t>
            </w:r>
          </w:p>
        </w:tc>
      </w:tr>
      <w:tr w14:paraId="665935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4" w:type="dxa"/>
            <w:vMerge w:val="continue"/>
            <w:vAlign w:val="center"/>
          </w:tcPr>
          <w:p w14:paraId="3DB5BA86">
            <w:pPr>
              <w:adjustRightInd w:val="0"/>
              <w:snapToGrid w:val="0"/>
              <w:jc w:val="center"/>
              <w:rPr>
                <w:szCs w:val="21"/>
              </w:rPr>
            </w:pPr>
          </w:p>
        </w:tc>
        <w:tc>
          <w:tcPr>
            <w:tcW w:w="1361" w:type="dxa"/>
            <w:vAlign w:val="center"/>
          </w:tcPr>
          <w:p w14:paraId="799B68CE">
            <w:pPr>
              <w:pStyle w:val="257"/>
              <w:rPr>
                <w:rFonts w:hint="default"/>
                <w:b w:val="0"/>
                <w:bCs w:val="0"/>
                <w:u w:val="none"/>
                <w:lang w:val="en-US" w:eastAsia="zh-CN"/>
              </w:rPr>
            </w:pPr>
            <w:r>
              <w:rPr>
                <w:rFonts w:hint="eastAsia"/>
                <w:b w:val="0"/>
                <w:bCs w:val="0"/>
                <w:u w:val="none"/>
                <w:lang w:val="en-US" w:eastAsia="zh-CN"/>
              </w:rPr>
              <w:t>蒸汽发生器（DA002）</w:t>
            </w:r>
          </w:p>
        </w:tc>
        <w:tc>
          <w:tcPr>
            <w:tcW w:w="1418" w:type="dxa"/>
            <w:vAlign w:val="center"/>
          </w:tcPr>
          <w:p w14:paraId="789462CB">
            <w:pPr>
              <w:adjustRightInd w:val="0"/>
              <w:snapToGrid w:val="0"/>
              <w:jc w:val="center"/>
              <w:rPr>
                <w:rFonts w:hint="eastAsia"/>
                <w:szCs w:val="21"/>
                <w:lang w:val="en-US" w:eastAsia="zh-CN"/>
              </w:rPr>
            </w:pPr>
            <w:r>
              <w:rPr>
                <w:rFonts w:hint="eastAsia"/>
                <w:szCs w:val="21"/>
                <w:lang w:val="en-US" w:eastAsia="zh-CN"/>
              </w:rPr>
              <w:t>颗粒物、二氧化硫、氮氧化物、烟气黑度</w:t>
            </w:r>
          </w:p>
        </w:tc>
        <w:tc>
          <w:tcPr>
            <w:tcW w:w="2123" w:type="dxa"/>
            <w:vAlign w:val="center"/>
          </w:tcPr>
          <w:p w14:paraId="62C0E78D">
            <w:pPr>
              <w:pStyle w:val="257"/>
              <w:rPr>
                <w:rFonts w:hint="default"/>
                <w:lang w:val="en-US" w:eastAsia="zh-CN"/>
              </w:rPr>
            </w:pPr>
            <w:r>
              <w:rPr>
                <w:rFonts w:hint="eastAsia"/>
                <w:lang w:val="en-US" w:eastAsia="zh-CN"/>
              </w:rPr>
              <w:t>低氮燃烧+8m高排气筒</w:t>
            </w:r>
          </w:p>
        </w:tc>
        <w:tc>
          <w:tcPr>
            <w:tcW w:w="2644" w:type="dxa"/>
            <w:vAlign w:val="center"/>
          </w:tcPr>
          <w:p w14:paraId="59AF62F4">
            <w:pPr>
              <w:adjustRightInd w:val="0"/>
              <w:snapToGrid w:val="0"/>
              <w:jc w:val="center"/>
              <w:rPr>
                <w:rFonts w:hAnsi="Times New Roman"/>
              </w:rPr>
            </w:pPr>
            <w:r>
              <w:rPr>
                <w:spacing w:val="4"/>
                <w:szCs w:val="21"/>
              </w:rPr>
              <w:t>《锅炉大气污染物排放标准》（</w:t>
            </w:r>
            <w:r>
              <w:rPr>
                <w:rFonts w:hint="eastAsia"/>
                <w:spacing w:val="4"/>
                <w:szCs w:val="21"/>
              </w:rPr>
              <w:t>D</w:t>
            </w:r>
            <w:r>
              <w:rPr>
                <w:spacing w:val="4"/>
                <w:szCs w:val="21"/>
              </w:rPr>
              <w:t>B</w:t>
            </w:r>
            <w:r>
              <w:rPr>
                <w:rFonts w:hint="eastAsia"/>
                <w:spacing w:val="4"/>
                <w:szCs w:val="21"/>
              </w:rPr>
              <w:t>41/2089</w:t>
            </w:r>
            <w:r>
              <w:rPr>
                <w:spacing w:val="4"/>
                <w:szCs w:val="21"/>
              </w:rPr>
              <w:t>-20</w:t>
            </w:r>
            <w:r>
              <w:rPr>
                <w:rFonts w:hint="eastAsia"/>
                <w:spacing w:val="4"/>
                <w:szCs w:val="21"/>
              </w:rPr>
              <w:t>21</w:t>
            </w:r>
            <w:r>
              <w:rPr>
                <w:spacing w:val="4"/>
                <w:szCs w:val="21"/>
              </w:rPr>
              <w:t>）</w:t>
            </w:r>
          </w:p>
        </w:tc>
      </w:tr>
      <w:tr w14:paraId="653F17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4" w:type="dxa"/>
            <w:vMerge w:val="continue"/>
            <w:vAlign w:val="center"/>
          </w:tcPr>
          <w:p w14:paraId="6D0D6670">
            <w:pPr>
              <w:adjustRightInd w:val="0"/>
              <w:snapToGrid w:val="0"/>
              <w:jc w:val="center"/>
              <w:rPr>
                <w:szCs w:val="21"/>
              </w:rPr>
            </w:pPr>
          </w:p>
        </w:tc>
        <w:tc>
          <w:tcPr>
            <w:tcW w:w="1361" w:type="dxa"/>
            <w:vAlign w:val="center"/>
          </w:tcPr>
          <w:p w14:paraId="7F1015EA">
            <w:pPr>
              <w:pStyle w:val="257"/>
              <w:rPr>
                <w:rFonts w:hint="default"/>
                <w:lang w:val="en-US" w:eastAsia="zh-CN"/>
              </w:rPr>
            </w:pPr>
            <w:r>
              <w:rPr>
                <w:rFonts w:hint="eastAsia"/>
                <w:lang w:val="en-US" w:eastAsia="zh-CN"/>
              </w:rPr>
              <w:t>污水处理站</w:t>
            </w:r>
          </w:p>
        </w:tc>
        <w:tc>
          <w:tcPr>
            <w:tcW w:w="1418" w:type="dxa"/>
            <w:vAlign w:val="center"/>
          </w:tcPr>
          <w:p w14:paraId="6596A3FE">
            <w:pPr>
              <w:adjustRightInd w:val="0"/>
              <w:snapToGrid w:val="0"/>
              <w:jc w:val="center"/>
              <w:rPr>
                <w:rFonts w:hint="default"/>
                <w:szCs w:val="21"/>
                <w:lang w:val="en-US" w:eastAsia="zh-CN"/>
              </w:rPr>
            </w:pPr>
            <w:r>
              <w:rPr>
                <w:rFonts w:hint="eastAsia"/>
                <w:szCs w:val="21"/>
                <w:lang w:val="en-US" w:eastAsia="zh-CN"/>
              </w:rPr>
              <w:t>氨、硫化氢、臭气浓度</w:t>
            </w:r>
          </w:p>
        </w:tc>
        <w:tc>
          <w:tcPr>
            <w:tcW w:w="2123" w:type="dxa"/>
            <w:vAlign w:val="center"/>
          </w:tcPr>
          <w:p w14:paraId="4B43FCF2">
            <w:pPr>
              <w:pStyle w:val="257"/>
              <w:rPr>
                <w:rFonts w:hint="eastAsia"/>
                <w:lang w:val="en-US" w:eastAsia="zh-CN"/>
              </w:rPr>
            </w:pPr>
            <w:r>
              <w:rPr>
                <w:rFonts w:hint="eastAsia"/>
              </w:rPr>
              <w:t>构筑物加盖密封，投加除臭剂</w:t>
            </w:r>
          </w:p>
        </w:tc>
        <w:tc>
          <w:tcPr>
            <w:tcW w:w="2644" w:type="dxa"/>
            <w:vAlign w:val="center"/>
          </w:tcPr>
          <w:p w14:paraId="7660C35E">
            <w:pPr>
              <w:adjustRightInd w:val="0"/>
              <w:snapToGrid w:val="0"/>
              <w:jc w:val="center"/>
              <w:rPr>
                <w:rFonts w:hAnsi="Times New Roman"/>
              </w:rPr>
            </w:pPr>
            <w:r>
              <w:rPr>
                <w:rFonts w:hint="eastAsia"/>
              </w:rPr>
              <w:t>《恶臭污染物排放标准》（</w:t>
            </w:r>
            <w:r>
              <w:t>GB14554-93</w:t>
            </w:r>
            <w:r>
              <w:rPr>
                <w:rFonts w:hint="eastAsia"/>
              </w:rPr>
              <w:t>）</w:t>
            </w:r>
          </w:p>
        </w:tc>
      </w:tr>
      <w:tr w14:paraId="433C5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4" w:type="dxa"/>
            <w:vMerge w:val="restart"/>
            <w:vAlign w:val="center"/>
          </w:tcPr>
          <w:p w14:paraId="36B0AF1A">
            <w:pPr>
              <w:adjustRightInd w:val="0"/>
              <w:snapToGrid w:val="0"/>
              <w:jc w:val="center"/>
              <w:rPr>
                <w:szCs w:val="21"/>
              </w:rPr>
            </w:pPr>
            <w:r>
              <w:rPr>
                <w:szCs w:val="21"/>
              </w:rPr>
              <w:t>地表水环境</w:t>
            </w:r>
          </w:p>
        </w:tc>
        <w:tc>
          <w:tcPr>
            <w:tcW w:w="1361" w:type="dxa"/>
            <w:vAlign w:val="center"/>
          </w:tcPr>
          <w:p w14:paraId="3A81CE8A">
            <w:pPr>
              <w:pStyle w:val="104"/>
              <w:rPr>
                <w:rFonts w:hint="default" w:hAnsi="Times New Roman" w:eastAsia="宋体"/>
                <w:b w:val="0"/>
                <w:bCs w:val="0"/>
                <w:u w:val="none"/>
                <w:lang w:val="en-US" w:eastAsia="zh-CN"/>
              </w:rPr>
            </w:pPr>
            <w:r>
              <w:rPr>
                <w:rFonts w:hint="eastAsia" w:hAnsi="Times New Roman"/>
                <w:b w:val="0"/>
                <w:bCs w:val="0"/>
                <w:u w:val="none"/>
                <w:lang w:val="en-US" w:eastAsia="zh-CN"/>
              </w:rPr>
              <w:t>生产废水</w:t>
            </w:r>
          </w:p>
        </w:tc>
        <w:tc>
          <w:tcPr>
            <w:tcW w:w="1418" w:type="dxa"/>
            <w:vMerge w:val="restart"/>
            <w:vAlign w:val="center"/>
          </w:tcPr>
          <w:p w14:paraId="1EBBD929">
            <w:pPr>
              <w:pStyle w:val="104"/>
              <w:rPr>
                <w:rFonts w:hint="eastAsia" w:hAnsi="Times New Roman" w:eastAsia="宋体"/>
                <w:b w:val="0"/>
                <w:bCs w:val="0"/>
                <w:u w:val="none"/>
                <w:lang w:eastAsia="zh-CN"/>
              </w:rPr>
            </w:pPr>
            <w:r>
              <w:rPr>
                <w:b w:val="0"/>
                <w:bCs w:val="0"/>
                <w:szCs w:val="21"/>
                <w:u w:val="none"/>
              </w:rPr>
              <w:t>pH</w:t>
            </w:r>
            <w:r>
              <w:rPr>
                <w:rFonts w:hint="eastAsia"/>
                <w:b w:val="0"/>
                <w:bCs w:val="0"/>
                <w:szCs w:val="21"/>
                <w:u w:val="none"/>
              </w:rPr>
              <w:t>、</w:t>
            </w:r>
            <w:r>
              <w:rPr>
                <w:b w:val="0"/>
                <w:bCs w:val="0"/>
                <w:szCs w:val="21"/>
                <w:u w:val="none"/>
              </w:rPr>
              <w:t>COD</w:t>
            </w:r>
            <w:r>
              <w:rPr>
                <w:rFonts w:hint="eastAsia"/>
                <w:b w:val="0"/>
                <w:bCs w:val="0"/>
                <w:szCs w:val="21"/>
                <w:u w:val="none"/>
              </w:rPr>
              <w:t>、</w:t>
            </w:r>
            <w:r>
              <w:rPr>
                <w:b w:val="0"/>
                <w:bCs w:val="0"/>
                <w:szCs w:val="21"/>
                <w:u w:val="none"/>
              </w:rPr>
              <w:t>BOD</w:t>
            </w:r>
            <w:r>
              <w:rPr>
                <w:b w:val="0"/>
                <w:bCs w:val="0"/>
                <w:szCs w:val="21"/>
                <w:u w:val="none"/>
                <w:vertAlign w:val="subscript"/>
              </w:rPr>
              <w:t>5</w:t>
            </w:r>
            <w:r>
              <w:rPr>
                <w:rFonts w:hint="eastAsia"/>
                <w:b w:val="0"/>
                <w:bCs w:val="0"/>
                <w:szCs w:val="21"/>
                <w:u w:val="none"/>
              </w:rPr>
              <w:t>、</w:t>
            </w:r>
            <w:r>
              <w:rPr>
                <w:b w:val="0"/>
                <w:bCs w:val="0"/>
                <w:szCs w:val="21"/>
                <w:u w:val="none"/>
              </w:rPr>
              <w:t>SS</w:t>
            </w:r>
            <w:r>
              <w:rPr>
                <w:rFonts w:hint="eastAsia"/>
                <w:b w:val="0"/>
                <w:bCs w:val="0"/>
                <w:szCs w:val="21"/>
                <w:u w:val="none"/>
              </w:rPr>
              <w:t>、</w:t>
            </w:r>
            <w:r>
              <w:rPr>
                <w:b w:val="0"/>
                <w:bCs w:val="0"/>
                <w:u w:val="none"/>
              </w:rPr>
              <w:t>NH</w:t>
            </w:r>
            <w:r>
              <w:rPr>
                <w:b w:val="0"/>
                <w:bCs w:val="0"/>
                <w:u w:val="none"/>
                <w:vertAlign w:val="subscript"/>
              </w:rPr>
              <w:t>3</w:t>
            </w:r>
            <w:r>
              <w:rPr>
                <w:b w:val="0"/>
                <w:bCs w:val="0"/>
                <w:u w:val="none"/>
              </w:rPr>
              <w:t>-N</w:t>
            </w:r>
            <w:r>
              <w:rPr>
                <w:rFonts w:hint="eastAsia"/>
                <w:b w:val="0"/>
                <w:bCs w:val="0"/>
                <w:u w:val="none"/>
              </w:rPr>
              <w:t>、</w:t>
            </w:r>
            <w:r>
              <w:rPr>
                <w:rFonts w:hint="eastAsia"/>
                <w:b w:val="0"/>
                <w:bCs w:val="0"/>
                <w:szCs w:val="21"/>
                <w:u w:val="none"/>
              </w:rPr>
              <w:t>TN、TP</w:t>
            </w:r>
            <w:r>
              <w:rPr>
                <w:rFonts w:hint="eastAsia"/>
                <w:b w:val="0"/>
                <w:bCs w:val="0"/>
                <w:szCs w:val="21"/>
                <w:u w:val="none"/>
                <w:lang w:eastAsia="zh-CN"/>
              </w:rPr>
              <w:t>、</w:t>
            </w:r>
            <w:r>
              <w:rPr>
                <w:rFonts w:hint="eastAsia"/>
                <w:b w:val="0"/>
                <w:bCs w:val="0"/>
                <w:szCs w:val="21"/>
                <w:u w:val="none"/>
                <w:lang w:val="en-US" w:eastAsia="zh-CN"/>
              </w:rPr>
              <w:t>色度、动植物油、大肠菌群数</w:t>
            </w:r>
            <w:r>
              <w:rPr>
                <w:rFonts w:hAnsi="Times New Roman"/>
              </w:rPr>
              <w:t xml:space="preserve"> </w:t>
            </w:r>
          </w:p>
        </w:tc>
        <w:tc>
          <w:tcPr>
            <w:tcW w:w="2123" w:type="dxa"/>
            <w:vAlign w:val="center"/>
          </w:tcPr>
          <w:p w14:paraId="4299EB9E">
            <w:pPr>
              <w:pStyle w:val="104"/>
              <w:rPr>
                <w:rFonts w:hint="default" w:hAnsi="Times New Roman" w:eastAsia="宋体"/>
                <w:lang w:val="en-US" w:eastAsia="zh-CN"/>
              </w:rPr>
            </w:pPr>
            <w:r>
              <w:rPr>
                <w:rFonts w:hint="eastAsia" w:hAnsi="Times New Roman"/>
                <w:lang w:val="en-US" w:eastAsia="zh-CN"/>
              </w:rPr>
              <w:t>6m</w:t>
            </w:r>
            <w:r>
              <w:rPr>
                <w:rFonts w:hint="eastAsia" w:hAnsi="Times New Roman"/>
                <w:vertAlign w:val="superscript"/>
                <w:lang w:val="en-US" w:eastAsia="zh-CN"/>
              </w:rPr>
              <w:t>3</w:t>
            </w:r>
            <w:r>
              <w:rPr>
                <w:rFonts w:hint="eastAsia" w:hAnsi="Times New Roman"/>
                <w:lang w:val="en-US" w:eastAsia="zh-CN"/>
              </w:rPr>
              <w:t>/d污水处理站</w:t>
            </w:r>
          </w:p>
        </w:tc>
        <w:tc>
          <w:tcPr>
            <w:tcW w:w="2644" w:type="dxa"/>
            <w:vMerge w:val="restart"/>
            <w:vAlign w:val="center"/>
          </w:tcPr>
          <w:p w14:paraId="4083112D">
            <w:pPr>
              <w:adjustRightInd w:val="0"/>
              <w:snapToGrid w:val="0"/>
              <w:jc w:val="center"/>
              <w:rPr>
                <w:rFonts w:hint="default" w:eastAsia="宋体"/>
                <w:szCs w:val="21"/>
                <w:lang w:val="en-US" w:eastAsia="zh-CN"/>
              </w:rPr>
            </w:pPr>
            <w:r>
              <w:rPr>
                <w:rFonts w:hint="eastAsia"/>
                <w:szCs w:val="28"/>
              </w:rPr>
              <w:t>《</w:t>
            </w:r>
            <w:r>
              <w:rPr>
                <w:rFonts w:hint="eastAsia"/>
                <w:szCs w:val="28"/>
                <w:lang w:val="en-US" w:eastAsia="zh-CN"/>
              </w:rPr>
              <w:t>食品加工制造业水污染物排放标准</w:t>
            </w:r>
            <w:r>
              <w:rPr>
                <w:rFonts w:hint="eastAsia"/>
                <w:szCs w:val="28"/>
              </w:rPr>
              <w:t>》（</w:t>
            </w:r>
            <w:r>
              <w:rPr>
                <w:rFonts w:hint="eastAsia"/>
                <w:szCs w:val="28"/>
                <w:lang w:val="en-US" w:eastAsia="zh-CN"/>
              </w:rPr>
              <w:t>GB 46817—2025</w:t>
            </w:r>
            <w:r>
              <w:rPr>
                <w:rFonts w:hint="eastAsia"/>
                <w:szCs w:val="28"/>
              </w:rPr>
              <w:t>）表</w:t>
            </w:r>
            <w:r>
              <w:rPr>
                <w:rFonts w:hint="eastAsia"/>
                <w:szCs w:val="28"/>
                <w:lang w:val="en-US" w:eastAsia="zh-CN"/>
              </w:rPr>
              <w:t>1间接排放</w:t>
            </w:r>
            <w:r>
              <w:rPr>
                <w:rFonts w:hint="eastAsia"/>
                <w:szCs w:val="28"/>
              </w:rPr>
              <w:t>标准</w:t>
            </w:r>
            <w:r>
              <w:rPr>
                <w:rFonts w:hint="eastAsia"/>
                <w:lang w:val="en-US" w:eastAsia="zh-CN"/>
              </w:rPr>
              <w:t>及</w:t>
            </w:r>
            <w:r>
              <w:rPr>
                <w:rFonts w:hint="eastAsia" w:hAnsi="Times New Roman"/>
                <w:lang w:eastAsia="zh-CN"/>
              </w:rPr>
              <w:t>汤阴固现污水处理有限公司</w:t>
            </w:r>
            <w:r>
              <w:rPr>
                <w:rFonts w:hint="eastAsia" w:hAnsi="Times New Roman"/>
                <w:lang w:val="en-US" w:eastAsia="zh-CN"/>
              </w:rPr>
              <w:t>收水指标</w:t>
            </w:r>
          </w:p>
        </w:tc>
      </w:tr>
      <w:tr w14:paraId="2F4266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4" w:type="dxa"/>
            <w:vMerge w:val="continue"/>
            <w:vAlign w:val="center"/>
          </w:tcPr>
          <w:p w14:paraId="26259176">
            <w:pPr>
              <w:adjustRightInd w:val="0"/>
              <w:snapToGrid w:val="0"/>
              <w:jc w:val="center"/>
              <w:rPr>
                <w:szCs w:val="21"/>
              </w:rPr>
            </w:pPr>
          </w:p>
        </w:tc>
        <w:tc>
          <w:tcPr>
            <w:tcW w:w="1361" w:type="dxa"/>
            <w:vAlign w:val="center"/>
          </w:tcPr>
          <w:p w14:paraId="25B1DD41">
            <w:pPr>
              <w:pStyle w:val="104"/>
              <w:rPr>
                <w:rFonts w:hint="default" w:hAnsi="Times New Roman" w:eastAsia="宋体"/>
                <w:lang w:val="en-US" w:eastAsia="zh-CN"/>
              </w:rPr>
            </w:pPr>
            <w:r>
              <w:rPr>
                <w:rFonts w:hint="eastAsia" w:hAnsi="Times New Roman"/>
                <w:lang w:val="en-US" w:eastAsia="zh-CN"/>
              </w:rPr>
              <w:t>生活污水</w:t>
            </w:r>
          </w:p>
        </w:tc>
        <w:tc>
          <w:tcPr>
            <w:tcW w:w="1418" w:type="dxa"/>
            <w:vMerge w:val="continue"/>
            <w:vAlign w:val="center"/>
          </w:tcPr>
          <w:p w14:paraId="3B4CBBE9">
            <w:pPr>
              <w:pStyle w:val="104"/>
              <w:rPr>
                <w:rFonts w:hAnsi="Times New Roman"/>
              </w:rPr>
            </w:pPr>
          </w:p>
        </w:tc>
        <w:tc>
          <w:tcPr>
            <w:tcW w:w="2123" w:type="dxa"/>
            <w:vAlign w:val="center"/>
          </w:tcPr>
          <w:p w14:paraId="482C308C">
            <w:pPr>
              <w:pStyle w:val="104"/>
              <w:rPr>
                <w:rFonts w:hint="default" w:hAnsi="Times New Roman" w:eastAsia="宋体"/>
                <w:lang w:val="en-US" w:eastAsia="zh-CN"/>
              </w:rPr>
            </w:pPr>
            <w:r>
              <w:rPr>
                <w:rFonts w:hint="eastAsia" w:hAnsi="Times New Roman"/>
                <w:lang w:val="en-US" w:eastAsia="zh-CN"/>
              </w:rPr>
              <w:t>5m</w:t>
            </w:r>
            <w:r>
              <w:rPr>
                <w:rFonts w:hint="eastAsia" w:hAnsi="Times New Roman"/>
                <w:vertAlign w:val="superscript"/>
                <w:lang w:val="en-US" w:eastAsia="zh-CN"/>
              </w:rPr>
              <w:t>3</w:t>
            </w:r>
            <w:r>
              <w:rPr>
                <w:rFonts w:hint="eastAsia" w:hAnsi="Times New Roman"/>
                <w:lang w:val="en-US" w:eastAsia="zh-CN"/>
              </w:rPr>
              <w:t>化粪池</w:t>
            </w:r>
          </w:p>
        </w:tc>
        <w:tc>
          <w:tcPr>
            <w:tcW w:w="2644" w:type="dxa"/>
            <w:vMerge w:val="continue"/>
            <w:vAlign w:val="center"/>
          </w:tcPr>
          <w:p w14:paraId="7DE08074">
            <w:pPr>
              <w:adjustRightInd w:val="0"/>
              <w:snapToGrid w:val="0"/>
              <w:jc w:val="center"/>
            </w:pPr>
          </w:p>
        </w:tc>
      </w:tr>
      <w:tr w14:paraId="2E4D81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4" w:type="dxa"/>
            <w:vAlign w:val="center"/>
          </w:tcPr>
          <w:p w14:paraId="1390880C">
            <w:pPr>
              <w:adjustRightInd w:val="0"/>
              <w:snapToGrid w:val="0"/>
              <w:jc w:val="center"/>
              <w:rPr>
                <w:szCs w:val="21"/>
              </w:rPr>
            </w:pPr>
            <w:r>
              <w:rPr>
                <w:szCs w:val="21"/>
              </w:rPr>
              <w:t>声环境</w:t>
            </w:r>
          </w:p>
        </w:tc>
        <w:tc>
          <w:tcPr>
            <w:tcW w:w="1361" w:type="dxa"/>
            <w:vAlign w:val="center"/>
          </w:tcPr>
          <w:p w14:paraId="4A6CF343">
            <w:pPr>
              <w:adjustRightInd w:val="0"/>
              <w:snapToGrid w:val="0"/>
              <w:jc w:val="center"/>
              <w:rPr>
                <w:rFonts w:hint="default" w:eastAsia="宋体"/>
                <w:szCs w:val="21"/>
                <w:lang w:val="en-US" w:eastAsia="zh-CN"/>
              </w:rPr>
            </w:pPr>
            <w:r>
              <w:rPr>
                <w:rFonts w:hint="eastAsia"/>
                <w:szCs w:val="21"/>
                <w:lang w:val="en-US" w:eastAsia="zh-CN"/>
              </w:rPr>
              <w:t>生产设备</w:t>
            </w:r>
          </w:p>
        </w:tc>
        <w:tc>
          <w:tcPr>
            <w:tcW w:w="1418" w:type="dxa"/>
            <w:vAlign w:val="center"/>
          </w:tcPr>
          <w:p w14:paraId="56E95DC4">
            <w:pPr>
              <w:adjustRightInd w:val="0"/>
              <w:snapToGrid w:val="0"/>
              <w:jc w:val="center"/>
              <w:rPr>
                <w:rFonts w:hint="eastAsia" w:eastAsia="宋体"/>
                <w:szCs w:val="21"/>
                <w:lang w:val="en-US" w:eastAsia="zh-CN"/>
              </w:rPr>
            </w:pPr>
            <w:r>
              <w:rPr>
                <w:rFonts w:hint="eastAsia"/>
                <w:szCs w:val="21"/>
                <w:lang w:val="en-US" w:eastAsia="zh-CN"/>
              </w:rPr>
              <w:t>噪声</w:t>
            </w:r>
          </w:p>
        </w:tc>
        <w:tc>
          <w:tcPr>
            <w:tcW w:w="2123" w:type="dxa"/>
            <w:vAlign w:val="center"/>
          </w:tcPr>
          <w:p w14:paraId="5100DE49">
            <w:pPr>
              <w:adjustRightInd w:val="0"/>
              <w:snapToGrid w:val="0"/>
              <w:jc w:val="center"/>
              <w:rPr>
                <w:rFonts w:hint="default" w:eastAsia="宋体"/>
                <w:szCs w:val="21"/>
                <w:lang w:val="en-US" w:eastAsia="zh-CN"/>
              </w:rPr>
            </w:pPr>
            <w:r>
              <w:t>厂房隔音、</w:t>
            </w:r>
            <w:r>
              <w:rPr>
                <w:rFonts w:hint="eastAsia"/>
                <w:lang w:val="en-US" w:eastAsia="zh-CN"/>
              </w:rPr>
              <w:t>距离衰减</w:t>
            </w:r>
          </w:p>
        </w:tc>
        <w:tc>
          <w:tcPr>
            <w:tcW w:w="2644" w:type="dxa"/>
            <w:vAlign w:val="center"/>
          </w:tcPr>
          <w:p w14:paraId="3C0F31B2">
            <w:pPr>
              <w:adjustRightInd w:val="0"/>
              <w:snapToGrid w:val="0"/>
              <w:jc w:val="center"/>
              <w:rPr>
                <w:szCs w:val="21"/>
              </w:rPr>
            </w:pPr>
            <w:r>
              <w:rPr>
                <w:rFonts w:hint="eastAsia"/>
                <w:szCs w:val="21"/>
              </w:rPr>
              <w:t>《</w:t>
            </w:r>
            <w:r>
              <w:rPr>
                <w:szCs w:val="21"/>
              </w:rPr>
              <w:t>工业企业厂界环境噪声排放标准</w:t>
            </w:r>
            <w:r>
              <w:rPr>
                <w:rFonts w:hint="eastAsia"/>
                <w:szCs w:val="21"/>
              </w:rPr>
              <w:t>》</w:t>
            </w:r>
            <w:r>
              <w:rPr>
                <w:szCs w:val="21"/>
              </w:rPr>
              <w:t>（GB12348-2008）3类</w:t>
            </w:r>
          </w:p>
        </w:tc>
      </w:tr>
      <w:tr w14:paraId="3B6604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254" w:type="dxa"/>
            <w:vAlign w:val="center"/>
          </w:tcPr>
          <w:p w14:paraId="176CA31E">
            <w:pPr>
              <w:adjustRightInd w:val="0"/>
              <w:snapToGrid w:val="0"/>
              <w:jc w:val="center"/>
              <w:rPr>
                <w:szCs w:val="21"/>
              </w:rPr>
            </w:pPr>
            <w:r>
              <w:rPr>
                <w:szCs w:val="21"/>
              </w:rPr>
              <w:t>电磁辐射</w:t>
            </w:r>
          </w:p>
        </w:tc>
        <w:tc>
          <w:tcPr>
            <w:tcW w:w="1361" w:type="dxa"/>
            <w:vAlign w:val="center"/>
          </w:tcPr>
          <w:p w14:paraId="2C976B4B">
            <w:pPr>
              <w:adjustRightInd w:val="0"/>
              <w:snapToGrid w:val="0"/>
              <w:jc w:val="center"/>
              <w:rPr>
                <w:szCs w:val="21"/>
              </w:rPr>
            </w:pPr>
            <w:r>
              <w:rPr>
                <w:szCs w:val="21"/>
              </w:rPr>
              <w:t>/</w:t>
            </w:r>
          </w:p>
        </w:tc>
        <w:tc>
          <w:tcPr>
            <w:tcW w:w="1418" w:type="dxa"/>
            <w:vAlign w:val="center"/>
          </w:tcPr>
          <w:p w14:paraId="657C0FCC">
            <w:pPr>
              <w:adjustRightInd w:val="0"/>
              <w:snapToGrid w:val="0"/>
              <w:jc w:val="center"/>
              <w:rPr>
                <w:szCs w:val="21"/>
              </w:rPr>
            </w:pPr>
            <w:r>
              <w:rPr>
                <w:szCs w:val="21"/>
              </w:rPr>
              <w:t>/</w:t>
            </w:r>
          </w:p>
        </w:tc>
        <w:tc>
          <w:tcPr>
            <w:tcW w:w="2123" w:type="dxa"/>
            <w:vAlign w:val="center"/>
          </w:tcPr>
          <w:p w14:paraId="308F3B3B">
            <w:pPr>
              <w:adjustRightInd w:val="0"/>
              <w:snapToGrid w:val="0"/>
              <w:jc w:val="center"/>
              <w:rPr>
                <w:szCs w:val="21"/>
              </w:rPr>
            </w:pPr>
            <w:r>
              <w:rPr>
                <w:szCs w:val="21"/>
              </w:rPr>
              <w:t>/</w:t>
            </w:r>
          </w:p>
        </w:tc>
        <w:tc>
          <w:tcPr>
            <w:tcW w:w="2644" w:type="dxa"/>
            <w:vAlign w:val="center"/>
          </w:tcPr>
          <w:p w14:paraId="0587E6C1">
            <w:pPr>
              <w:adjustRightInd w:val="0"/>
              <w:snapToGrid w:val="0"/>
              <w:jc w:val="center"/>
              <w:rPr>
                <w:szCs w:val="21"/>
              </w:rPr>
            </w:pPr>
            <w:r>
              <w:rPr>
                <w:szCs w:val="21"/>
              </w:rPr>
              <w:t>/</w:t>
            </w:r>
          </w:p>
        </w:tc>
      </w:tr>
      <w:tr w14:paraId="7F98B1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254" w:type="dxa"/>
            <w:vAlign w:val="center"/>
          </w:tcPr>
          <w:p w14:paraId="285529C6">
            <w:pPr>
              <w:adjustRightInd w:val="0"/>
              <w:snapToGrid w:val="0"/>
              <w:jc w:val="center"/>
              <w:rPr>
                <w:szCs w:val="21"/>
              </w:rPr>
            </w:pPr>
            <w:r>
              <w:rPr>
                <w:szCs w:val="21"/>
              </w:rPr>
              <w:t>固体废物</w:t>
            </w:r>
          </w:p>
        </w:tc>
        <w:tc>
          <w:tcPr>
            <w:tcW w:w="7546" w:type="dxa"/>
            <w:gridSpan w:val="4"/>
            <w:vAlign w:val="center"/>
          </w:tcPr>
          <w:p w14:paraId="3A62C25C">
            <w:pPr>
              <w:adjustRightInd w:val="0"/>
              <w:snapToGrid w:val="0"/>
              <w:jc w:val="left"/>
              <w:rPr>
                <w:rFonts w:hint="default" w:eastAsia="宋体"/>
                <w:b w:val="0"/>
                <w:bCs w:val="0"/>
                <w:szCs w:val="21"/>
                <w:u w:val="none"/>
                <w:lang w:val="en-US" w:eastAsia="zh-CN"/>
              </w:rPr>
            </w:pPr>
            <w:r>
              <w:rPr>
                <w:rFonts w:hint="eastAsia"/>
                <w:b w:val="0"/>
                <w:bCs w:val="0"/>
                <w:u w:val="none"/>
                <w:lang w:val="en-US" w:eastAsia="zh-CN"/>
              </w:rPr>
              <w:t>杂质石子收集后由环卫部门清运，废包装袋、废活性炭和废离子交换树脂收集后出售给物资回收部门；生活垃圾委托环卫部门处理。</w:t>
            </w:r>
          </w:p>
        </w:tc>
      </w:tr>
      <w:tr w14:paraId="04009D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54" w:type="dxa"/>
            <w:vAlign w:val="center"/>
          </w:tcPr>
          <w:p w14:paraId="045EC972">
            <w:pPr>
              <w:adjustRightInd w:val="0"/>
              <w:snapToGrid w:val="0"/>
              <w:jc w:val="center"/>
              <w:rPr>
                <w:szCs w:val="21"/>
              </w:rPr>
            </w:pPr>
            <w:r>
              <w:rPr>
                <w:szCs w:val="21"/>
              </w:rPr>
              <w:t>土壤及地下水污染防治措施</w:t>
            </w:r>
          </w:p>
        </w:tc>
        <w:tc>
          <w:tcPr>
            <w:tcW w:w="7546" w:type="dxa"/>
            <w:gridSpan w:val="4"/>
            <w:vAlign w:val="center"/>
          </w:tcPr>
          <w:p w14:paraId="22791869">
            <w:pPr>
              <w:adjustRightInd w:val="0"/>
              <w:snapToGrid w:val="0"/>
              <w:jc w:val="left"/>
              <w:rPr>
                <w:b w:val="0"/>
                <w:bCs w:val="0"/>
                <w:szCs w:val="21"/>
                <w:u w:val="none"/>
              </w:rPr>
            </w:pPr>
            <w:r>
              <w:rPr>
                <w:b w:val="0"/>
                <w:bCs w:val="0"/>
                <w:szCs w:val="21"/>
                <w:u w:val="none"/>
                <w:lang w:val="en-US" w:eastAsia="zh-CN"/>
              </w:rPr>
              <w:t>（1）建设单位对废气进行严格控制，确保废气净化后稳定达标排放；（2）本项目厂区内采取绿化措施，加大绿化面积，多种植具有较强吸附能力的植物阻止大气沉降对土壤带来的影响；（3）制定严格的废水管理办法和废水处理操作规程，加强废水处理设施、污水管道的防渗和防泄漏措施</w:t>
            </w:r>
            <w:r>
              <w:rPr>
                <w:rFonts w:hint="eastAsia"/>
                <w:b w:val="0"/>
                <w:bCs w:val="0"/>
                <w:szCs w:val="21"/>
                <w:u w:val="none"/>
                <w:lang w:val="en-US" w:eastAsia="zh-CN"/>
              </w:rPr>
              <w:t>；</w:t>
            </w:r>
            <w:r>
              <w:rPr>
                <w:b w:val="0"/>
                <w:bCs w:val="0"/>
                <w:szCs w:val="21"/>
                <w:u w:val="none"/>
                <w:lang w:val="en-US" w:eastAsia="zh-CN"/>
              </w:rPr>
              <w:t xml:space="preserve">（4）对厂区实行地面硬化和外围的绿化隔离措施，其中还应设置合理的截水、集水、导排水系统，地埋排水管网应加强底部防渗设计；（5）污水管网采用高密度聚乙烯材料管，管路要全防护、管道接口熔融连接、无渗漏，以达到有效防止污水渗漏的目的。 </w:t>
            </w:r>
          </w:p>
        </w:tc>
      </w:tr>
      <w:tr w14:paraId="135C2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54" w:type="dxa"/>
            <w:vAlign w:val="center"/>
          </w:tcPr>
          <w:p w14:paraId="36AB616A">
            <w:pPr>
              <w:adjustRightInd w:val="0"/>
              <w:snapToGrid w:val="0"/>
              <w:jc w:val="center"/>
              <w:rPr>
                <w:szCs w:val="21"/>
              </w:rPr>
            </w:pPr>
            <w:r>
              <w:rPr>
                <w:szCs w:val="21"/>
              </w:rPr>
              <w:t>生态保护措施</w:t>
            </w:r>
          </w:p>
        </w:tc>
        <w:tc>
          <w:tcPr>
            <w:tcW w:w="7546" w:type="dxa"/>
            <w:gridSpan w:val="4"/>
            <w:vAlign w:val="center"/>
          </w:tcPr>
          <w:p w14:paraId="2B74853D">
            <w:pPr>
              <w:adjustRightInd w:val="0"/>
              <w:snapToGrid w:val="0"/>
              <w:jc w:val="center"/>
              <w:rPr>
                <w:b w:val="0"/>
                <w:bCs w:val="0"/>
                <w:szCs w:val="21"/>
                <w:u w:val="none"/>
              </w:rPr>
            </w:pPr>
            <w:r>
              <w:rPr>
                <w:b w:val="0"/>
                <w:bCs w:val="0"/>
                <w:szCs w:val="21"/>
                <w:u w:val="none"/>
              </w:rPr>
              <w:t>/</w:t>
            </w:r>
          </w:p>
        </w:tc>
      </w:tr>
      <w:tr w14:paraId="3A454A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1254" w:type="dxa"/>
            <w:vAlign w:val="center"/>
          </w:tcPr>
          <w:p w14:paraId="29F86A61">
            <w:pPr>
              <w:adjustRightInd w:val="0"/>
              <w:snapToGrid w:val="0"/>
              <w:jc w:val="center"/>
              <w:rPr>
                <w:spacing w:val="-8"/>
                <w:szCs w:val="21"/>
              </w:rPr>
            </w:pPr>
            <w:r>
              <w:rPr>
                <w:spacing w:val="-8"/>
                <w:szCs w:val="21"/>
              </w:rPr>
              <w:t>环境风险</w:t>
            </w:r>
          </w:p>
          <w:p w14:paraId="2606C754">
            <w:pPr>
              <w:adjustRightInd w:val="0"/>
              <w:snapToGrid w:val="0"/>
              <w:jc w:val="center"/>
              <w:rPr>
                <w:spacing w:val="-8"/>
                <w:szCs w:val="21"/>
              </w:rPr>
            </w:pPr>
            <w:r>
              <w:rPr>
                <w:spacing w:val="-8"/>
                <w:szCs w:val="21"/>
              </w:rPr>
              <w:t>防范措施</w:t>
            </w:r>
          </w:p>
        </w:tc>
        <w:tc>
          <w:tcPr>
            <w:tcW w:w="7546" w:type="dxa"/>
            <w:gridSpan w:val="4"/>
            <w:vAlign w:val="center"/>
          </w:tcPr>
          <w:p w14:paraId="559A9D32">
            <w:pPr>
              <w:adjustRightInd w:val="0"/>
              <w:snapToGrid w:val="0"/>
              <w:jc w:val="left"/>
              <w:rPr>
                <w:b w:val="0"/>
                <w:bCs w:val="0"/>
                <w:szCs w:val="21"/>
                <w:u w:val="none"/>
              </w:rPr>
            </w:pPr>
            <w:r>
              <w:rPr>
                <w:b w:val="0"/>
                <w:bCs w:val="0"/>
                <w:szCs w:val="21"/>
                <w:u w:val="none"/>
                <w:lang w:val="en-US" w:eastAsia="zh-CN"/>
              </w:rPr>
              <w:fldChar w:fldCharType="begin"/>
            </w:r>
            <w:r>
              <w:rPr>
                <w:b w:val="0"/>
                <w:bCs w:val="0"/>
                <w:szCs w:val="21"/>
                <w:u w:val="none"/>
                <w:lang w:val="en-US" w:eastAsia="zh-CN"/>
              </w:rPr>
              <w:instrText xml:space="preserve"> </w:instrText>
            </w:r>
            <w:r>
              <w:rPr>
                <w:rFonts w:hint="eastAsia"/>
                <w:b w:val="0"/>
                <w:bCs w:val="0"/>
                <w:szCs w:val="21"/>
                <w:u w:val="none"/>
                <w:lang w:val="en-US" w:eastAsia="zh-CN"/>
              </w:rPr>
              <w:instrText xml:space="preserve">= 1 \* GB3</w:instrText>
            </w:r>
            <w:r>
              <w:rPr>
                <w:b w:val="0"/>
                <w:bCs w:val="0"/>
                <w:szCs w:val="21"/>
                <w:u w:val="none"/>
                <w:lang w:val="en-US" w:eastAsia="zh-CN"/>
              </w:rPr>
              <w:instrText xml:space="preserve"> </w:instrText>
            </w:r>
            <w:r>
              <w:rPr>
                <w:b w:val="0"/>
                <w:bCs w:val="0"/>
                <w:szCs w:val="21"/>
                <w:u w:val="none"/>
                <w:lang w:val="en-US" w:eastAsia="zh-CN"/>
              </w:rPr>
              <w:fldChar w:fldCharType="separate"/>
            </w:r>
            <w:r>
              <w:rPr>
                <w:rFonts w:hint="eastAsia"/>
                <w:b w:val="0"/>
                <w:bCs w:val="0"/>
                <w:szCs w:val="21"/>
                <w:u w:val="none"/>
                <w:lang w:val="en-US" w:eastAsia="zh-CN"/>
              </w:rPr>
              <w:t>①</w:t>
            </w:r>
            <w:r>
              <w:rPr>
                <w:b w:val="0"/>
                <w:bCs w:val="0"/>
                <w:szCs w:val="21"/>
                <w:u w:val="none"/>
                <w:lang w:val="en-US" w:eastAsia="zh-CN"/>
              </w:rPr>
              <w:fldChar w:fldCharType="end"/>
            </w:r>
            <w:r>
              <w:rPr>
                <w:b w:val="0"/>
                <w:bCs w:val="0"/>
                <w:szCs w:val="21"/>
                <w:u w:val="none"/>
                <w:lang w:val="en-US" w:eastAsia="zh-CN"/>
              </w:rPr>
              <w:t>定期组织隐患排查；</w:t>
            </w:r>
            <w:r>
              <w:rPr>
                <w:b w:val="0"/>
                <w:bCs w:val="0"/>
                <w:szCs w:val="21"/>
                <w:u w:val="none"/>
                <w:lang w:val="en-US" w:eastAsia="zh-CN"/>
              </w:rPr>
              <w:fldChar w:fldCharType="begin"/>
            </w:r>
            <w:r>
              <w:rPr>
                <w:b w:val="0"/>
                <w:bCs w:val="0"/>
                <w:szCs w:val="21"/>
                <w:u w:val="none"/>
                <w:lang w:val="en-US" w:eastAsia="zh-CN"/>
              </w:rPr>
              <w:instrText xml:space="preserve"> </w:instrText>
            </w:r>
            <w:r>
              <w:rPr>
                <w:rFonts w:hint="eastAsia"/>
                <w:b w:val="0"/>
                <w:bCs w:val="0"/>
                <w:szCs w:val="21"/>
                <w:u w:val="none"/>
                <w:lang w:val="en-US" w:eastAsia="zh-CN"/>
              </w:rPr>
              <w:instrText xml:space="preserve">= 2 \* GB3</w:instrText>
            </w:r>
            <w:r>
              <w:rPr>
                <w:b w:val="0"/>
                <w:bCs w:val="0"/>
                <w:szCs w:val="21"/>
                <w:u w:val="none"/>
                <w:lang w:val="en-US" w:eastAsia="zh-CN"/>
              </w:rPr>
              <w:instrText xml:space="preserve"> </w:instrText>
            </w:r>
            <w:r>
              <w:rPr>
                <w:b w:val="0"/>
                <w:bCs w:val="0"/>
                <w:szCs w:val="21"/>
                <w:u w:val="none"/>
                <w:lang w:val="en-US" w:eastAsia="zh-CN"/>
              </w:rPr>
              <w:fldChar w:fldCharType="separate"/>
            </w:r>
            <w:r>
              <w:rPr>
                <w:rFonts w:hint="eastAsia"/>
                <w:b w:val="0"/>
                <w:bCs w:val="0"/>
                <w:szCs w:val="21"/>
                <w:u w:val="none"/>
                <w:lang w:val="en-US" w:eastAsia="zh-CN"/>
              </w:rPr>
              <w:t>②</w:t>
            </w:r>
            <w:r>
              <w:rPr>
                <w:b w:val="0"/>
                <w:bCs w:val="0"/>
                <w:szCs w:val="21"/>
                <w:u w:val="none"/>
                <w:lang w:val="en-US" w:eastAsia="zh-CN"/>
              </w:rPr>
              <w:fldChar w:fldCharType="end"/>
            </w:r>
            <w:r>
              <w:rPr>
                <w:b w:val="0"/>
                <w:bCs w:val="0"/>
                <w:szCs w:val="21"/>
                <w:u w:val="none"/>
                <w:lang w:val="en-US" w:eastAsia="zh-CN"/>
              </w:rPr>
              <w:t>厂区内配备消防用品、个人防护用品等应急物资；</w:t>
            </w:r>
            <w:r>
              <w:rPr>
                <w:b w:val="0"/>
                <w:bCs w:val="0"/>
                <w:szCs w:val="21"/>
                <w:u w:val="none"/>
                <w:lang w:val="en-US" w:eastAsia="zh-CN"/>
              </w:rPr>
              <w:fldChar w:fldCharType="begin"/>
            </w:r>
            <w:r>
              <w:rPr>
                <w:b w:val="0"/>
                <w:bCs w:val="0"/>
                <w:szCs w:val="21"/>
                <w:u w:val="none"/>
                <w:lang w:val="en-US" w:eastAsia="zh-CN"/>
              </w:rPr>
              <w:instrText xml:space="preserve"> </w:instrText>
            </w:r>
            <w:r>
              <w:rPr>
                <w:rFonts w:hint="eastAsia"/>
                <w:b w:val="0"/>
                <w:bCs w:val="0"/>
                <w:szCs w:val="21"/>
                <w:u w:val="none"/>
                <w:lang w:val="en-US" w:eastAsia="zh-CN"/>
              </w:rPr>
              <w:instrText xml:space="preserve">= 3 \* GB3</w:instrText>
            </w:r>
            <w:r>
              <w:rPr>
                <w:b w:val="0"/>
                <w:bCs w:val="0"/>
                <w:szCs w:val="21"/>
                <w:u w:val="none"/>
                <w:lang w:val="en-US" w:eastAsia="zh-CN"/>
              </w:rPr>
              <w:instrText xml:space="preserve"> </w:instrText>
            </w:r>
            <w:r>
              <w:rPr>
                <w:b w:val="0"/>
                <w:bCs w:val="0"/>
                <w:szCs w:val="21"/>
                <w:u w:val="none"/>
                <w:lang w:val="en-US" w:eastAsia="zh-CN"/>
              </w:rPr>
              <w:fldChar w:fldCharType="separate"/>
            </w:r>
            <w:r>
              <w:rPr>
                <w:rFonts w:hint="eastAsia"/>
                <w:b w:val="0"/>
                <w:bCs w:val="0"/>
                <w:szCs w:val="21"/>
                <w:u w:val="none"/>
                <w:lang w:val="en-US" w:eastAsia="zh-CN"/>
              </w:rPr>
              <w:t>③</w:t>
            </w:r>
            <w:r>
              <w:rPr>
                <w:b w:val="0"/>
                <w:bCs w:val="0"/>
                <w:szCs w:val="21"/>
                <w:u w:val="none"/>
                <w:lang w:val="en-US" w:eastAsia="zh-CN"/>
              </w:rPr>
              <w:fldChar w:fldCharType="end"/>
            </w:r>
            <w:r>
              <w:rPr>
                <w:b w:val="0"/>
                <w:bCs w:val="0"/>
                <w:szCs w:val="21"/>
                <w:u w:val="none"/>
                <w:lang w:val="en-US" w:eastAsia="zh-CN"/>
              </w:rPr>
              <w:t>定期开展职工安全教育，普及、强化安全知识、操作规范，防范事故发生；</w:t>
            </w:r>
            <w:r>
              <w:rPr>
                <w:b w:val="0"/>
                <w:bCs w:val="0"/>
                <w:szCs w:val="21"/>
                <w:u w:val="none"/>
                <w:lang w:val="en-US" w:eastAsia="zh-CN"/>
              </w:rPr>
              <w:fldChar w:fldCharType="begin"/>
            </w:r>
            <w:r>
              <w:rPr>
                <w:b w:val="0"/>
                <w:bCs w:val="0"/>
                <w:szCs w:val="21"/>
                <w:u w:val="none"/>
                <w:lang w:val="en-US" w:eastAsia="zh-CN"/>
              </w:rPr>
              <w:instrText xml:space="preserve"> </w:instrText>
            </w:r>
            <w:r>
              <w:rPr>
                <w:rFonts w:hint="eastAsia"/>
                <w:b w:val="0"/>
                <w:bCs w:val="0"/>
                <w:szCs w:val="21"/>
                <w:u w:val="none"/>
                <w:lang w:val="en-US" w:eastAsia="zh-CN"/>
              </w:rPr>
              <w:instrText xml:space="preserve">= 4 \* GB3</w:instrText>
            </w:r>
            <w:r>
              <w:rPr>
                <w:b w:val="0"/>
                <w:bCs w:val="0"/>
                <w:szCs w:val="21"/>
                <w:u w:val="none"/>
                <w:lang w:val="en-US" w:eastAsia="zh-CN"/>
              </w:rPr>
              <w:instrText xml:space="preserve"> </w:instrText>
            </w:r>
            <w:r>
              <w:rPr>
                <w:b w:val="0"/>
                <w:bCs w:val="0"/>
                <w:szCs w:val="21"/>
                <w:u w:val="none"/>
                <w:lang w:val="en-US" w:eastAsia="zh-CN"/>
              </w:rPr>
              <w:fldChar w:fldCharType="separate"/>
            </w:r>
            <w:r>
              <w:rPr>
                <w:rFonts w:hint="eastAsia"/>
                <w:b w:val="0"/>
                <w:bCs w:val="0"/>
                <w:szCs w:val="21"/>
                <w:u w:val="none"/>
                <w:lang w:val="en-US" w:eastAsia="zh-CN"/>
              </w:rPr>
              <w:t>④</w:t>
            </w:r>
            <w:r>
              <w:rPr>
                <w:b w:val="0"/>
                <w:bCs w:val="0"/>
                <w:szCs w:val="21"/>
                <w:u w:val="none"/>
                <w:lang w:val="en-US" w:eastAsia="zh-CN"/>
              </w:rPr>
              <w:fldChar w:fldCharType="end"/>
            </w:r>
            <w:r>
              <w:rPr>
                <w:b w:val="0"/>
                <w:bCs w:val="0"/>
                <w:szCs w:val="21"/>
                <w:u w:val="none"/>
                <w:lang w:val="en-US" w:eastAsia="zh-CN"/>
              </w:rPr>
              <w:t>企业制定环境保护管理制度，并对相关人员进行定期培训</w:t>
            </w:r>
            <w:r>
              <w:rPr>
                <w:rFonts w:hint="eastAsia"/>
                <w:b w:val="0"/>
                <w:bCs w:val="0"/>
                <w:szCs w:val="21"/>
                <w:u w:val="none"/>
                <w:lang w:val="en-US" w:eastAsia="zh-CN"/>
              </w:rPr>
              <w:t>；</w:t>
            </w:r>
            <w:r>
              <w:rPr>
                <w:b w:val="0"/>
                <w:bCs w:val="0"/>
                <w:szCs w:val="21"/>
                <w:u w:val="none"/>
                <w:lang w:val="en-US" w:eastAsia="zh-CN"/>
              </w:rPr>
              <w:fldChar w:fldCharType="begin"/>
            </w:r>
            <w:r>
              <w:rPr>
                <w:b w:val="0"/>
                <w:bCs w:val="0"/>
                <w:szCs w:val="21"/>
                <w:u w:val="none"/>
                <w:lang w:val="en-US" w:eastAsia="zh-CN"/>
              </w:rPr>
              <w:instrText xml:space="preserve"> </w:instrText>
            </w:r>
            <w:r>
              <w:rPr>
                <w:rFonts w:hint="eastAsia"/>
                <w:b w:val="0"/>
                <w:bCs w:val="0"/>
                <w:szCs w:val="21"/>
                <w:u w:val="none"/>
                <w:lang w:val="en-US" w:eastAsia="zh-CN"/>
              </w:rPr>
              <w:instrText xml:space="preserve">= 5 \* GB3</w:instrText>
            </w:r>
            <w:r>
              <w:rPr>
                <w:b w:val="0"/>
                <w:bCs w:val="0"/>
                <w:szCs w:val="21"/>
                <w:u w:val="none"/>
                <w:lang w:val="en-US" w:eastAsia="zh-CN"/>
              </w:rPr>
              <w:instrText xml:space="preserve"> </w:instrText>
            </w:r>
            <w:r>
              <w:rPr>
                <w:b w:val="0"/>
                <w:bCs w:val="0"/>
                <w:szCs w:val="21"/>
                <w:u w:val="none"/>
                <w:lang w:val="en-US" w:eastAsia="zh-CN"/>
              </w:rPr>
              <w:fldChar w:fldCharType="separate"/>
            </w:r>
            <w:r>
              <w:rPr>
                <w:rFonts w:hint="eastAsia"/>
                <w:b w:val="0"/>
                <w:bCs w:val="0"/>
                <w:szCs w:val="21"/>
                <w:u w:val="none"/>
                <w:lang w:val="en-US" w:eastAsia="zh-CN"/>
              </w:rPr>
              <w:t>⑤</w:t>
            </w:r>
            <w:r>
              <w:rPr>
                <w:b w:val="0"/>
                <w:bCs w:val="0"/>
                <w:szCs w:val="21"/>
                <w:u w:val="none"/>
                <w:lang w:val="en-US" w:eastAsia="zh-CN"/>
              </w:rPr>
              <w:fldChar w:fldCharType="end"/>
            </w:r>
            <w:r>
              <w:rPr>
                <w:b w:val="0"/>
                <w:bCs w:val="0"/>
                <w:szCs w:val="21"/>
                <w:u w:val="none"/>
                <w:lang w:val="en-US" w:eastAsia="zh-CN"/>
              </w:rPr>
              <w:t>针对不同的事故情形制定相应的应急处置方案，并对相关人员进行应急培训和演练。一旦发生突发环境事件，应迅速采取措施，避免扩大环境影响。</w:t>
            </w:r>
            <w:r>
              <w:rPr>
                <w:b w:val="0"/>
                <w:bCs w:val="0"/>
                <w:szCs w:val="21"/>
                <w:u w:val="none"/>
                <w:lang w:val="en-US" w:eastAsia="zh-CN"/>
              </w:rPr>
              <w:fldChar w:fldCharType="begin"/>
            </w:r>
            <w:r>
              <w:rPr>
                <w:b w:val="0"/>
                <w:bCs w:val="0"/>
                <w:szCs w:val="21"/>
                <w:u w:val="none"/>
                <w:lang w:val="en-US" w:eastAsia="zh-CN"/>
              </w:rPr>
              <w:instrText xml:space="preserve"> </w:instrText>
            </w:r>
            <w:r>
              <w:rPr>
                <w:rFonts w:hint="eastAsia"/>
                <w:b w:val="0"/>
                <w:bCs w:val="0"/>
                <w:szCs w:val="21"/>
                <w:u w:val="none"/>
                <w:lang w:val="en-US" w:eastAsia="zh-CN"/>
              </w:rPr>
              <w:instrText xml:space="preserve">= 6 \* GB3</w:instrText>
            </w:r>
            <w:r>
              <w:rPr>
                <w:b w:val="0"/>
                <w:bCs w:val="0"/>
                <w:szCs w:val="21"/>
                <w:u w:val="none"/>
                <w:lang w:val="en-US" w:eastAsia="zh-CN"/>
              </w:rPr>
              <w:instrText xml:space="preserve"> </w:instrText>
            </w:r>
            <w:r>
              <w:rPr>
                <w:b w:val="0"/>
                <w:bCs w:val="0"/>
                <w:szCs w:val="21"/>
                <w:u w:val="none"/>
                <w:lang w:val="en-US" w:eastAsia="zh-CN"/>
              </w:rPr>
              <w:fldChar w:fldCharType="separate"/>
            </w:r>
            <w:r>
              <w:rPr>
                <w:rFonts w:hint="eastAsia"/>
                <w:b w:val="0"/>
                <w:bCs w:val="0"/>
                <w:szCs w:val="21"/>
                <w:u w:val="none"/>
                <w:lang w:val="en-US" w:eastAsia="zh-CN"/>
              </w:rPr>
              <w:t>⑥</w:t>
            </w:r>
            <w:r>
              <w:rPr>
                <w:b w:val="0"/>
                <w:bCs w:val="0"/>
                <w:szCs w:val="21"/>
                <w:u w:val="none"/>
                <w:lang w:val="en-US" w:eastAsia="zh-CN"/>
              </w:rPr>
              <w:fldChar w:fldCharType="end"/>
            </w:r>
            <w:r>
              <w:rPr>
                <w:b w:val="0"/>
                <w:bCs w:val="0"/>
                <w:szCs w:val="21"/>
                <w:u w:val="none"/>
                <w:lang w:val="en-US" w:eastAsia="zh-CN"/>
              </w:rPr>
              <w:t>修订或编制突发环境事件应急预案，定期组织应急培训和演练。</w:t>
            </w:r>
          </w:p>
        </w:tc>
      </w:tr>
      <w:tr w14:paraId="4BA07C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254" w:type="dxa"/>
            <w:vAlign w:val="center"/>
          </w:tcPr>
          <w:p w14:paraId="7D51F3EB">
            <w:pPr>
              <w:adjustRightInd w:val="0"/>
              <w:snapToGrid w:val="0"/>
              <w:jc w:val="center"/>
              <w:rPr>
                <w:spacing w:val="-8"/>
                <w:szCs w:val="21"/>
              </w:rPr>
            </w:pPr>
            <w:r>
              <w:rPr>
                <w:spacing w:val="-8"/>
                <w:szCs w:val="21"/>
              </w:rPr>
              <w:t>其他环境</w:t>
            </w:r>
          </w:p>
          <w:p w14:paraId="75B7EF2B">
            <w:pPr>
              <w:adjustRightInd w:val="0"/>
              <w:snapToGrid w:val="0"/>
              <w:jc w:val="center"/>
              <w:rPr>
                <w:spacing w:val="-8"/>
                <w:szCs w:val="21"/>
              </w:rPr>
            </w:pPr>
            <w:r>
              <w:rPr>
                <w:spacing w:val="-8"/>
                <w:szCs w:val="21"/>
              </w:rPr>
              <w:t>管理要求</w:t>
            </w:r>
          </w:p>
        </w:tc>
        <w:tc>
          <w:tcPr>
            <w:tcW w:w="7546" w:type="dxa"/>
            <w:gridSpan w:val="4"/>
            <w:vAlign w:val="center"/>
          </w:tcPr>
          <w:p w14:paraId="76A172B3">
            <w:pPr>
              <w:adjustRightInd w:val="0"/>
              <w:snapToGrid w:val="0"/>
              <w:rPr>
                <w:szCs w:val="21"/>
              </w:rPr>
            </w:pPr>
            <w:r>
              <w:rPr>
                <w:szCs w:val="21"/>
              </w:rPr>
              <w:t>（</w:t>
            </w:r>
            <w:r>
              <w:rPr>
                <w:rFonts w:hint="eastAsia"/>
                <w:szCs w:val="21"/>
              </w:rPr>
              <w:t>1）</w:t>
            </w:r>
            <w:r>
              <w:rPr>
                <w:szCs w:val="21"/>
              </w:rPr>
              <w:t>严格落实项目竣工环境保护“三同时”管理要求；</w:t>
            </w:r>
          </w:p>
          <w:p w14:paraId="2934B4E0">
            <w:pPr>
              <w:adjustRightInd w:val="0"/>
              <w:snapToGrid w:val="0"/>
              <w:rPr>
                <w:szCs w:val="21"/>
              </w:rPr>
            </w:pPr>
            <w:r>
              <w:rPr>
                <w:rFonts w:hint="eastAsia"/>
                <w:szCs w:val="21"/>
              </w:rPr>
              <w:t>（2）</w:t>
            </w:r>
            <w:r>
              <w:rPr>
                <w:szCs w:val="21"/>
              </w:rPr>
              <w:t>投运前办理排污许可相关手续，按要求开展自行监测；</w:t>
            </w:r>
          </w:p>
          <w:p w14:paraId="508295F3">
            <w:pPr>
              <w:adjustRightInd w:val="0"/>
              <w:snapToGrid w:val="0"/>
              <w:rPr>
                <w:szCs w:val="21"/>
              </w:rPr>
            </w:pPr>
            <w:r>
              <w:rPr>
                <w:rFonts w:hint="eastAsia"/>
                <w:szCs w:val="21"/>
              </w:rPr>
              <w:t>（3）</w:t>
            </w:r>
            <w:r>
              <w:rPr>
                <w:szCs w:val="21"/>
              </w:rPr>
              <w:t>规范化排污口设置，成立环保机构，建立环保管理制度，并落实到人；</w:t>
            </w:r>
          </w:p>
          <w:p w14:paraId="59711271">
            <w:pPr>
              <w:adjustRightInd w:val="0"/>
              <w:snapToGrid w:val="0"/>
              <w:rPr>
                <w:szCs w:val="21"/>
              </w:rPr>
            </w:pPr>
            <w:r>
              <w:rPr>
                <w:rFonts w:hint="eastAsia"/>
                <w:szCs w:val="21"/>
              </w:rPr>
              <w:t>（4）</w:t>
            </w:r>
            <w:r>
              <w:rPr>
                <w:szCs w:val="21"/>
              </w:rPr>
              <w:t>积极响应最新的污染防治政策及环保管理要求</w:t>
            </w:r>
            <w:r>
              <w:rPr>
                <w:rFonts w:hint="eastAsia"/>
                <w:szCs w:val="21"/>
              </w:rPr>
              <w:t>，</w:t>
            </w:r>
            <w:r>
              <w:rPr>
                <w:szCs w:val="21"/>
              </w:rPr>
              <w:t>按照</w:t>
            </w:r>
            <w:r>
              <w:t>安环攻坚办〔2019〕196号</w:t>
            </w:r>
            <w:r>
              <w:rPr>
                <w:rFonts w:hint="eastAsia"/>
              </w:rPr>
              <w:t>、相应</w:t>
            </w:r>
            <w:r>
              <w:t>行业绩效指标要求，加强</w:t>
            </w:r>
            <w:r>
              <w:rPr>
                <w:rFonts w:hint="eastAsia"/>
              </w:rPr>
              <w:t>污染治理</w:t>
            </w:r>
            <w:r>
              <w:t>及排放</w:t>
            </w:r>
            <w:r>
              <w:rPr>
                <w:rFonts w:hint="eastAsia"/>
              </w:rPr>
              <w:t>限值</w:t>
            </w:r>
            <w:r>
              <w:t>管理</w:t>
            </w:r>
            <w:r>
              <w:rPr>
                <w:szCs w:val="21"/>
              </w:rPr>
              <w:t>。</w:t>
            </w:r>
          </w:p>
        </w:tc>
      </w:tr>
    </w:tbl>
    <w:p w14:paraId="0509B6C1">
      <w:pPr>
        <w:pStyle w:val="263"/>
        <w:spacing w:before="120" w:after="120"/>
        <w:rPr>
          <w:snapToGrid w:val="0"/>
        </w:rPr>
      </w:pPr>
      <w:r>
        <w:rPr>
          <w:snapToGrid w:val="0"/>
        </w:rPr>
        <w:br w:type="page"/>
      </w:r>
      <w:bookmarkStart w:id="58" w:name="_Toc197848450"/>
      <w:r>
        <w:rPr>
          <w:snapToGrid w:val="0"/>
        </w:rPr>
        <w:t>六、结论</w:t>
      </w:r>
      <w:bookmarkEnd w:id="58"/>
    </w:p>
    <w:tbl>
      <w:tblPr>
        <w:tblStyle w:val="4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2D3B9C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48DF3B5F">
            <w:pPr>
              <w:adjustRightInd w:val="0"/>
              <w:snapToGrid w:val="0"/>
              <w:spacing w:line="520" w:lineRule="exact"/>
              <w:ind w:firstLine="482" w:firstLineChars="200"/>
              <w:rPr>
                <w:b/>
                <w:bCs/>
                <w:sz w:val="24"/>
              </w:rPr>
            </w:pPr>
            <w:r>
              <w:rPr>
                <w:b/>
                <w:sz w:val="24"/>
              </w:rPr>
              <w:t>综上所述</w:t>
            </w:r>
            <w:r>
              <w:rPr>
                <w:rFonts w:hint="eastAsia"/>
                <w:b/>
                <w:sz w:val="24"/>
              </w:rPr>
              <w:t>，</w:t>
            </w:r>
            <w:r>
              <w:rPr>
                <w:rFonts w:hint="eastAsia"/>
                <w:b/>
                <w:sz w:val="24"/>
                <w:lang w:val="en-US" w:eastAsia="zh-CN"/>
              </w:rPr>
              <w:t>安阳市岳家酱食品有限公司豆制品深加工</w:t>
            </w:r>
            <w:r>
              <w:rPr>
                <w:rFonts w:hint="eastAsia"/>
                <w:b/>
                <w:sz w:val="24"/>
              </w:rPr>
              <w:t>项目</w:t>
            </w:r>
            <w:r>
              <w:rPr>
                <w:rFonts w:hint="eastAsia"/>
                <w:b/>
                <w:bCs/>
                <w:sz w:val="24"/>
              </w:rPr>
              <w:t>符合</w:t>
            </w:r>
            <w:r>
              <w:rPr>
                <w:rFonts w:hint="default" w:ascii="Times New Roman" w:hAnsi="Times New Roman" w:eastAsia="Times New Roman" w:cs="Times New Roman"/>
                <w:b/>
                <w:bCs/>
                <w:color w:val="000000" w:themeColor="text1"/>
                <w:sz w:val="24"/>
                <w:highlight w:val="none"/>
                <w14:textFill>
                  <w14:solidFill>
                    <w14:schemeClr w14:val="tx1"/>
                  </w14:solidFill>
                </w14:textFill>
              </w:rPr>
              <w:t>当前国家产业政策和</w:t>
            </w:r>
            <w:r>
              <w:rPr>
                <w:rFonts w:hint="eastAsia" w:ascii="Times New Roman" w:hAnsi="Times New Roman" w:eastAsia="Times New Roman" w:cs="Times New Roman"/>
                <w:b/>
                <w:bCs/>
                <w:color w:val="000000" w:themeColor="text1"/>
                <w:sz w:val="24"/>
                <w:highlight w:val="none"/>
                <w:lang w:eastAsia="zh-CN"/>
                <w14:textFill>
                  <w14:solidFill>
                    <w14:schemeClr w14:val="tx1"/>
                  </w14:solidFill>
                </w14:textFill>
              </w:rPr>
              <w:t>当地</w:t>
            </w:r>
            <w:r>
              <w:rPr>
                <w:rFonts w:hint="default" w:ascii="Times New Roman" w:hAnsi="Times New Roman" w:eastAsia="Times New Roman" w:cs="Times New Roman"/>
                <w:b/>
                <w:bCs/>
                <w:color w:val="000000" w:themeColor="text1"/>
                <w:sz w:val="24"/>
                <w:highlight w:val="none"/>
                <w14:textFill>
                  <w14:solidFill>
                    <w14:schemeClr w14:val="tx1"/>
                  </w14:solidFill>
                </w14:textFill>
              </w:rPr>
              <w:t>规划要求，</w:t>
            </w:r>
            <w:r>
              <w:rPr>
                <w:rFonts w:hint="eastAsia"/>
                <w:b/>
                <w:bCs/>
                <w:sz w:val="24"/>
              </w:rPr>
              <w:t>项目选址可行。在采取评价提出的污染防治措施以及充分落实评价建议的基础上，项目产生的污染物实现达标排放，对周围环境影响较小，工程建设不涉及自然保护区、世界自然和文化遗产地、风景名胜区、森林公园等环境敏感区，不存在环境制约因素，从环境保护角度分析，工程建设是可行的。</w:t>
            </w:r>
          </w:p>
          <w:p w14:paraId="15989DE4">
            <w:pPr>
              <w:pStyle w:val="100"/>
              <w:snapToGrid w:val="0"/>
            </w:pPr>
          </w:p>
        </w:tc>
      </w:tr>
    </w:tbl>
    <w:p w14:paraId="19715489">
      <w:pPr>
        <w:adjustRightInd w:val="0"/>
        <w:snapToGrid w:val="0"/>
        <w:sectPr>
          <w:pgSz w:w="11906" w:h="16838"/>
          <w:pgMar w:top="1701" w:right="1531" w:bottom="1701" w:left="1531" w:header="851" w:footer="851" w:gutter="0"/>
          <w:cols w:space="720" w:num="1"/>
          <w:docGrid w:linePitch="312" w:charSpace="0"/>
        </w:sectPr>
      </w:pPr>
    </w:p>
    <w:p w14:paraId="4F72EE7E">
      <w:pPr>
        <w:pStyle w:val="42"/>
        <w:adjustRightInd w:val="0"/>
        <w:snapToGrid w:val="0"/>
        <w:spacing w:before="0" w:beforeAutospacing="0" w:after="0" w:afterAutospacing="0"/>
        <w:outlineLvl w:val="0"/>
        <w:rPr>
          <w:rFonts w:ascii="Times New Roman" w:hAnsi="Times New Roman" w:eastAsia="黑体"/>
          <w:snapToGrid w:val="0"/>
          <w:sz w:val="32"/>
          <w:szCs w:val="32"/>
        </w:rPr>
      </w:pPr>
      <w:bookmarkStart w:id="59" w:name="_Toc197848451"/>
      <w:r>
        <w:rPr>
          <w:rFonts w:ascii="Times New Roman" w:hAnsi="Times New Roman" w:eastAsia="黑体"/>
          <w:snapToGrid w:val="0"/>
          <w:sz w:val="32"/>
          <w:szCs w:val="32"/>
        </w:rPr>
        <w:t>附表</w:t>
      </w:r>
      <w:bookmarkEnd w:id="59"/>
    </w:p>
    <w:p w14:paraId="67DAF941">
      <w:pPr>
        <w:pStyle w:val="42"/>
        <w:adjustRightInd w:val="0"/>
        <w:snapToGrid w:val="0"/>
        <w:spacing w:before="0" w:beforeAutospacing="0" w:after="0" w:afterAutospacing="0"/>
        <w:jc w:val="center"/>
        <w:outlineLvl w:val="0"/>
        <w:rPr>
          <w:rFonts w:ascii="Times New Roman" w:hAnsi="Times New Roman" w:eastAsia="方正小标宋_GBK"/>
          <w:snapToGrid w:val="0"/>
          <w:sz w:val="38"/>
          <w:szCs w:val="38"/>
        </w:rPr>
      </w:pPr>
      <w:bookmarkStart w:id="60" w:name="_Toc197848452"/>
      <w:r>
        <w:rPr>
          <w:rFonts w:ascii="Times New Roman" w:hAnsi="Times New Roman" w:eastAsia="方正小标宋_GBK"/>
          <w:snapToGrid w:val="0"/>
          <w:sz w:val="38"/>
          <w:szCs w:val="38"/>
        </w:rPr>
        <w:t>建设项目污染物排放量汇总表</w:t>
      </w:r>
      <w:bookmarkEnd w:id="60"/>
    </w:p>
    <w:tbl>
      <w:tblPr>
        <w:tblStyle w:val="47"/>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984"/>
        <w:gridCol w:w="1701"/>
        <w:gridCol w:w="1134"/>
        <w:gridCol w:w="1418"/>
        <w:gridCol w:w="1559"/>
        <w:gridCol w:w="1417"/>
        <w:gridCol w:w="1843"/>
        <w:gridCol w:w="1711"/>
      </w:tblGrid>
      <w:tr w14:paraId="58DF04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1" w:type="dxa"/>
            <w:tcBorders>
              <w:tl2br w:val="single" w:color="auto" w:sz="4" w:space="0"/>
            </w:tcBorders>
            <w:tcMar>
              <w:left w:w="28" w:type="dxa"/>
              <w:right w:w="28" w:type="dxa"/>
            </w:tcMar>
            <w:vAlign w:val="center"/>
          </w:tcPr>
          <w:p w14:paraId="60526077">
            <w:pPr>
              <w:pStyle w:val="92"/>
              <w:spacing w:beforeLines="0" w:afterLines="0" w:line="240" w:lineRule="auto"/>
              <w:jc w:val="right"/>
              <w:rPr>
                <w:rFonts w:ascii="Times New Roman"/>
                <w:snapToGrid w:val="0"/>
                <w:spacing w:val="-6"/>
                <w:kern w:val="21"/>
                <w:szCs w:val="21"/>
              </w:rPr>
            </w:pPr>
            <w:r>
              <w:rPr>
                <w:rFonts w:ascii="Times New Roman"/>
                <w:snapToGrid w:val="0"/>
                <w:spacing w:val="-6"/>
                <w:kern w:val="21"/>
                <w:szCs w:val="21"/>
              </w:rPr>
              <w:t>项目</w:t>
            </w:r>
          </w:p>
          <w:p w14:paraId="08921648">
            <w:pPr>
              <w:pStyle w:val="92"/>
              <w:spacing w:beforeLines="0" w:afterLines="0" w:line="240" w:lineRule="auto"/>
              <w:jc w:val="left"/>
              <w:rPr>
                <w:rFonts w:ascii="Times New Roman"/>
                <w:snapToGrid w:val="0"/>
                <w:spacing w:val="-6"/>
                <w:kern w:val="21"/>
                <w:szCs w:val="21"/>
              </w:rPr>
            </w:pPr>
            <w:r>
              <w:rPr>
                <w:rFonts w:ascii="Times New Roman"/>
                <w:snapToGrid w:val="0"/>
                <w:spacing w:val="-6"/>
                <w:kern w:val="21"/>
                <w:szCs w:val="21"/>
              </w:rPr>
              <w:t>分类</w:t>
            </w:r>
          </w:p>
        </w:tc>
        <w:tc>
          <w:tcPr>
            <w:tcW w:w="1984" w:type="dxa"/>
            <w:tcMar>
              <w:left w:w="28" w:type="dxa"/>
              <w:right w:w="28" w:type="dxa"/>
            </w:tcMar>
            <w:vAlign w:val="center"/>
          </w:tcPr>
          <w:p w14:paraId="65D08138">
            <w:pPr>
              <w:pStyle w:val="92"/>
              <w:spacing w:beforeLines="0" w:afterLines="0" w:line="240" w:lineRule="auto"/>
              <w:rPr>
                <w:rFonts w:ascii="Times New Roman"/>
                <w:snapToGrid w:val="0"/>
                <w:spacing w:val="-6"/>
                <w:kern w:val="21"/>
                <w:szCs w:val="21"/>
              </w:rPr>
            </w:pPr>
            <w:r>
              <w:rPr>
                <w:rFonts w:ascii="Times New Roman"/>
                <w:snapToGrid w:val="0"/>
                <w:spacing w:val="-6"/>
                <w:kern w:val="21"/>
                <w:szCs w:val="21"/>
              </w:rPr>
              <w:t>污染物名称</w:t>
            </w:r>
          </w:p>
        </w:tc>
        <w:tc>
          <w:tcPr>
            <w:tcW w:w="1701" w:type="dxa"/>
            <w:tcMar>
              <w:left w:w="28" w:type="dxa"/>
              <w:right w:w="28" w:type="dxa"/>
            </w:tcMar>
            <w:vAlign w:val="center"/>
          </w:tcPr>
          <w:p w14:paraId="3A2A3276">
            <w:pPr>
              <w:pStyle w:val="92"/>
              <w:spacing w:beforeLines="0" w:afterLines="0" w:line="240" w:lineRule="auto"/>
              <w:rPr>
                <w:rFonts w:ascii="Times New Roman"/>
                <w:snapToGrid w:val="0"/>
                <w:spacing w:val="-6"/>
                <w:kern w:val="21"/>
                <w:szCs w:val="21"/>
              </w:rPr>
            </w:pPr>
            <w:r>
              <w:rPr>
                <w:rFonts w:ascii="Times New Roman"/>
                <w:snapToGrid w:val="0"/>
                <w:spacing w:val="-6"/>
                <w:kern w:val="21"/>
                <w:szCs w:val="21"/>
              </w:rPr>
              <w:t>现有工程</w:t>
            </w:r>
          </w:p>
          <w:p w14:paraId="156B7EE6">
            <w:pPr>
              <w:pStyle w:val="92"/>
              <w:spacing w:beforeLines="0" w:afterLines="0" w:line="240" w:lineRule="auto"/>
              <w:rPr>
                <w:rFonts w:ascii="Times New Roman"/>
                <w:snapToGrid w:val="0"/>
                <w:spacing w:val="-6"/>
                <w:kern w:val="21"/>
                <w:szCs w:val="21"/>
              </w:rPr>
            </w:pPr>
            <w:r>
              <w:rPr>
                <w:rFonts w:ascii="Times New Roman"/>
                <w:snapToGrid w:val="0"/>
                <w:spacing w:val="-6"/>
                <w:kern w:val="21"/>
                <w:szCs w:val="21"/>
              </w:rPr>
              <w:t>排放量（固体废物产生量）</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hAnsi="宋体" w:cs="宋体"/>
                <w:kern w:val="2"/>
                <w:szCs w:val="21"/>
              </w:rPr>
              <w:t>①</w:t>
            </w:r>
            <w:r>
              <w:rPr>
                <w:rFonts w:ascii="Times New Roman"/>
                <w:snapToGrid w:val="0"/>
                <w:spacing w:val="-6"/>
                <w:kern w:val="21"/>
                <w:szCs w:val="21"/>
              </w:rPr>
              <w:fldChar w:fldCharType="end"/>
            </w:r>
          </w:p>
        </w:tc>
        <w:tc>
          <w:tcPr>
            <w:tcW w:w="1134" w:type="dxa"/>
            <w:tcMar>
              <w:left w:w="28" w:type="dxa"/>
              <w:right w:w="28" w:type="dxa"/>
            </w:tcMar>
            <w:vAlign w:val="center"/>
          </w:tcPr>
          <w:p w14:paraId="59564338">
            <w:pPr>
              <w:pStyle w:val="92"/>
              <w:spacing w:beforeLines="0" w:afterLines="0" w:line="240" w:lineRule="auto"/>
              <w:rPr>
                <w:rFonts w:ascii="Times New Roman"/>
                <w:snapToGrid w:val="0"/>
                <w:spacing w:val="-6"/>
                <w:kern w:val="21"/>
                <w:szCs w:val="21"/>
              </w:rPr>
            </w:pPr>
            <w:r>
              <w:rPr>
                <w:rFonts w:ascii="Times New Roman"/>
                <w:snapToGrid w:val="0"/>
                <w:spacing w:val="-6"/>
                <w:kern w:val="21"/>
                <w:szCs w:val="21"/>
              </w:rPr>
              <w:t>现有工程</w:t>
            </w:r>
          </w:p>
          <w:p w14:paraId="4CF1F1EC">
            <w:pPr>
              <w:pStyle w:val="92"/>
              <w:spacing w:beforeLines="0" w:afterLines="0" w:line="240" w:lineRule="auto"/>
              <w:rPr>
                <w:rFonts w:ascii="Times New Roman"/>
                <w:snapToGrid w:val="0"/>
                <w:spacing w:val="-6"/>
                <w:kern w:val="21"/>
                <w:szCs w:val="21"/>
              </w:rPr>
            </w:pPr>
            <w:r>
              <w:rPr>
                <w:rFonts w:ascii="Times New Roman"/>
                <w:snapToGrid w:val="0"/>
                <w:spacing w:val="-6"/>
                <w:kern w:val="21"/>
                <w:szCs w:val="21"/>
              </w:rPr>
              <w:t>许可排放量</w:t>
            </w:r>
          </w:p>
          <w:p w14:paraId="751D9221">
            <w:pPr>
              <w:pStyle w:val="92"/>
              <w:spacing w:beforeLines="0" w:afterLines="0" w:line="240" w:lineRule="auto"/>
              <w:rPr>
                <w:rFonts w:ascii="Times New Roman"/>
                <w:snapToGrid w:val="0"/>
                <w:spacing w:val="-6"/>
                <w:kern w:val="21"/>
                <w:szCs w:val="21"/>
              </w:rPr>
            </w:pPr>
            <w:r>
              <w:rPr>
                <w:rFonts w:ascii="Times New Roman"/>
                <w:snapToGrid w:val="0"/>
                <w:spacing w:val="-6"/>
                <w:kern w:val="21"/>
                <w:szCs w:val="21"/>
              </w:rPr>
              <w:fldChar w:fldCharType="begin"/>
            </w:r>
            <w:r>
              <w:rPr>
                <w:rFonts w:ascii="Times New Roman"/>
                <w:snapToGrid w:val="0"/>
                <w:spacing w:val="-6"/>
                <w:kern w:val="21"/>
                <w:szCs w:val="21"/>
              </w:rPr>
              <w:instrText xml:space="preserve"> = 2 \* GB3 \* MERGEFORMAT </w:instrText>
            </w:r>
            <w:r>
              <w:rPr>
                <w:rFonts w:ascii="Times New Roman"/>
                <w:snapToGrid w:val="0"/>
                <w:spacing w:val="-6"/>
                <w:kern w:val="21"/>
                <w:szCs w:val="21"/>
              </w:rPr>
              <w:fldChar w:fldCharType="separate"/>
            </w:r>
            <w:r>
              <w:rPr>
                <w:rFonts w:hint="eastAsia" w:hAnsi="宋体" w:cs="宋体"/>
                <w:snapToGrid w:val="0"/>
                <w:spacing w:val="-6"/>
                <w:kern w:val="21"/>
                <w:szCs w:val="21"/>
              </w:rPr>
              <w:t>②</w:t>
            </w:r>
            <w:r>
              <w:rPr>
                <w:rFonts w:ascii="Times New Roman"/>
                <w:snapToGrid w:val="0"/>
                <w:spacing w:val="-6"/>
                <w:kern w:val="21"/>
                <w:szCs w:val="21"/>
              </w:rPr>
              <w:fldChar w:fldCharType="end"/>
            </w:r>
          </w:p>
        </w:tc>
        <w:tc>
          <w:tcPr>
            <w:tcW w:w="1418" w:type="dxa"/>
            <w:tcMar>
              <w:left w:w="28" w:type="dxa"/>
              <w:right w:w="28" w:type="dxa"/>
            </w:tcMar>
            <w:vAlign w:val="center"/>
          </w:tcPr>
          <w:p w14:paraId="6BD318BE">
            <w:pPr>
              <w:pStyle w:val="92"/>
              <w:spacing w:beforeLines="0" w:afterLines="0" w:line="240" w:lineRule="auto"/>
              <w:rPr>
                <w:rFonts w:ascii="Times New Roman"/>
                <w:snapToGrid w:val="0"/>
                <w:spacing w:val="-6"/>
                <w:kern w:val="21"/>
                <w:szCs w:val="21"/>
              </w:rPr>
            </w:pPr>
            <w:r>
              <w:rPr>
                <w:rFonts w:ascii="Times New Roman"/>
                <w:snapToGrid w:val="0"/>
                <w:spacing w:val="-6"/>
                <w:kern w:val="21"/>
                <w:szCs w:val="21"/>
              </w:rPr>
              <w:t>在建工程</w:t>
            </w:r>
          </w:p>
          <w:p w14:paraId="634AB1CD">
            <w:pPr>
              <w:pStyle w:val="92"/>
              <w:spacing w:beforeLines="0" w:afterLines="0" w:line="240" w:lineRule="auto"/>
              <w:rPr>
                <w:rFonts w:ascii="Times New Roman"/>
                <w:snapToGrid w:val="0"/>
                <w:spacing w:val="-6"/>
                <w:kern w:val="21"/>
                <w:szCs w:val="21"/>
              </w:rPr>
            </w:pPr>
            <w:r>
              <w:rPr>
                <w:rFonts w:ascii="Times New Roman"/>
                <w:snapToGrid w:val="0"/>
                <w:spacing w:val="-6"/>
                <w:kern w:val="21"/>
                <w:szCs w:val="21"/>
              </w:rPr>
              <w:t>排放量（固体废物产生量）</w:t>
            </w:r>
            <w:r>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hint="eastAsia" w:hAnsi="宋体" w:cs="宋体"/>
                <w:kern w:val="2"/>
                <w:szCs w:val="21"/>
              </w:rPr>
              <w:t>③</w:t>
            </w:r>
            <w:r>
              <w:rPr>
                <w:rFonts w:ascii="Times New Roman"/>
                <w:snapToGrid w:val="0"/>
                <w:spacing w:val="-6"/>
                <w:kern w:val="21"/>
                <w:szCs w:val="21"/>
              </w:rPr>
              <w:fldChar w:fldCharType="end"/>
            </w:r>
          </w:p>
        </w:tc>
        <w:tc>
          <w:tcPr>
            <w:tcW w:w="1559" w:type="dxa"/>
            <w:tcMar>
              <w:left w:w="28" w:type="dxa"/>
              <w:right w:w="28" w:type="dxa"/>
            </w:tcMar>
            <w:vAlign w:val="center"/>
          </w:tcPr>
          <w:p w14:paraId="00D21D98">
            <w:pPr>
              <w:pStyle w:val="92"/>
              <w:spacing w:beforeLines="0" w:afterLines="0" w:line="240" w:lineRule="auto"/>
              <w:rPr>
                <w:rFonts w:ascii="Times New Roman"/>
                <w:snapToGrid w:val="0"/>
                <w:spacing w:val="-6"/>
                <w:kern w:val="21"/>
                <w:szCs w:val="21"/>
              </w:rPr>
            </w:pPr>
            <w:r>
              <w:rPr>
                <w:rFonts w:ascii="Times New Roman"/>
                <w:snapToGrid w:val="0"/>
                <w:spacing w:val="-6"/>
                <w:kern w:val="21"/>
                <w:szCs w:val="21"/>
              </w:rPr>
              <w:t>本项目</w:t>
            </w:r>
          </w:p>
          <w:p w14:paraId="09301A6F">
            <w:pPr>
              <w:pStyle w:val="92"/>
              <w:spacing w:beforeLines="0" w:afterLines="0" w:line="240" w:lineRule="auto"/>
              <w:rPr>
                <w:rFonts w:ascii="Times New Roman"/>
                <w:snapToGrid w:val="0"/>
                <w:spacing w:val="-6"/>
                <w:kern w:val="21"/>
                <w:szCs w:val="21"/>
              </w:rPr>
            </w:pPr>
            <w:r>
              <w:rPr>
                <w:rFonts w:ascii="Times New Roman"/>
                <w:snapToGrid w:val="0"/>
                <w:spacing w:val="-6"/>
                <w:kern w:val="21"/>
                <w:szCs w:val="21"/>
              </w:rPr>
              <w:t>排放量（固体废物产生量）</w:t>
            </w:r>
            <w:r>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hint="eastAsia" w:hAnsi="宋体" w:cs="宋体"/>
                <w:kern w:val="2"/>
                <w:szCs w:val="21"/>
              </w:rPr>
              <w:t>④</w:t>
            </w:r>
            <w:r>
              <w:rPr>
                <w:rFonts w:ascii="Times New Roman"/>
                <w:snapToGrid w:val="0"/>
                <w:spacing w:val="-6"/>
                <w:kern w:val="21"/>
                <w:szCs w:val="21"/>
              </w:rPr>
              <w:fldChar w:fldCharType="end"/>
            </w:r>
          </w:p>
        </w:tc>
        <w:tc>
          <w:tcPr>
            <w:tcW w:w="1417" w:type="dxa"/>
            <w:tcMar>
              <w:left w:w="28" w:type="dxa"/>
              <w:right w:w="28" w:type="dxa"/>
            </w:tcMar>
            <w:vAlign w:val="center"/>
          </w:tcPr>
          <w:p w14:paraId="6BC0B68B">
            <w:pPr>
              <w:pStyle w:val="92"/>
              <w:spacing w:beforeLines="0" w:afterLines="0" w:line="240" w:lineRule="auto"/>
              <w:rPr>
                <w:rFonts w:ascii="Times New Roman"/>
                <w:snapToGrid w:val="0"/>
                <w:spacing w:val="-16"/>
                <w:kern w:val="21"/>
                <w:szCs w:val="21"/>
              </w:rPr>
            </w:pPr>
            <w:r>
              <w:rPr>
                <w:rFonts w:ascii="Times New Roman"/>
                <w:snapToGrid w:val="0"/>
                <w:spacing w:val="-16"/>
                <w:kern w:val="21"/>
                <w:szCs w:val="21"/>
              </w:rPr>
              <w:t>以新带老削减量</w:t>
            </w:r>
          </w:p>
          <w:p w14:paraId="2C34D7AB">
            <w:pPr>
              <w:pStyle w:val="92"/>
              <w:spacing w:beforeLines="0" w:afterLines="0" w:line="240" w:lineRule="auto"/>
              <w:rPr>
                <w:rFonts w:ascii="Times New Roman"/>
                <w:snapToGrid w:val="0"/>
                <w:spacing w:val="-16"/>
                <w:kern w:val="21"/>
                <w:szCs w:val="21"/>
              </w:rPr>
            </w:pPr>
            <w:r>
              <w:rPr>
                <w:rFonts w:ascii="Times New Roman"/>
                <w:snapToGrid w:val="0"/>
                <w:spacing w:val="-16"/>
                <w:kern w:val="21"/>
                <w:szCs w:val="21"/>
              </w:rPr>
              <w:t>（新建项目不填）</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hint="eastAsia" w:hAnsi="宋体" w:cs="宋体"/>
                <w:kern w:val="2"/>
                <w:szCs w:val="21"/>
              </w:rPr>
              <w:t>⑤</w:t>
            </w:r>
            <w:r>
              <w:rPr>
                <w:rFonts w:ascii="Times New Roman"/>
                <w:snapToGrid w:val="0"/>
                <w:spacing w:val="-16"/>
                <w:kern w:val="21"/>
                <w:szCs w:val="21"/>
              </w:rPr>
              <w:fldChar w:fldCharType="end"/>
            </w:r>
          </w:p>
        </w:tc>
        <w:tc>
          <w:tcPr>
            <w:tcW w:w="1843" w:type="dxa"/>
            <w:tcMar>
              <w:left w:w="28" w:type="dxa"/>
              <w:right w:w="28" w:type="dxa"/>
            </w:tcMar>
            <w:vAlign w:val="center"/>
          </w:tcPr>
          <w:p w14:paraId="2A5956B2">
            <w:pPr>
              <w:pStyle w:val="92"/>
              <w:spacing w:beforeLines="0" w:afterLines="0" w:line="240" w:lineRule="auto"/>
              <w:rPr>
                <w:rFonts w:ascii="Times New Roman"/>
                <w:snapToGrid w:val="0"/>
                <w:spacing w:val="-16"/>
                <w:kern w:val="21"/>
                <w:szCs w:val="21"/>
              </w:rPr>
            </w:pPr>
            <w:r>
              <w:rPr>
                <w:rFonts w:ascii="Times New Roman"/>
                <w:snapToGrid w:val="0"/>
                <w:spacing w:val="-16"/>
                <w:kern w:val="21"/>
                <w:szCs w:val="21"/>
              </w:rPr>
              <w:t>本项目建成后</w:t>
            </w:r>
          </w:p>
          <w:p w14:paraId="13DA0EFE">
            <w:pPr>
              <w:pStyle w:val="92"/>
              <w:spacing w:beforeLines="0" w:afterLines="0" w:line="240" w:lineRule="auto"/>
              <w:rPr>
                <w:rFonts w:ascii="Times New Roman"/>
                <w:snapToGrid w:val="0"/>
                <w:spacing w:val="-16"/>
                <w:kern w:val="21"/>
                <w:szCs w:val="21"/>
              </w:rPr>
            </w:pPr>
            <w:r>
              <w:rPr>
                <w:rFonts w:ascii="Times New Roman"/>
                <w:snapToGrid w:val="0"/>
                <w:spacing w:val="-16"/>
                <w:kern w:val="21"/>
                <w:szCs w:val="21"/>
              </w:rPr>
              <w:t>全厂排放量（固体废物产生量）</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hAnsi="宋体" w:cs="宋体"/>
                <w:kern w:val="2"/>
                <w:szCs w:val="21"/>
              </w:rPr>
              <w:t>⑥</w:t>
            </w:r>
            <w:r>
              <w:rPr>
                <w:rFonts w:ascii="Times New Roman"/>
                <w:snapToGrid w:val="0"/>
                <w:spacing w:val="-16"/>
                <w:kern w:val="21"/>
                <w:szCs w:val="21"/>
              </w:rPr>
              <w:fldChar w:fldCharType="end"/>
            </w:r>
          </w:p>
        </w:tc>
        <w:tc>
          <w:tcPr>
            <w:tcW w:w="1711" w:type="dxa"/>
            <w:tcMar>
              <w:left w:w="28" w:type="dxa"/>
              <w:right w:w="28" w:type="dxa"/>
            </w:tcMar>
            <w:vAlign w:val="center"/>
          </w:tcPr>
          <w:p w14:paraId="55E20A00">
            <w:pPr>
              <w:pStyle w:val="92"/>
              <w:spacing w:beforeLines="0" w:afterLines="0" w:line="240" w:lineRule="auto"/>
              <w:rPr>
                <w:rFonts w:ascii="Times New Roman"/>
                <w:snapToGrid w:val="0"/>
                <w:spacing w:val="-6"/>
                <w:kern w:val="21"/>
                <w:szCs w:val="21"/>
              </w:rPr>
            </w:pPr>
            <w:r>
              <w:rPr>
                <w:rFonts w:ascii="Times New Roman"/>
                <w:snapToGrid w:val="0"/>
                <w:spacing w:val="-6"/>
                <w:kern w:val="21"/>
                <w:szCs w:val="21"/>
              </w:rPr>
              <w:t>变化量</w:t>
            </w:r>
          </w:p>
          <w:p w14:paraId="1AA9F091">
            <w:pPr>
              <w:pStyle w:val="92"/>
              <w:spacing w:beforeLines="0" w:afterLines="0" w:line="240" w:lineRule="auto"/>
              <w:rPr>
                <w:rFonts w:ascii="Times New Roman"/>
                <w:snapToGrid w:val="0"/>
                <w:spacing w:val="-6"/>
                <w:kern w:val="21"/>
                <w:szCs w:val="21"/>
              </w:rPr>
            </w:pPr>
            <w:r>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hint="eastAsia" w:hAnsi="宋体" w:cs="宋体"/>
                <w:kern w:val="2"/>
                <w:szCs w:val="21"/>
              </w:rPr>
              <w:t>⑦</w:t>
            </w:r>
            <w:r>
              <w:rPr>
                <w:rFonts w:ascii="Times New Roman"/>
                <w:snapToGrid w:val="0"/>
                <w:spacing w:val="-6"/>
                <w:kern w:val="21"/>
                <w:szCs w:val="21"/>
              </w:rPr>
              <w:fldChar w:fldCharType="end"/>
            </w:r>
          </w:p>
        </w:tc>
      </w:tr>
      <w:tr w14:paraId="7A65DE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1" w:type="dxa"/>
            <w:vMerge w:val="restart"/>
            <w:vAlign w:val="center"/>
          </w:tcPr>
          <w:p w14:paraId="7831DA3A">
            <w:pPr>
              <w:pStyle w:val="92"/>
              <w:spacing w:beforeLines="0" w:afterLines="0" w:line="240" w:lineRule="auto"/>
              <w:rPr>
                <w:rFonts w:ascii="Times New Roman"/>
                <w:snapToGrid w:val="0"/>
                <w:kern w:val="21"/>
                <w:szCs w:val="21"/>
              </w:rPr>
            </w:pPr>
            <w:r>
              <w:rPr>
                <w:rFonts w:ascii="Times New Roman"/>
                <w:snapToGrid w:val="0"/>
                <w:kern w:val="21"/>
                <w:szCs w:val="21"/>
              </w:rPr>
              <w:t>废气</w:t>
            </w:r>
          </w:p>
        </w:tc>
        <w:tc>
          <w:tcPr>
            <w:tcW w:w="1984" w:type="dxa"/>
            <w:vAlign w:val="center"/>
          </w:tcPr>
          <w:p w14:paraId="00B785D7">
            <w:pPr>
              <w:widowControl/>
              <w:jc w:val="center"/>
              <w:textAlignment w:val="center"/>
            </w:pPr>
            <w:r>
              <w:rPr>
                <w:rStyle w:val="244"/>
                <w:rFonts w:hint="default"/>
                <w:lang w:bidi="ar"/>
              </w:rPr>
              <w:t>颗粒物</w:t>
            </w:r>
          </w:p>
        </w:tc>
        <w:tc>
          <w:tcPr>
            <w:tcW w:w="1701" w:type="dxa"/>
            <w:vAlign w:val="center"/>
          </w:tcPr>
          <w:p w14:paraId="5D1BDF3E">
            <w:pPr>
              <w:pStyle w:val="104"/>
              <w:rPr>
                <w:rFonts w:hAnsi="Times New Roman"/>
              </w:rPr>
            </w:pPr>
          </w:p>
        </w:tc>
        <w:tc>
          <w:tcPr>
            <w:tcW w:w="1134" w:type="dxa"/>
            <w:vAlign w:val="center"/>
          </w:tcPr>
          <w:p w14:paraId="00244E5E">
            <w:pPr>
              <w:pStyle w:val="92"/>
              <w:spacing w:beforeLines="0" w:afterLines="0" w:line="240" w:lineRule="auto"/>
              <w:rPr>
                <w:rFonts w:ascii="Times New Roman"/>
                <w:snapToGrid w:val="0"/>
                <w:kern w:val="21"/>
                <w:szCs w:val="21"/>
              </w:rPr>
            </w:pPr>
          </w:p>
        </w:tc>
        <w:tc>
          <w:tcPr>
            <w:tcW w:w="1418" w:type="dxa"/>
            <w:vAlign w:val="center"/>
          </w:tcPr>
          <w:p w14:paraId="5251FB08">
            <w:pPr>
              <w:pStyle w:val="92"/>
              <w:spacing w:beforeLines="0" w:afterLines="0" w:line="240" w:lineRule="auto"/>
              <w:rPr>
                <w:rFonts w:ascii="Times New Roman"/>
                <w:snapToGrid w:val="0"/>
                <w:kern w:val="21"/>
                <w:szCs w:val="21"/>
              </w:rPr>
            </w:pPr>
          </w:p>
        </w:tc>
        <w:tc>
          <w:tcPr>
            <w:tcW w:w="1559" w:type="dxa"/>
            <w:vAlign w:val="center"/>
          </w:tcPr>
          <w:p w14:paraId="6128BD3B">
            <w:pPr>
              <w:widowControl/>
              <w:jc w:val="center"/>
              <w:textAlignment w:val="center"/>
              <w:rPr>
                <w:kern w:val="0"/>
                <w:sz w:val="24"/>
              </w:rPr>
            </w:pPr>
            <w:r>
              <w:rPr>
                <w:rFonts w:hint="eastAsia"/>
                <w:color w:val="000000"/>
                <w:kern w:val="0"/>
                <w:szCs w:val="21"/>
                <w:lang w:bidi="ar"/>
              </w:rPr>
              <w:t>0.</w:t>
            </w:r>
            <w:r>
              <w:rPr>
                <w:rFonts w:hint="eastAsia"/>
                <w:color w:val="000000"/>
                <w:kern w:val="0"/>
                <w:szCs w:val="21"/>
                <w:lang w:val="en-US" w:eastAsia="zh-CN" w:bidi="ar"/>
              </w:rPr>
              <w:t>013</w:t>
            </w:r>
            <w:r>
              <w:t>t/a</w:t>
            </w:r>
            <w:r>
              <w:rPr>
                <w:color w:val="000000"/>
                <w:kern w:val="0"/>
                <w:szCs w:val="21"/>
                <w:lang w:bidi="ar"/>
              </w:rPr>
              <w:t xml:space="preserve"> </w:t>
            </w:r>
          </w:p>
        </w:tc>
        <w:tc>
          <w:tcPr>
            <w:tcW w:w="1417" w:type="dxa"/>
            <w:vAlign w:val="center"/>
          </w:tcPr>
          <w:p w14:paraId="78F55F7E">
            <w:pPr>
              <w:pStyle w:val="92"/>
              <w:spacing w:beforeLines="0" w:afterLines="0" w:line="240" w:lineRule="auto"/>
              <w:rPr>
                <w:rFonts w:ascii="Times New Roman"/>
                <w:snapToGrid w:val="0"/>
                <w:kern w:val="21"/>
                <w:szCs w:val="21"/>
              </w:rPr>
            </w:pPr>
          </w:p>
        </w:tc>
        <w:tc>
          <w:tcPr>
            <w:tcW w:w="1843" w:type="dxa"/>
            <w:vAlign w:val="center"/>
          </w:tcPr>
          <w:p w14:paraId="05023B0C">
            <w:pPr>
              <w:widowControl/>
              <w:jc w:val="center"/>
              <w:textAlignment w:val="center"/>
              <w:rPr>
                <w:kern w:val="0"/>
                <w:sz w:val="24"/>
              </w:rPr>
            </w:pPr>
            <w:r>
              <w:rPr>
                <w:rFonts w:hint="eastAsia"/>
                <w:color w:val="000000"/>
                <w:kern w:val="0"/>
                <w:szCs w:val="21"/>
                <w:lang w:bidi="ar"/>
              </w:rPr>
              <w:t>0.</w:t>
            </w:r>
            <w:r>
              <w:rPr>
                <w:rFonts w:hint="eastAsia"/>
                <w:color w:val="000000"/>
                <w:kern w:val="0"/>
                <w:szCs w:val="21"/>
                <w:lang w:val="en-US" w:eastAsia="zh-CN" w:bidi="ar"/>
              </w:rPr>
              <w:t>013</w:t>
            </w:r>
            <w:r>
              <w:t>t/a</w:t>
            </w:r>
            <w:r>
              <w:rPr>
                <w:color w:val="000000"/>
                <w:kern w:val="0"/>
                <w:szCs w:val="21"/>
                <w:lang w:bidi="ar"/>
              </w:rPr>
              <w:t xml:space="preserve"> </w:t>
            </w:r>
          </w:p>
        </w:tc>
        <w:tc>
          <w:tcPr>
            <w:tcW w:w="1711" w:type="dxa"/>
            <w:vAlign w:val="center"/>
          </w:tcPr>
          <w:p w14:paraId="4B9533A7">
            <w:pPr>
              <w:widowControl/>
              <w:jc w:val="center"/>
              <w:textAlignment w:val="center"/>
              <w:rPr>
                <w:kern w:val="0"/>
                <w:sz w:val="24"/>
              </w:rPr>
            </w:pPr>
            <w:r>
              <w:rPr>
                <w:rFonts w:hint="eastAsia"/>
                <w:color w:val="000000"/>
                <w:kern w:val="0"/>
                <w:szCs w:val="21"/>
                <w:lang w:val="en-US" w:eastAsia="zh-CN" w:bidi="ar"/>
              </w:rPr>
              <w:t>+</w:t>
            </w:r>
            <w:r>
              <w:rPr>
                <w:rFonts w:hint="eastAsia"/>
                <w:color w:val="000000"/>
                <w:kern w:val="0"/>
                <w:szCs w:val="21"/>
                <w:lang w:bidi="ar"/>
              </w:rPr>
              <w:t>0.</w:t>
            </w:r>
            <w:r>
              <w:rPr>
                <w:rFonts w:hint="eastAsia"/>
                <w:color w:val="000000"/>
                <w:kern w:val="0"/>
                <w:szCs w:val="21"/>
                <w:lang w:val="en-US" w:eastAsia="zh-CN" w:bidi="ar"/>
              </w:rPr>
              <w:t>013</w:t>
            </w:r>
            <w:r>
              <w:t>t/a</w:t>
            </w:r>
            <w:r>
              <w:rPr>
                <w:color w:val="000000"/>
                <w:kern w:val="0"/>
                <w:szCs w:val="21"/>
                <w:lang w:bidi="ar"/>
              </w:rPr>
              <w:t xml:space="preserve"> </w:t>
            </w:r>
          </w:p>
        </w:tc>
      </w:tr>
      <w:tr w14:paraId="04B7E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1" w:type="dxa"/>
            <w:vMerge w:val="continue"/>
            <w:vAlign w:val="center"/>
          </w:tcPr>
          <w:p w14:paraId="673E3588">
            <w:pPr>
              <w:pStyle w:val="92"/>
              <w:spacing w:beforeLines="0" w:afterLines="0" w:line="240" w:lineRule="auto"/>
              <w:rPr>
                <w:rFonts w:ascii="Times New Roman"/>
                <w:snapToGrid w:val="0"/>
                <w:kern w:val="21"/>
                <w:szCs w:val="21"/>
              </w:rPr>
            </w:pPr>
          </w:p>
        </w:tc>
        <w:tc>
          <w:tcPr>
            <w:tcW w:w="1984" w:type="dxa"/>
            <w:vAlign w:val="center"/>
          </w:tcPr>
          <w:p w14:paraId="28194E11">
            <w:pPr>
              <w:widowControl/>
              <w:jc w:val="center"/>
              <w:textAlignment w:val="center"/>
              <w:rPr>
                <w:rStyle w:val="244"/>
                <w:rFonts w:hint="eastAsia" w:eastAsia="宋体"/>
                <w:lang w:val="en-US" w:eastAsia="zh-CN" w:bidi="ar"/>
              </w:rPr>
            </w:pPr>
            <w:r>
              <w:rPr>
                <w:rStyle w:val="244"/>
                <w:rFonts w:hint="eastAsia"/>
                <w:lang w:val="en-US" w:eastAsia="zh-CN" w:bidi="ar"/>
              </w:rPr>
              <w:t>二氧化硫</w:t>
            </w:r>
          </w:p>
        </w:tc>
        <w:tc>
          <w:tcPr>
            <w:tcW w:w="1701" w:type="dxa"/>
            <w:vAlign w:val="center"/>
          </w:tcPr>
          <w:p w14:paraId="11FFB555">
            <w:pPr>
              <w:pStyle w:val="104"/>
              <w:rPr>
                <w:rFonts w:hAnsi="Times New Roman"/>
              </w:rPr>
            </w:pPr>
          </w:p>
        </w:tc>
        <w:tc>
          <w:tcPr>
            <w:tcW w:w="1134" w:type="dxa"/>
            <w:vAlign w:val="center"/>
          </w:tcPr>
          <w:p w14:paraId="40F58CD9">
            <w:pPr>
              <w:pStyle w:val="92"/>
              <w:spacing w:beforeLines="0" w:afterLines="0" w:line="240" w:lineRule="auto"/>
              <w:rPr>
                <w:rFonts w:ascii="Times New Roman"/>
                <w:snapToGrid w:val="0"/>
                <w:kern w:val="21"/>
                <w:szCs w:val="21"/>
              </w:rPr>
            </w:pPr>
          </w:p>
        </w:tc>
        <w:tc>
          <w:tcPr>
            <w:tcW w:w="1418" w:type="dxa"/>
            <w:vAlign w:val="center"/>
          </w:tcPr>
          <w:p w14:paraId="4DDFAE7A">
            <w:pPr>
              <w:pStyle w:val="92"/>
              <w:spacing w:beforeLines="0" w:afterLines="0" w:line="240" w:lineRule="auto"/>
              <w:rPr>
                <w:rFonts w:ascii="Times New Roman"/>
                <w:snapToGrid w:val="0"/>
                <w:kern w:val="21"/>
                <w:szCs w:val="21"/>
              </w:rPr>
            </w:pPr>
          </w:p>
        </w:tc>
        <w:tc>
          <w:tcPr>
            <w:tcW w:w="1559" w:type="dxa"/>
            <w:vAlign w:val="center"/>
          </w:tcPr>
          <w:p w14:paraId="20B5A1C6">
            <w:pPr>
              <w:widowControl/>
              <w:jc w:val="center"/>
              <w:textAlignment w:val="center"/>
              <w:rPr>
                <w:rFonts w:hint="default" w:eastAsia="宋体"/>
                <w:color w:val="000000"/>
                <w:kern w:val="0"/>
                <w:szCs w:val="21"/>
                <w:lang w:val="en-US" w:eastAsia="zh-CN" w:bidi="ar"/>
              </w:rPr>
            </w:pPr>
            <w:r>
              <w:rPr>
                <w:rFonts w:hint="eastAsia"/>
                <w:color w:val="000000"/>
                <w:kern w:val="0"/>
                <w:szCs w:val="21"/>
                <w:lang w:val="en-US" w:eastAsia="zh-CN" w:bidi="ar"/>
              </w:rPr>
              <w:t>0.021t/a</w:t>
            </w:r>
          </w:p>
        </w:tc>
        <w:tc>
          <w:tcPr>
            <w:tcW w:w="1417" w:type="dxa"/>
            <w:vAlign w:val="center"/>
          </w:tcPr>
          <w:p w14:paraId="7B96707A">
            <w:pPr>
              <w:pStyle w:val="92"/>
              <w:spacing w:beforeLines="0" w:afterLines="0" w:line="240" w:lineRule="auto"/>
              <w:rPr>
                <w:rFonts w:ascii="Times New Roman"/>
                <w:snapToGrid w:val="0"/>
                <w:kern w:val="21"/>
                <w:szCs w:val="21"/>
              </w:rPr>
            </w:pPr>
          </w:p>
        </w:tc>
        <w:tc>
          <w:tcPr>
            <w:tcW w:w="1843" w:type="dxa"/>
            <w:vAlign w:val="center"/>
          </w:tcPr>
          <w:p w14:paraId="1102CC67">
            <w:pPr>
              <w:widowControl/>
              <w:jc w:val="center"/>
              <w:textAlignment w:val="center"/>
              <w:rPr>
                <w:rFonts w:hint="eastAsia"/>
                <w:color w:val="000000"/>
                <w:kern w:val="0"/>
                <w:szCs w:val="21"/>
                <w:lang w:bidi="ar"/>
              </w:rPr>
            </w:pPr>
            <w:r>
              <w:rPr>
                <w:rFonts w:hint="eastAsia"/>
                <w:color w:val="000000"/>
                <w:kern w:val="0"/>
                <w:szCs w:val="21"/>
                <w:lang w:val="en-US" w:eastAsia="zh-CN" w:bidi="ar"/>
              </w:rPr>
              <w:t>0.021t/a</w:t>
            </w:r>
          </w:p>
        </w:tc>
        <w:tc>
          <w:tcPr>
            <w:tcW w:w="1711" w:type="dxa"/>
            <w:vAlign w:val="center"/>
          </w:tcPr>
          <w:p w14:paraId="1B55DEDD">
            <w:pPr>
              <w:widowControl/>
              <w:jc w:val="center"/>
              <w:textAlignment w:val="center"/>
              <w:rPr>
                <w:color w:val="000000"/>
                <w:kern w:val="0"/>
                <w:szCs w:val="21"/>
                <w:lang w:bidi="ar"/>
              </w:rPr>
            </w:pPr>
            <w:r>
              <w:rPr>
                <w:rFonts w:hint="eastAsia"/>
                <w:color w:val="000000"/>
                <w:kern w:val="0"/>
                <w:szCs w:val="21"/>
                <w:lang w:val="en-US" w:eastAsia="zh-CN" w:bidi="ar"/>
              </w:rPr>
              <w:t>+0.021t/a</w:t>
            </w:r>
          </w:p>
        </w:tc>
      </w:tr>
      <w:tr w14:paraId="666816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1" w:type="dxa"/>
            <w:vMerge w:val="continue"/>
            <w:vAlign w:val="center"/>
          </w:tcPr>
          <w:p w14:paraId="5E188397">
            <w:pPr>
              <w:pStyle w:val="92"/>
              <w:spacing w:beforeLines="0" w:afterLines="0" w:line="240" w:lineRule="auto"/>
              <w:rPr>
                <w:rFonts w:ascii="Times New Roman"/>
                <w:snapToGrid w:val="0"/>
                <w:kern w:val="21"/>
                <w:szCs w:val="21"/>
              </w:rPr>
            </w:pPr>
          </w:p>
        </w:tc>
        <w:tc>
          <w:tcPr>
            <w:tcW w:w="1984" w:type="dxa"/>
            <w:vAlign w:val="center"/>
          </w:tcPr>
          <w:p w14:paraId="243A54B0">
            <w:pPr>
              <w:widowControl/>
              <w:jc w:val="center"/>
              <w:textAlignment w:val="center"/>
              <w:rPr>
                <w:rStyle w:val="244"/>
                <w:rFonts w:hint="eastAsia" w:eastAsia="宋体"/>
                <w:lang w:val="en-US" w:eastAsia="zh-CN" w:bidi="ar"/>
              </w:rPr>
            </w:pPr>
            <w:r>
              <w:rPr>
                <w:rStyle w:val="244"/>
                <w:rFonts w:hint="eastAsia"/>
                <w:lang w:val="en-US" w:eastAsia="zh-CN" w:bidi="ar"/>
              </w:rPr>
              <w:t>氮氧化物</w:t>
            </w:r>
          </w:p>
        </w:tc>
        <w:tc>
          <w:tcPr>
            <w:tcW w:w="1701" w:type="dxa"/>
            <w:vAlign w:val="center"/>
          </w:tcPr>
          <w:p w14:paraId="51755DE2">
            <w:pPr>
              <w:pStyle w:val="104"/>
              <w:rPr>
                <w:rFonts w:hAnsi="Times New Roman"/>
              </w:rPr>
            </w:pPr>
          </w:p>
        </w:tc>
        <w:tc>
          <w:tcPr>
            <w:tcW w:w="1134" w:type="dxa"/>
            <w:vAlign w:val="center"/>
          </w:tcPr>
          <w:p w14:paraId="47EA8628">
            <w:pPr>
              <w:pStyle w:val="92"/>
              <w:spacing w:beforeLines="0" w:afterLines="0" w:line="240" w:lineRule="auto"/>
              <w:rPr>
                <w:rFonts w:ascii="Times New Roman"/>
                <w:snapToGrid w:val="0"/>
                <w:kern w:val="21"/>
                <w:szCs w:val="21"/>
              </w:rPr>
            </w:pPr>
          </w:p>
        </w:tc>
        <w:tc>
          <w:tcPr>
            <w:tcW w:w="1418" w:type="dxa"/>
            <w:vAlign w:val="center"/>
          </w:tcPr>
          <w:p w14:paraId="33511F0C">
            <w:pPr>
              <w:pStyle w:val="92"/>
              <w:spacing w:beforeLines="0" w:afterLines="0" w:line="240" w:lineRule="auto"/>
              <w:rPr>
                <w:rFonts w:ascii="Times New Roman"/>
                <w:snapToGrid w:val="0"/>
                <w:kern w:val="21"/>
                <w:szCs w:val="21"/>
              </w:rPr>
            </w:pPr>
          </w:p>
        </w:tc>
        <w:tc>
          <w:tcPr>
            <w:tcW w:w="1559" w:type="dxa"/>
            <w:vAlign w:val="center"/>
          </w:tcPr>
          <w:p w14:paraId="64F40820">
            <w:pPr>
              <w:widowControl/>
              <w:jc w:val="center"/>
              <w:textAlignment w:val="center"/>
              <w:rPr>
                <w:rFonts w:hint="default" w:eastAsia="宋体"/>
                <w:color w:val="000000"/>
                <w:kern w:val="0"/>
                <w:szCs w:val="21"/>
                <w:lang w:val="en-US" w:eastAsia="zh-CN" w:bidi="ar"/>
              </w:rPr>
            </w:pPr>
            <w:r>
              <w:rPr>
                <w:rFonts w:hint="eastAsia"/>
                <w:color w:val="000000"/>
                <w:kern w:val="0"/>
                <w:szCs w:val="21"/>
                <w:lang w:val="en-US" w:eastAsia="zh-CN" w:bidi="ar"/>
              </w:rPr>
              <w:t>0.125t/a</w:t>
            </w:r>
          </w:p>
        </w:tc>
        <w:tc>
          <w:tcPr>
            <w:tcW w:w="1417" w:type="dxa"/>
            <w:vAlign w:val="center"/>
          </w:tcPr>
          <w:p w14:paraId="4A678F2C">
            <w:pPr>
              <w:pStyle w:val="92"/>
              <w:spacing w:beforeLines="0" w:afterLines="0" w:line="240" w:lineRule="auto"/>
              <w:rPr>
                <w:rFonts w:ascii="Times New Roman"/>
                <w:snapToGrid w:val="0"/>
                <w:kern w:val="21"/>
                <w:szCs w:val="21"/>
              </w:rPr>
            </w:pPr>
          </w:p>
        </w:tc>
        <w:tc>
          <w:tcPr>
            <w:tcW w:w="1843" w:type="dxa"/>
            <w:vAlign w:val="center"/>
          </w:tcPr>
          <w:p w14:paraId="5717C867">
            <w:pPr>
              <w:widowControl/>
              <w:jc w:val="center"/>
              <w:textAlignment w:val="center"/>
              <w:rPr>
                <w:rFonts w:hint="eastAsia"/>
                <w:color w:val="000000"/>
                <w:kern w:val="0"/>
                <w:szCs w:val="21"/>
                <w:lang w:bidi="ar"/>
              </w:rPr>
            </w:pPr>
            <w:r>
              <w:rPr>
                <w:rFonts w:hint="eastAsia"/>
                <w:color w:val="000000"/>
                <w:kern w:val="0"/>
                <w:szCs w:val="21"/>
                <w:lang w:val="en-US" w:eastAsia="zh-CN" w:bidi="ar"/>
              </w:rPr>
              <w:t>0.125t/a</w:t>
            </w:r>
          </w:p>
        </w:tc>
        <w:tc>
          <w:tcPr>
            <w:tcW w:w="1711" w:type="dxa"/>
            <w:vAlign w:val="center"/>
          </w:tcPr>
          <w:p w14:paraId="1E12C426">
            <w:pPr>
              <w:widowControl/>
              <w:jc w:val="center"/>
              <w:textAlignment w:val="center"/>
              <w:rPr>
                <w:color w:val="000000"/>
                <w:kern w:val="0"/>
                <w:szCs w:val="21"/>
                <w:lang w:bidi="ar"/>
              </w:rPr>
            </w:pPr>
            <w:r>
              <w:rPr>
                <w:rFonts w:hint="eastAsia"/>
                <w:color w:val="000000"/>
                <w:kern w:val="0"/>
                <w:szCs w:val="21"/>
                <w:lang w:val="en-US" w:eastAsia="zh-CN" w:bidi="ar"/>
              </w:rPr>
              <w:t>+0.125t/a</w:t>
            </w:r>
          </w:p>
        </w:tc>
      </w:tr>
      <w:tr w14:paraId="4356BB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1" w:type="dxa"/>
            <w:vMerge w:val="continue"/>
            <w:vAlign w:val="center"/>
          </w:tcPr>
          <w:p w14:paraId="08017D34">
            <w:pPr>
              <w:pStyle w:val="92"/>
              <w:spacing w:beforeLines="0" w:afterLines="0" w:line="240" w:lineRule="auto"/>
              <w:rPr>
                <w:rFonts w:ascii="Times New Roman"/>
                <w:snapToGrid w:val="0"/>
                <w:kern w:val="21"/>
                <w:szCs w:val="21"/>
              </w:rPr>
            </w:pPr>
          </w:p>
        </w:tc>
        <w:tc>
          <w:tcPr>
            <w:tcW w:w="1984" w:type="dxa"/>
            <w:vAlign w:val="center"/>
          </w:tcPr>
          <w:p w14:paraId="36FAEF5E">
            <w:pPr>
              <w:widowControl/>
              <w:jc w:val="center"/>
              <w:textAlignment w:val="center"/>
              <w:rPr>
                <w:rStyle w:val="244"/>
                <w:rFonts w:hint="eastAsia" w:eastAsia="宋体"/>
                <w:lang w:val="en-US" w:eastAsia="zh-CN" w:bidi="ar"/>
              </w:rPr>
            </w:pPr>
            <w:r>
              <w:rPr>
                <w:rStyle w:val="244"/>
                <w:rFonts w:hint="eastAsia"/>
                <w:lang w:val="en-US" w:eastAsia="zh-CN" w:bidi="ar"/>
              </w:rPr>
              <w:t>油烟</w:t>
            </w:r>
          </w:p>
        </w:tc>
        <w:tc>
          <w:tcPr>
            <w:tcW w:w="1701" w:type="dxa"/>
            <w:vAlign w:val="center"/>
          </w:tcPr>
          <w:p w14:paraId="1CAEA76D">
            <w:pPr>
              <w:pStyle w:val="104"/>
              <w:rPr>
                <w:rFonts w:hAnsi="Times New Roman"/>
              </w:rPr>
            </w:pPr>
          </w:p>
        </w:tc>
        <w:tc>
          <w:tcPr>
            <w:tcW w:w="1134" w:type="dxa"/>
            <w:vAlign w:val="center"/>
          </w:tcPr>
          <w:p w14:paraId="739A8BDF">
            <w:pPr>
              <w:pStyle w:val="92"/>
              <w:spacing w:beforeLines="0" w:afterLines="0" w:line="240" w:lineRule="auto"/>
              <w:rPr>
                <w:rFonts w:ascii="Times New Roman"/>
                <w:snapToGrid w:val="0"/>
                <w:kern w:val="21"/>
                <w:szCs w:val="21"/>
              </w:rPr>
            </w:pPr>
          </w:p>
        </w:tc>
        <w:tc>
          <w:tcPr>
            <w:tcW w:w="1418" w:type="dxa"/>
            <w:vAlign w:val="center"/>
          </w:tcPr>
          <w:p w14:paraId="2354990C">
            <w:pPr>
              <w:pStyle w:val="92"/>
              <w:spacing w:beforeLines="0" w:afterLines="0" w:line="240" w:lineRule="auto"/>
              <w:rPr>
                <w:rFonts w:ascii="Times New Roman"/>
                <w:snapToGrid w:val="0"/>
                <w:kern w:val="21"/>
                <w:szCs w:val="21"/>
              </w:rPr>
            </w:pPr>
          </w:p>
        </w:tc>
        <w:tc>
          <w:tcPr>
            <w:tcW w:w="1559" w:type="dxa"/>
            <w:vAlign w:val="center"/>
          </w:tcPr>
          <w:p w14:paraId="5CB2E270">
            <w:pPr>
              <w:widowControl/>
              <w:jc w:val="center"/>
              <w:textAlignment w:val="center"/>
              <w:rPr>
                <w:rFonts w:hint="default" w:eastAsia="宋体"/>
                <w:color w:val="000000"/>
                <w:kern w:val="0"/>
                <w:szCs w:val="21"/>
                <w:lang w:val="en-US" w:eastAsia="zh-CN" w:bidi="ar"/>
              </w:rPr>
            </w:pPr>
            <w:r>
              <w:rPr>
                <w:rFonts w:hint="eastAsia"/>
                <w:color w:val="000000"/>
                <w:kern w:val="0"/>
                <w:szCs w:val="21"/>
                <w:lang w:val="en-US" w:eastAsia="zh-CN" w:bidi="ar"/>
              </w:rPr>
              <w:t>0.03t/a</w:t>
            </w:r>
          </w:p>
        </w:tc>
        <w:tc>
          <w:tcPr>
            <w:tcW w:w="1417" w:type="dxa"/>
            <w:vAlign w:val="center"/>
          </w:tcPr>
          <w:p w14:paraId="1D7BCB19">
            <w:pPr>
              <w:pStyle w:val="92"/>
              <w:spacing w:beforeLines="0" w:afterLines="0" w:line="240" w:lineRule="auto"/>
              <w:rPr>
                <w:rFonts w:ascii="Times New Roman"/>
                <w:snapToGrid w:val="0"/>
                <w:kern w:val="21"/>
                <w:szCs w:val="21"/>
              </w:rPr>
            </w:pPr>
          </w:p>
        </w:tc>
        <w:tc>
          <w:tcPr>
            <w:tcW w:w="1843" w:type="dxa"/>
            <w:vAlign w:val="center"/>
          </w:tcPr>
          <w:p w14:paraId="4F829F51">
            <w:pPr>
              <w:widowControl/>
              <w:jc w:val="center"/>
              <w:textAlignment w:val="center"/>
              <w:rPr>
                <w:rFonts w:hint="eastAsia"/>
                <w:color w:val="000000"/>
                <w:kern w:val="0"/>
                <w:szCs w:val="21"/>
                <w:lang w:bidi="ar"/>
              </w:rPr>
            </w:pPr>
            <w:r>
              <w:rPr>
                <w:rFonts w:hint="eastAsia"/>
                <w:color w:val="000000"/>
                <w:kern w:val="0"/>
                <w:szCs w:val="21"/>
                <w:lang w:val="en-US" w:eastAsia="zh-CN" w:bidi="ar"/>
              </w:rPr>
              <w:t>0.03t/a</w:t>
            </w:r>
          </w:p>
        </w:tc>
        <w:tc>
          <w:tcPr>
            <w:tcW w:w="1711" w:type="dxa"/>
            <w:vAlign w:val="center"/>
          </w:tcPr>
          <w:p w14:paraId="491C08E8">
            <w:pPr>
              <w:widowControl/>
              <w:jc w:val="center"/>
              <w:textAlignment w:val="center"/>
              <w:rPr>
                <w:color w:val="000000"/>
                <w:kern w:val="0"/>
                <w:szCs w:val="21"/>
                <w:lang w:bidi="ar"/>
              </w:rPr>
            </w:pPr>
            <w:r>
              <w:rPr>
                <w:rFonts w:hint="eastAsia"/>
                <w:color w:val="000000"/>
                <w:kern w:val="0"/>
                <w:szCs w:val="21"/>
                <w:lang w:val="en-US" w:eastAsia="zh-CN" w:bidi="ar"/>
              </w:rPr>
              <w:t>+0.03t/a</w:t>
            </w:r>
          </w:p>
        </w:tc>
      </w:tr>
      <w:tr w14:paraId="3518F1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1" w:type="dxa"/>
            <w:vMerge w:val="continue"/>
            <w:vAlign w:val="center"/>
          </w:tcPr>
          <w:p w14:paraId="64E7C837">
            <w:pPr>
              <w:pStyle w:val="92"/>
              <w:spacing w:beforeLines="0" w:afterLines="0" w:line="240" w:lineRule="auto"/>
              <w:rPr>
                <w:rFonts w:ascii="Times New Roman"/>
                <w:snapToGrid w:val="0"/>
                <w:kern w:val="21"/>
                <w:szCs w:val="21"/>
              </w:rPr>
            </w:pPr>
          </w:p>
        </w:tc>
        <w:tc>
          <w:tcPr>
            <w:tcW w:w="1984" w:type="dxa"/>
            <w:vAlign w:val="center"/>
          </w:tcPr>
          <w:p w14:paraId="66308E9E">
            <w:pPr>
              <w:widowControl/>
              <w:jc w:val="center"/>
              <w:textAlignment w:val="center"/>
              <w:rPr>
                <w:rStyle w:val="244"/>
                <w:rFonts w:hint="eastAsia" w:eastAsia="宋体"/>
                <w:lang w:val="en-US" w:eastAsia="zh-CN" w:bidi="ar"/>
              </w:rPr>
            </w:pPr>
            <w:r>
              <w:rPr>
                <w:rStyle w:val="244"/>
                <w:rFonts w:hint="eastAsia"/>
                <w:lang w:val="en-US" w:eastAsia="zh-CN" w:bidi="ar"/>
              </w:rPr>
              <w:t>氨</w:t>
            </w:r>
          </w:p>
        </w:tc>
        <w:tc>
          <w:tcPr>
            <w:tcW w:w="1701" w:type="dxa"/>
            <w:vAlign w:val="center"/>
          </w:tcPr>
          <w:p w14:paraId="24469FFD">
            <w:pPr>
              <w:pStyle w:val="104"/>
              <w:rPr>
                <w:rFonts w:hAnsi="Times New Roman"/>
              </w:rPr>
            </w:pPr>
          </w:p>
        </w:tc>
        <w:tc>
          <w:tcPr>
            <w:tcW w:w="1134" w:type="dxa"/>
            <w:vAlign w:val="center"/>
          </w:tcPr>
          <w:p w14:paraId="2927E275">
            <w:pPr>
              <w:pStyle w:val="92"/>
              <w:spacing w:beforeLines="0" w:afterLines="0" w:line="240" w:lineRule="auto"/>
              <w:rPr>
                <w:rFonts w:ascii="Times New Roman"/>
                <w:snapToGrid w:val="0"/>
                <w:kern w:val="21"/>
                <w:szCs w:val="21"/>
              </w:rPr>
            </w:pPr>
          </w:p>
        </w:tc>
        <w:tc>
          <w:tcPr>
            <w:tcW w:w="1418" w:type="dxa"/>
            <w:vAlign w:val="center"/>
          </w:tcPr>
          <w:p w14:paraId="1ABFD929">
            <w:pPr>
              <w:pStyle w:val="92"/>
              <w:spacing w:beforeLines="0" w:afterLines="0" w:line="240" w:lineRule="auto"/>
              <w:rPr>
                <w:rFonts w:ascii="Times New Roman"/>
                <w:snapToGrid w:val="0"/>
                <w:kern w:val="21"/>
                <w:szCs w:val="21"/>
              </w:rPr>
            </w:pPr>
          </w:p>
        </w:tc>
        <w:tc>
          <w:tcPr>
            <w:tcW w:w="1559" w:type="dxa"/>
            <w:vAlign w:val="center"/>
          </w:tcPr>
          <w:p w14:paraId="40B850E4">
            <w:pPr>
              <w:widowControl/>
              <w:jc w:val="center"/>
              <w:textAlignment w:val="center"/>
              <w:rPr>
                <w:rFonts w:hint="default" w:eastAsia="宋体"/>
                <w:color w:val="000000"/>
                <w:kern w:val="0"/>
                <w:szCs w:val="21"/>
                <w:lang w:val="en-US" w:eastAsia="zh-CN" w:bidi="ar"/>
              </w:rPr>
            </w:pPr>
            <w:r>
              <w:rPr>
                <w:rFonts w:hint="eastAsia"/>
                <w:color w:val="000000"/>
                <w:kern w:val="0"/>
                <w:szCs w:val="21"/>
                <w:lang w:val="en-US" w:eastAsia="zh-CN" w:bidi="ar"/>
              </w:rPr>
              <w:t>0.00075t/a</w:t>
            </w:r>
          </w:p>
        </w:tc>
        <w:tc>
          <w:tcPr>
            <w:tcW w:w="1417" w:type="dxa"/>
            <w:vAlign w:val="center"/>
          </w:tcPr>
          <w:p w14:paraId="24876F87">
            <w:pPr>
              <w:pStyle w:val="92"/>
              <w:spacing w:beforeLines="0" w:afterLines="0" w:line="240" w:lineRule="auto"/>
              <w:rPr>
                <w:rFonts w:ascii="Times New Roman"/>
                <w:snapToGrid w:val="0"/>
                <w:kern w:val="21"/>
                <w:szCs w:val="21"/>
              </w:rPr>
            </w:pPr>
          </w:p>
        </w:tc>
        <w:tc>
          <w:tcPr>
            <w:tcW w:w="1843" w:type="dxa"/>
            <w:vAlign w:val="center"/>
          </w:tcPr>
          <w:p w14:paraId="1EB0247A">
            <w:pPr>
              <w:widowControl/>
              <w:jc w:val="center"/>
              <w:textAlignment w:val="center"/>
              <w:rPr>
                <w:rFonts w:hint="eastAsia"/>
                <w:color w:val="000000"/>
                <w:kern w:val="0"/>
                <w:szCs w:val="21"/>
                <w:lang w:bidi="ar"/>
              </w:rPr>
            </w:pPr>
            <w:r>
              <w:rPr>
                <w:rFonts w:hint="eastAsia"/>
                <w:color w:val="000000"/>
                <w:kern w:val="0"/>
                <w:szCs w:val="21"/>
                <w:lang w:val="en-US" w:eastAsia="zh-CN" w:bidi="ar"/>
              </w:rPr>
              <w:t>0.00075t/a</w:t>
            </w:r>
          </w:p>
        </w:tc>
        <w:tc>
          <w:tcPr>
            <w:tcW w:w="1711" w:type="dxa"/>
            <w:vAlign w:val="center"/>
          </w:tcPr>
          <w:p w14:paraId="7292E18E">
            <w:pPr>
              <w:widowControl/>
              <w:jc w:val="center"/>
              <w:textAlignment w:val="center"/>
              <w:rPr>
                <w:color w:val="000000"/>
                <w:kern w:val="0"/>
                <w:szCs w:val="21"/>
                <w:lang w:bidi="ar"/>
              </w:rPr>
            </w:pPr>
            <w:r>
              <w:rPr>
                <w:rFonts w:hint="eastAsia"/>
                <w:color w:val="000000"/>
                <w:kern w:val="0"/>
                <w:szCs w:val="21"/>
                <w:lang w:val="en-US" w:eastAsia="zh-CN" w:bidi="ar"/>
              </w:rPr>
              <w:t>+0.00075t/a</w:t>
            </w:r>
          </w:p>
        </w:tc>
      </w:tr>
      <w:tr w14:paraId="5700E0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1" w:type="dxa"/>
            <w:vMerge w:val="continue"/>
            <w:vAlign w:val="center"/>
          </w:tcPr>
          <w:p w14:paraId="7C6291A3">
            <w:pPr>
              <w:pStyle w:val="92"/>
              <w:spacing w:beforeLines="0" w:afterLines="0" w:line="240" w:lineRule="auto"/>
              <w:rPr>
                <w:rFonts w:ascii="Times New Roman"/>
                <w:snapToGrid w:val="0"/>
                <w:kern w:val="21"/>
                <w:szCs w:val="21"/>
              </w:rPr>
            </w:pPr>
          </w:p>
        </w:tc>
        <w:tc>
          <w:tcPr>
            <w:tcW w:w="1984" w:type="dxa"/>
            <w:vAlign w:val="center"/>
          </w:tcPr>
          <w:p w14:paraId="22719C8B">
            <w:pPr>
              <w:widowControl/>
              <w:jc w:val="center"/>
              <w:textAlignment w:val="center"/>
              <w:rPr>
                <w:rStyle w:val="244"/>
                <w:rFonts w:hint="eastAsia" w:eastAsia="宋体"/>
                <w:lang w:val="en-US" w:eastAsia="zh-CN" w:bidi="ar"/>
              </w:rPr>
            </w:pPr>
            <w:r>
              <w:rPr>
                <w:rStyle w:val="244"/>
                <w:rFonts w:hint="eastAsia"/>
                <w:lang w:val="en-US" w:eastAsia="zh-CN" w:bidi="ar"/>
              </w:rPr>
              <w:t>硫化氢</w:t>
            </w:r>
          </w:p>
        </w:tc>
        <w:tc>
          <w:tcPr>
            <w:tcW w:w="1701" w:type="dxa"/>
            <w:vAlign w:val="center"/>
          </w:tcPr>
          <w:p w14:paraId="6823382F">
            <w:pPr>
              <w:pStyle w:val="104"/>
              <w:rPr>
                <w:rFonts w:hAnsi="Times New Roman"/>
              </w:rPr>
            </w:pPr>
          </w:p>
        </w:tc>
        <w:tc>
          <w:tcPr>
            <w:tcW w:w="1134" w:type="dxa"/>
            <w:vAlign w:val="center"/>
          </w:tcPr>
          <w:p w14:paraId="28986A37">
            <w:pPr>
              <w:pStyle w:val="92"/>
              <w:spacing w:beforeLines="0" w:afterLines="0" w:line="240" w:lineRule="auto"/>
              <w:rPr>
                <w:rFonts w:ascii="Times New Roman"/>
                <w:snapToGrid w:val="0"/>
                <w:kern w:val="21"/>
                <w:szCs w:val="21"/>
              </w:rPr>
            </w:pPr>
          </w:p>
        </w:tc>
        <w:tc>
          <w:tcPr>
            <w:tcW w:w="1418" w:type="dxa"/>
            <w:vAlign w:val="center"/>
          </w:tcPr>
          <w:p w14:paraId="05C5CEF4">
            <w:pPr>
              <w:pStyle w:val="92"/>
              <w:spacing w:beforeLines="0" w:afterLines="0" w:line="240" w:lineRule="auto"/>
              <w:rPr>
                <w:rFonts w:ascii="Times New Roman"/>
                <w:snapToGrid w:val="0"/>
                <w:kern w:val="21"/>
                <w:szCs w:val="21"/>
              </w:rPr>
            </w:pPr>
          </w:p>
        </w:tc>
        <w:tc>
          <w:tcPr>
            <w:tcW w:w="1559" w:type="dxa"/>
            <w:vAlign w:val="center"/>
          </w:tcPr>
          <w:p w14:paraId="01969118">
            <w:pPr>
              <w:widowControl/>
              <w:jc w:val="center"/>
              <w:textAlignment w:val="center"/>
              <w:rPr>
                <w:rFonts w:hint="default" w:eastAsia="宋体"/>
                <w:color w:val="000000"/>
                <w:kern w:val="0"/>
                <w:szCs w:val="21"/>
                <w:lang w:val="en-US" w:eastAsia="zh-CN" w:bidi="ar"/>
              </w:rPr>
            </w:pPr>
            <w:r>
              <w:rPr>
                <w:rFonts w:hint="eastAsia"/>
                <w:color w:val="000000"/>
                <w:kern w:val="0"/>
                <w:szCs w:val="21"/>
                <w:lang w:val="en-US" w:eastAsia="zh-CN" w:bidi="ar"/>
              </w:rPr>
              <w:t>0.00003t/a</w:t>
            </w:r>
          </w:p>
        </w:tc>
        <w:tc>
          <w:tcPr>
            <w:tcW w:w="1417" w:type="dxa"/>
            <w:vAlign w:val="center"/>
          </w:tcPr>
          <w:p w14:paraId="3ED7F098">
            <w:pPr>
              <w:pStyle w:val="92"/>
              <w:spacing w:beforeLines="0" w:afterLines="0" w:line="240" w:lineRule="auto"/>
              <w:rPr>
                <w:rFonts w:ascii="Times New Roman"/>
                <w:snapToGrid w:val="0"/>
                <w:kern w:val="21"/>
                <w:szCs w:val="21"/>
              </w:rPr>
            </w:pPr>
          </w:p>
        </w:tc>
        <w:tc>
          <w:tcPr>
            <w:tcW w:w="1843" w:type="dxa"/>
            <w:vAlign w:val="center"/>
          </w:tcPr>
          <w:p w14:paraId="38EE0D67">
            <w:pPr>
              <w:widowControl/>
              <w:jc w:val="center"/>
              <w:textAlignment w:val="center"/>
              <w:rPr>
                <w:rFonts w:hint="eastAsia"/>
                <w:color w:val="000000"/>
                <w:kern w:val="0"/>
                <w:szCs w:val="21"/>
                <w:lang w:bidi="ar"/>
              </w:rPr>
            </w:pPr>
            <w:r>
              <w:rPr>
                <w:rFonts w:hint="eastAsia"/>
                <w:color w:val="000000"/>
                <w:kern w:val="0"/>
                <w:szCs w:val="21"/>
                <w:lang w:val="en-US" w:eastAsia="zh-CN" w:bidi="ar"/>
              </w:rPr>
              <w:t>0.00003t/a</w:t>
            </w:r>
          </w:p>
        </w:tc>
        <w:tc>
          <w:tcPr>
            <w:tcW w:w="1711" w:type="dxa"/>
            <w:vAlign w:val="center"/>
          </w:tcPr>
          <w:p w14:paraId="12BC4768">
            <w:pPr>
              <w:widowControl/>
              <w:jc w:val="center"/>
              <w:textAlignment w:val="center"/>
              <w:rPr>
                <w:color w:val="000000"/>
                <w:kern w:val="0"/>
                <w:szCs w:val="21"/>
                <w:lang w:bidi="ar"/>
              </w:rPr>
            </w:pPr>
            <w:r>
              <w:rPr>
                <w:rFonts w:hint="eastAsia"/>
                <w:color w:val="000000"/>
                <w:kern w:val="0"/>
                <w:szCs w:val="21"/>
                <w:lang w:val="en-US" w:eastAsia="zh-CN" w:bidi="ar"/>
              </w:rPr>
              <w:t>+0.00003t/a</w:t>
            </w:r>
          </w:p>
        </w:tc>
      </w:tr>
      <w:tr w14:paraId="0FF4BE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1" w:type="dxa"/>
            <w:vMerge w:val="restart"/>
            <w:vAlign w:val="center"/>
          </w:tcPr>
          <w:p w14:paraId="11CB4216">
            <w:pPr>
              <w:pStyle w:val="92"/>
              <w:spacing w:beforeLines="0" w:afterLines="0" w:line="240" w:lineRule="auto"/>
              <w:rPr>
                <w:rFonts w:ascii="Times New Roman"/>
                <w:snapToGrid w:val="0"/>
                <w:kern w:val="21"/>
                <w:szCs w:val="21"/>
              </w:rPr>
            </w:pPr>
            <w:r>
              <w:rPr>
                <w:rFonts w:ascii="Times New Roman"/>
                <w:snapToGrid w:val="0"/>
                <w:kern w:val="21"/>
                <w:szCs w:val="21"/>
              </w:rPr>
              <w:t>废水</w:t>
            </w:r>
          </w:p>
        </w:tc>
        <w:tc>
          <w:tcPr>
            <w:tcW w:w="1984" w:type="dxa"/>
            <w:vAlign w:val="center"/>
          </w:tcPr>
          <w:p w14:paraId="54AF03B0">
            <w:pPr>
              <w:pStyle w:val="92"/>
              <w:spacing w:beforeLines="0" w:afterLines="0" w:line="240" w:lineRule="auto"/>
              <w:rPr>
                <w:rFonts w:ascii="Times New Roman"/>
                <w:snapToGrid w:val="0"/>
                <w:kern w:val="21"/>
                <w:szCs w:val="21"/>
              </w:rPr>
            </w:pPr>
            <w:r>
              <w:rPr>
                <w:rFonts w:ascii="Times New Roman"/>
                <w:snapToGrid w:val="0"/>
                <w:kern w:val="21"/>
                <w:szCs w:val="21"/>
              </w:rPr>
              <w:t>COD</w:t>
            </w:r>
          </w:p>
        </w:tc>
        <w:tc>
          <w:tcPr>
            <w:tcW w:w="1701" w:type="dxa"/>
            <w:vAlign w:val="center"/>
          </w:tcPr>
          <w:p w14:paraId="718D4C0D">
            <w:pPr>
              <w:pStyle w:val="104"/>
              <w:rPr>
                <w:rFonts w:hAnsi="Times New Roman"/>
              </w:rPr>
            </w:pPr>
          </w:p>
        </w:tc>
        <w:tc>
          <w:tcPr>
            <w:tcW w:w="1134" w:type="dxa"/>
            <w:vAlign w:val="center"/>
          </w:tcPr>
          <w:p w14:paraId="345AD819">
            <w:pPr>
              <w:pStyle w:val="104"/>
              <w:rPr>
                <w:rFonts w:hAnsi="Times New Roman"/>
              </w:rPr>
            </w:pPr>
          </w:p>
        </w:tc>
        <w:tc>
          <w:tcPr>
            <w:tcW w:w="1418" w:type="dxa"/>
            <w:vAlign w:val="center"/>
          </w:tcPr>
          <w:p w14:paraId="5C02F3C6">
            <w:pPr>
              <w:pStyle w:val="92"/>
              <w:spacing w:beforeLines="0" w:afterLines="0" w:line="240" w:lineRule="auto"/>
              <w:rPr>
                <w:rFonts w:ascii="Times New Roman"/>
                <w:snapToGrid w:val="0"/>
                <w:kern w:val="21"/>
                <w:szCs w:val="21"/>
              </w:rPr>
            </w:pPr>
          </w:p>
        </w:tc>
        <w:tc>
          <w:tcPr>
            <w:tcW w:w="1559" w:type="dxa"/>
            <w:vAlign w:val="center"/>
          </w:tcPr>
          <w:p w14:paraId="6975DB9C">
            <w:pPr>
              <w:pStyle w:val="104"/>
              <w:rPr>
                <w:rFonts w:hAnsi="Times New Roman"/>
              </w:rPr>
            </w:pPr>
            <w:r>
              <w:rPr>
                <w:rFonts w:hint="eastAsia" w:hAnsi="Times New Roman"/>
              </w:rPr>
              <w:t>0.</w:t>
            </w:r>
            <w:r>
              <w:rPr>
                <w:rFonts w:hint="eastAsia" w:hAnsi="Times New Roman"/>
                <w:lang w:val="en-US" w:eastAsia="zh-CN"/>
              </w:rPr>
              <w:t>106</w:t>
            </w:r>
            <w:r>
              <w:rPr>
                <w:rFonts w:hAnsi="Times New Roman"/>
              </w:rPr>
              <w:t>t/a</w:t>
            </w:r>
          </w:p>
        </w:tc>
        <w:tc>
          <w:tcPr>
            <w:tcW w:w="1417" w:type="dxa"/>
            <w:vAlign w:val="center"/>
          </w:tcPr>
          <w:p w14:paraId="198006A0">
            <w:pPr>
              <w:pStyle w:val="92"/>
              <w:spacing w:beforeLines="0" w:afterLines="0" w:line="240" w:lineRule="auto"/>
              <w:rPr>
                <w:rFonts w:ascii="Times New Roman"/>
                <w:snapToGrid w:val="0"/>
                <w:kern w:val="21"/>
                <w:szCs w:val="21"/>
              </w:rPr>
            </w:pPr>
          </w:p>
        </w:tc>
        <w:tc>
          <w:tcPr>
            <w:tcW w:w="1843" w:type="dxa"/>
            <w:vAlign w:val="center"/>
          </w:tcPr>
          <w:p w14:paraId="4FC964D6">
            <w:pPr>
              <w:pStyle w:val="104"/>
              <w:rPr>
                <w:rFonts w:hAnsi="Times New Roman"/>
              </w:rPr>
            </w:pPr>
            <w:r>
              <w:rPr>
                <w:rFonts w:hint="eastAsia" w:hAnsi="Times New Roman"/>
              </w:rPr>
              <w:t>0.</w:t>
            </w:r>
            <w:r>
              <w:rPr>
                <w:rFonts w:hint="eastAsia" w:hAnsi="Times New Roman"/>
                <w:lang w:val="en-US" w:eastAsia="zh-CN"/>
              </w:rPr>
              <w:t>106</w:t>
            </w:r>
            <w:r>
              <w:rPr>
                <w:rFonts w:hAnsi="Times New Roman"/>
              </w:rPr>
              <w:t>t/a</w:t>
            </w:r>
          </w:p>
        </w:tc>
        <w:tc>
          <w:tcPr>
            <w:tcW w:w="1711" w:type="dxa"/>
            <w:vAlign w:val="center"/>
          </w:tcPr>
          <w:p w14:paraId="4B4B309E">
            <w:pPr>
              <w:pStyle w:val="104"/>
              <w:rPr>
                <w:rFonts w:hAnsi="Times New Roman"/>
              </w:rPr>
            </w:pPr>
            <w:r>
              <w:rPr>
                <w:rFonts w:hint="eastAsia" w:hAnsi="Times New Roman"/>
                <w:lang w:val="en-US" w:eastAsia="zh-CN"/>
              </w:rPr>
              <w:t>+</w:t>
            </w:r>
            <w:r>
              <w:rPr>
                <w:rFonts w:hint="eastAsia" w:hAnsi="Times New Roman"/>
              </w:rPr>
              <w:t>0.</w:t>
            </w:r>
            <w:r>
              <w:rPr>
                <w:rFonts w:hint="eastAsia" w:hAnsi="Times New Roman"/>
                <w:lang w:val="en-US" w:eastAsia="zh-CN"/>
              </w:rPr>
              <w:t>106</w:t>
            </w:r>
            <w:r>
              <w:rPr>
                <w:rFonts w:hAnsi="Times New Roman"/>
              </w:rPr>
              <w:t>t/a</w:t>
            </w:r>
          </w:p>
        </w:tc>
      </w:tr>
      <w:tr w14:paraId="73FA88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1" w:type="dxa"/>
            <w:vMerge w:val="continue"/>
            <w:vAlign w:val="center"/>
          </w:tcPr>
          <w:p w14:paraId="3E8601F5">
            <w:pPr>
              <w:pStyle w:val="92"/>
              <w:spacing w:beforeLines="0" w:afterLines="0" w:line="240" w:lineRule="auto"/>
              <w:rPr>
                <w:rFonts w:ascii="Times New Roman"/>
                <w:snapToGrid w:val="0"/>
                <w:kern w:val="21"/>
                <w:szCs w:val="21"/>
              </w:rPr>
            </w:pPr>
          </w:p>
        </w:tc>
        <w:tc>
          <w:tcPr>
            <w:tcW w:w="1984" w:type="dxa"/>
            <w:vAlign w:val="center"/>
          </w:tcPr>
          <w:p w14:paraId="430C9B30">
            <w:pPr>
              <w:pStyle w:val="92"/>
              <w:spacing w:beforeLines="0" w:afterLines="0" w:line="240" w:lineRule="auto"/>
              <w:rPr>
                <w:rFonts w:hint="eastAsia" w:ascii="Times New Roman" w:eastAsia="宋体"/>
                <w:snapToGrid w:val="0"/>
                <w:kern w:val="21"/>
                <w:szCs w:val="21"/>
                <w:lang w:eastAsia="zh-CN"/>
              </w:rPr>
            </w:pPr>
            <w:r>
              <w:rPr>
                <w:rFonts w:hint="eastAsia" w:ascii="Times New Roman"/>
                <w:snapToGrid w:val="0"/>
                <w:kern w:val="21"/>
                <w:szCs w:val="21"/>
                <w:lang w:val="en-US" w:eastAsia="zh-CN"/>
              </w:rPr>
              <w:t>总磷</w:t>
            </w:r>
          </w:p>
        </w:tc>
        <w:tc>
          <w:tcPr>
            <w:tcW w:w="1701" w:type="dxa"/>
            <w:vAlign w:val="center"/>
          </w:tcPr>
          <w:p w14:paraId="1ED740C4">
            <w:pPr>
              <w:pStyle w:val="104"/>
              <w:rPr>
                <w:rFonts w:hAnsi="Times New Roman"/>
              </w:rPr>
            </w:pPr>
          </w:p>
        </w:tc>
        <w:tc>
          <w:tcPr>
            <w:tcW w:w="1134" w:type="dxa"/>
            <w:vAlign w:val="center"/>
          </w:tcPr>
          <w:p w14:paraId="7A34C279">
            <w:pPr>
              <w:pStyle w:val="104"/>
              <w:rPr>
                <w:rFonts w:hAnsi="Times New Roman"/>
              </w:rPr>
            </w:pPr>
          </w:p>
        </w:tc>
        <w:tc>
          <w:tcPr>
            <w:tcW w:w="1418" w:type="dxa"/>
            <w:vAlign w:val="center"/>
          </w:tcPr>
          <w:p w14:paraId="7DBE996F">
            <w:pPr>
              <w:pStyle w:val="92"/>
              <w:spacing w:beforeLines="0" w:afterLines="0" w:line="240" w:lineRule="auto"/>
              <w:rPr>
                <w:rFonts w:ascii="Times New Roman"/>
                <w:snapToGrid w:val="0"/>
                <w:kern w:val="21"/>
                <w:szCs w:val="21"/>
              </w:rPr>
            </w:pPr>
          </w:p>
        </w:tc>
        <w:tc>
          <w:tcPr>
            <w:tcW w:w="1559" w:type="dxa"/>
            <w:vAlign w:val="center"/>
          </w:tcPr>
          <w:p w14:paraId="130B365A">
            <w:pPr>
              <w:pStyle w:val="104"/>
              <w:rPr>
                <w:rFonts w:hAnsi="Times New Roman"/>
              </w:rPr>
            </w:pPr>
            <w:r>
              <w:rPr>
                <w:rFonts w:hint="eastAsia" w:hAnsi="Times New Roman"/>
              </w:rPr>
              <w:t>0.00</w:t>
            </w:r>
            <w:r>
              <w:rPr>
                <w:rFonts w:hint="eastAsia" w:hAnsi="Times New Roman"/>
                <w:lang w:val="en-US" w:eastAsia="zh-CN"/>
              </w:rPr>
              <w:t>1</w:t>
            </w:r>
            <w:r>
              <w:rPr>
                <w:rFonts w:hAnsi="Times New Roman"/>
              </w:rPr>
              <w:t>t/a</w:t>
            </w:r>
          </w:p>
        </w:tc>
        <w:tc>
          <w:tcPr>
            <w:tcW w:w="1417" w:type="dxa"/>
            <w:vAlign w:val="center"/>
          </w:tcPr>
          <w:p w14:paraId="15150F73">
            <w:pPr>
              <w:pStyle w:val="92"/>
              <w:spacing w:beforeLines="0" w:afterLines="0" w:line="240" w:lineRule="auto"/>
              <w:rPr>
                <w:rFonts w:ascii="Times New Roman"/>
                <w:snapToGrid w:val="0"/>
                <w:kern w:val="21"/>
                <w:szCs w:val="21"/>
              </w:rPr>
            </w:pPr>
          </w:p>
        </w:tc>
        <w:tc>
          <w:tcPr>
            <w:tcW w:w="1843" w:type="dxa"/>
            <w:vAlign w:val="center"/>
          </w:tcPr>
          <w:p w14:paraId="1C754241">
            <w:pPr>
              <w:pStyle w:val="104"/>
              <w:rPr>
                <w:rFonts w:hAnsi="Times New Roman"/>
              </w:rPr>
            </w:pPr>
            <w:r>
              <w:rPr>
                <w:rFonts w:hint="eastAsia" w:hAnsi="Times New Roman"/>
              </w:rPr>
              <w:t>0.00</w:t>
            </w:r>
            <w:r>
              <w:rPr>
                <w:rFonts w:hint="eastAsia" w:hAnsi="Times New Roman"/>
                <w:lang w:val="en-US" w:eastAsia="zh-CN"/>
              </w:rPr>
              <w:t>1</w:t>
            </w:r>
            <w:r>
              <w:rPr>
                <w:rFonts w:hAnsi="Times New Roman"/>
              </w:rPr>
              <w:t>t/a</w:t>
            </w:r>
          </w:p>
        </w:tc>
        <w:tc>
          <w:tcPr>
            <w:tcW w:w="1711" w:type="dxa"/>
            <w:vAlign w:val="center"/>
          </w:tcPr>
          <w:p w14:paraId="0077FCD4">
            <w:pPr>
              <w:pStyle w:val="104"/>
              <w:rPr>
                <w:rFonts w:hAnsi="Times New Roman"/>
              </w:rPr>
            </w:pPr>
            <w:r>
              <w:rPr>
                <w:rFonts w:hint="eastAsia" w:hAnsi="Times New Roman"/>
                <w:lang w:val="en-US" w:eastAsia="zh-CN"/>
              </w:rPr>
              <w:t>+</w:t>
            </w:r>
            <w:r>
              <w:rPr>
                <w:rFonts w:hint="eastAsia" w:hAnsi="Times New Roman"/>
              </w:rPr>
              <w:t>0.00</w:t>
            </w:r>
            <w:r>
              <w:rPr>
                <w:rFonts w:hint="eastAsia" w:hAnsi="Times New Roman"/>
                <w:lang w:val="en-US" w:eastAsia="zh-CN"/>
              </w:rPr>
              <w:t>1</w:t>
            </w:r>
            <w:r>
              <w:rPr>
                <w:rFonts w:hAnsi="Times New Roman"/>
              </w:rPr>
              <w:t>t/a</w:t>
            </w:r>
          </w:p>
        </w:tc>
      </w:tr>
      <w:tr w14:paraId="231442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1" w:type="dxa"/>
            <w:vMerge w:val="restart"/>
            <w:vAlign w:val="center"/>
          </w:tcPr>
          <w:p w14:paraId="4DD345D3">
            <w:pPr>
              <w:pStyle w:val="92"/>
              <w:spacing w:beforeLines="0" w:afterLines="0" w:line="240" w:lineRule="auto"/>
              <w:rPr>
                <w:rFonts w:ascii="Times New Roman"/>
                <w:snapToGrid w:val="0"/>
                <w:kern w:val="21"/>
                <w:szCs w:val="21"/>
              </w:rPr>
            </w:pPr>
            <w:r>
              <w:rPr>
                <w:rFonts w:ascii="Times New Roman"/>
                <w:snapToGrid w:val="0"/>
                <w:kern w:val="21"/>
                <w:szCs w:val="21"/>
              </w:rPr>
              <w:t>一般工业固体废物</w:t>
            </w:r>
          </w:p>
        </w:tc>
        <w:tc>
          <w:tcPr>
            <w:tcW w:w="1984" w:type="dxa"/>
            <w:vAlign w:val="center"/>
          </w:tcPr>
          <w:p w14:paraId="4BA64F42">
            <w:pPr>
              <w:pStyle w:val="257"/>
              <w:rPr>
                <w:rFonts w:hint="default" w:eastAsia="宋体"/>
                <w:lang w:val="en-US" w:eastAsia="zh-CN"/>
              </w:rPr>
            </w:pPr>
            <w:r>
              <w:rPr>
                <w:rFonts w:hint="eastAsia"/>
                <w:lang w:val="en-US" w:eastAsia="zh-CN"/>
              </w:rPr>
              <w:t>杂质石子S1</w:t>
            </w:r>
          </w:p>
        </w:tc>
        <w:tc>
          <w:tcPr>
            <w:tcW w:w="1701" w:type="dxa"/>
            <w:vAlign w:val="center"/>
          </w:tcPr>
          <w:p w14:paraId="3BA94B7E">
            <w:pPr>
              <w:pStyle w:val="104"/>
              <w:rPr>
                <w:rFonts w:hAnsi="Times New Roman"/>
              </w:rPr>
            </w:pPr>
          </w:p>
        </w:tc>
        <w:tc>
          <w:tcPr>
            <w:tcW w:w="1134" w:type="dxa"/>
            <w:vAlign w:val="center"/>
          </w:tcPr>
          <w:p w14:paraId="3D651539">
            <w:pPr>
              <w:adjustRightInd w:val="0"/>
              <w:snapToGrid w:val="0"/>
              <w:jc w:val="center"/>
            </w:pPr>
          </w:p>
        </w:tc>
        <w:tc>
          <w:tcPr>
            <w:tcW w:w="1418" w:type="dxa"/>
            <w:vAlign w:val="center"/>
          </w:tcPr>
          <w:p w14:paraId="41832CAB">
            <w:pPr>
              <w:pStyle w:val="92"/>
              <w:spacing w:beforeLines="0" w:afterLines="0" w:line="240" w:lineRule="auto"/>
              <w:rPr>
                <w:rFonts w:ascii="Times New Roman"/>
                <w:snapToGrid w:val="0"/>
                <w:kern w:val="21"/>
                <w:szCs w:val="21"/>
              </w:rPr>
            </w:pPr>
          </w:p>
        </w:tc>
        <w:tc>
          <w:tcPr>
            <w:tcW w:w="1559" w:type="dxa"/>
            <w:vAlign w:val="center"/>
          </w:tcPr>
          <w:p w14:paraId="234A8095">
            <w:pPr>
              <w:pStyle w:val="257"/>
            </w:pPr>
            <w:r>
              <w:rPr>
                <w:rFonts w:hint="eastAsia"/>
              </w:rPr>
              <w:t>1</w:t>
            </w:r>
            <w:r>
              <w:rPr>
                <w:color w:val="000000"/>
              </w:rPr>
              <w:t>t/a</w:t>
            </w:r>
          </w:p>
        </w:tc>
        <w:tc>
          <w:tcPr>
            <w:tcW w:w="1417" w:type="dxa"/>
            <w:vAlign w:val="center"/>
          </w:tcPr>
          <w:p w14:paraId="549B3442">
            <w:pPr>
              <w:pStyle w:val="92"/>
              <w:spacing w:beforeLines="0" w:afterLines="0" w:line="240" w:lineRule="auto"/>
              <w:rPr>
                <w:rFonts w:ascii="Times New Roman"/>
                <w:snapToGrid w:val="0"/>
                <w:kern w:val="21"/>
                <w:szCs w:val="21"/>
              </w:rPr>
            </w:pPr>
          </w:p>
        </w:tc>
        <w:tc>
          <w:tcPr>
            <w:tcW w:w="1843" w:type="dxa"/>
            <w:vAlign w:val="center"/>
          </w:tcPr>
          <w:p w14:paraId="58195CD4">
            <w:pPr>
              <w:pStyle w:val="257"/>
            </w:pPr>
            <w:r>
              <w:rPr>
                <w:rFonts w:hint="eastAsia"/>
              </w:rPr>
              <w:t>1</w:t>
            </w:r>
            <w:r>
              <w:rPr>
                <w:color w:val="000000"/>
              </w:rPr>
              <w:t>t/a</w:t>
            </w:r>
          </w:p>
        </w:tc>
        <w:tc>
          <w:tcPr>
            <w:tcW w:w="1711" w:type="dxa"/>
            <w:vAlign w:val="center"/>
          </w:tcPr>
          <w:p w14:paraId="4DD1C8D2">
            <w:pPr>
              <w:pStyle w:val="257"/>
            </w:pPr>
            <w:r>
              <w:rPr>
                <w:rFonts w:hint="eastAsia"/>
                <w:lang w:val="en-US" w:eastAsia="zh-CN"/>
              </w:rPr>
              <w:t>+</w:t>
            </w:r>
            <w:r>
              <w:rPr>
                <w:rFonts w:hint="eastAsia"/>
              </w:rPr>
              <w:t>1</w:t>
            </w:r>
            <w:r>
              <w:rPr>
                <w:color w:val="000000"/>
              </w:rPr>
              <w:t>t/a</w:t>
            </w:r>
          </w:p>
        </w:tc>
      </w:tr>
      <w:tr w14:paraId="737C5C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1" w:type="dxa"/>
            <w:vMerge w:val="continue"/>
            <w:vAlign w:val="center"/>
          </w:tcPr>
          <w:p w14:paraId="16151CF9">
            <w:pPr>
              <w:pStyle w:val="92"/>
              <w:spacing w:beforeLines="0" w:afterLines="0" w:line="240" w:lineRule="auto"/>
              <w:rPr>
                <w:rFonts w:ascii="Times New Roman"/>
                <w:snapToGrid w:val="0"/>
                <w:kern w:val="21"/>
                <w:szCs w:val="21"/>
              </w:rPr>
            </w:pPr>
          </w:p>
        </w:tc>
        <w:tc>
          <w:tcPr>
            <w:tcW w:w="1984" w:type="dxa"/>
            <w:vAlign w:val="center"/>
          </w:tcPr>
          <w:p w14:paraId="7AF40DEA">
            <w:pPr>
              <w:pStyle w:val="257"/>
              <w:rPr>
                <w:rFonts w:hint="default" w:eastAsia="宋体"/>
                <w:lang w:val="en-US" w:eastAsia="zh-CN"/>
              </w:rPr>
            </w:pPr>
            <w:r>
              <w:rPr>
                <w:rFonts w:hint="eastAsia"/>
                <w:lang w:val="en-US" w:eastAsia="zh-CN"/>
              </w:rPr>
              <w:t>废包装袋S2</w:t>
            </w:r>
          </w:p>
        </w:tc>
        <w:tc>
          <w:tcPr>
            <w:tcW w:w="1701" w:type="dxa"/>
            <w:vAlign w:val="center"/>
          </w:tcPr>
          <w:p w14:paraId="4AB84101">
            <w:pPr>
              <w:pStyle w:val="104"/>
              <w:rPr>
                <w:rFonts w:hAnsi="Times New Roman"/>
              </w:rPr>
            </w:pPr>
          </w:p>
        </w:tc>
        <w:tc>
          <w:tcPr>
            <w:tcW w:w="1134" w:type="dxa"/>
            <w:vAlign w:val="center"/>
          </w:tcPr>
          <w:p w14:paraId="0F4AA210">
            <w:pPr>
              <w:pStyle w:val="104"/>
              <w:rPr>
                <w:rFonts w:hAnsi="Times New Roman"/>
              </w:rPr>
            </w:pPr>
          </w:p>
        </w:tc>
        <w:tc>
          <w:tcPr>
            <w:tcW w:w="1418" w:type="dxa"/>
            <w:vAlign w:val="center"/>
          </w:tcPr>
          <w:p w14:paraId="48F21DBE">
            <w:pPr>
              <w:pStyle w:val="92"/>
              <w:spacing w:beforeLines="0" w:afterLines="0" w:line="240" w:lineRule="auto"/>
              <w:rPr>
                <w:rFonts w:ascii="Times New Roman"/>
                <w:snapToGrid w:val="0"/>
                <w:kern w:val="21"/>
                <w:szCs w:val="21"/>
              </w:rPr>
            </w:pPr>
          </w:p>
        </w:tc>
        <w:tc>
          <w:tcPr>
            <w:tcW w:w="1559" w:type="dxa"/>
            <w:vAlign w:val="center"/>
          </w:tcPr>
          <w:p w14:paraId="07970F48">
            <w:pPr>
              <w:pStyle w:val="257"/>
            </w:pPr>
            <w:r>
              <w:rPr>
                <w:rFonts w:hint="eastAsia"/>
                <w:lang w:val="en-US" w:eastAsia="zh-CN"/>
              </w:rPr>
              <w:t>4</w:t>
            </w:r>
            <w:r>
              <w:rPr>
                <w:color w:val="000000"/>
              </w:rPr>
              <w:t>t/a</w:t>
            </w:r>
          </w:p>
        </w:tc>
        <w:tc>
          <w:tcPr>
            <w:tcW w:w="1417" w:type="dxa"/>
            <w:vAlign w:val="center"/>
          </w:tcPr>
          <w:p w14:paraId="04B33A52">
            <w:pPr>
              <w:pStyle w:val="92"/>
              <w:spacing w:beforeLines="0" w:afterLines="0" w:line="240" w:lineRule="auto"/>
              <w:rPr>
                <w:rFonts w:ascii="Times New Roman"/>
                <w:snapToGrid w:val="0"/>
                <w:kern w:val="21"/>
                <w:szCs w:val="21"/>
              </w:rPr>
            </w:pPr>
          </w:p>
        </w:tc>
        <w:tc>
          <w:tcPr>
            <w:tcW w:w="1843" w:type="dxa"/>
            <w:vAlign w:val="center"/>
          </w:tcPr>
          <w:p w14:paraId="63200307">
            <w:pPr>
              <w:pStyle w:val="257"/>
            </w:pPr>
            <w:r>
              <w:rPr>
                <w:rFonts w:hint="eastAsia"/>
                <w:lang w:val="en-US" w:eastAsia="zh-CN"/>
              </w:rPr>
              <w:t>4</w:t>
            </w:r>
            <w:r>
              <w:rPr>
                <w:color w:val="000000"/>
              </w:rPr>
              <w:t>t/a</w:t>
            </w:r>
          </w:p>
        </w:tc>
        <w:tc>
          <w:tcPr>
            <w:tcW w:w="1711" w:type="dxa"/>
            <w:vAlign w:val="center"/>
          </w:tcPr>
          <w:p w14:paraId="63A8BBE6">
            <w:pPr>
              <w:pStyle w:val="257"/>
            </w:pPr>
            <w:r>
              <w:rPr>
                <w:rFonts w:hint="eastAsia"/>
                <w:lang w:val="en-US" w:eastAsia="zh-CN"/>
              </w:rPr>
              <w:t>+4</w:t>
            </w:r>
            <w:r>
              <w:rPr>
                <w:color w:val="000000"/>
              </w:rPr>
              <w:t>t/a</w:t>
            </w:r>
          </w:p>
        </w:tc>
      </w:tr>
      <w:tr w14:paraId="2686C0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1" w:type="dxa"/>
            <w:vMerge w:val="continue"/>
            <w:vAlign w:val="center"/>
          </w:tcPr>
          <w:p w14:paraId="2E4357EE">
            <w:pPr>
              <w:pStyle w:val="92"/>
              <w:spacing w:beforeLines="0" w:afterLines="0" w:line="240" w:lineRule="auto"/>
              <w:rPr>
                <w:rFonts w:ascii="Times New Roman"/>
                <w:snapToGrid w:val="0"/>
                <w:kern w:val="21"/>
                <w:szCs w:val="21"/>
              </w:rPr>
            </w:pPr>
          </w:p>
        </w:tc>
        <w:tc>
          <w:tcPr>
            <w:tcW w:w="1984" w:type="dxa"/>
            <w:vAlign w:val="center"/>
          </w:tcPr>
          <w:p w14:paraId="74A60D18">
            <w:pPr>
              <w:pStyle w:val="257"/>
              <w:rPr>
                <w:rFonts w:hint="default"/>
                <w:lang w:val="en-US" w:eastAsia="zh-CN"/>
              </w:rPr>
            </w:pPr>
            <w:r>
              <w:rPr>
                <w:rFonts w:hint="eastAsia"/>
                <w:lang w:val="en-US" w:eastAsia="zh-CN"/>
              </w:rPr>
              <w:t>废离子交换树脂S3</w:t>
            </w:r>
          </w:p>
        </w:tc>
        <w:tc>
          <w:tcPr>
            <w:tcW w:w="1701" w:type="dxa"/>
            <w:vAlign w:val="center"/>
          </w:tcPr>
          <w:p w14:paraId="181A46FC">
            <w:pPr>
              <w:pStyle w:val="104"/>
              <w:rPr>
                <w:rFonts w:hAnsi="Times New Roman"/>
              </w:rPr>
            </w:pPr>
          </w:p>
        </w:tc>
        <w:tc>
          <w:tcPr>
            <w:tcW w:w="1134" w:type="dxa"/>
            <w:vAlign w:val="center"/>
          </w:tcPr>
          <w:p w14:paraId="6AFD42B5">
            <w:pPr>
              <w:pStyle w:val="104"/>
              <w:rPr>
                <w:rFonts w:hAnsi="Times New Roman"/>
              </w:rPr>
            </w:pPr>
          </w:p>
        </w:tc>
        <w:tc>
          <w:tcPr>
            <w:tcW w:w="1418" w:type="dxa"/>
            <w:vAlign w:val="center"/>
          </w:tcPr>
          <w:p w14:paraId="1D90BF34">
            <w:pPr>
              <w:pStyle w:val="92"/>
              <w:spacing w:beforeLines="0" w:afterLines="0" w:line="240" w:lineRule="auto"/>
              <w:rPr>
                <w:rFonts w:ascii="Times New Roman"/>
                <w:snapToGrid w:val="0"/>
                <w:kern w:val="21"/>
                <w:szCs w:val="21"/>
              </w:rPr>
            </w:pPr>
          </w:p>
        </w:tc>
        <w:tc>
          <w:tcPr>
            <w:tcW w:w="1559" w:type="dxa"/>
            <w:vAlign w:val="center"/>
          </w:tcPr>
          <w:p w14:paraId="57F80EDC">
            <w:pPr>
              <w:pStyle w:val="257"/>
              <w:rPr>
                <w:rFonts w:hint="default"/>
                <w:lang w:val="en-US" w:eastAsia="zh-CN"/>
              </w:rPr>
            </w:pPr>
            <w:r>
              <w:rPr>
                <w:rFonts w:hint="eastAsia"/>
                <w:lang w:val="en-US" w:eastAsia="zh-CN"/>
              </w:rPr>
              <w:t>0.2t/a</w:t>
            </w:r>
          </w:p>
        </w:tc>
        <w:tc>
          <w:tcPr>
            <w:tcW w:w="1417" w:type="dxa"/>
            <w:vAlign w:val="center"/>
          </w:tcPr>
          <w:p w14:paraId="4DADD6A0">
            <w:pPr>
              <w:pStyle w:val="92"/>
              <w:spacing w:beforeLines="0" w:afterLines="0" w:line="240" w:lineRule="auto"/>
              <w:rPr>
                <w:rFonts w:ascii="Times New Roman"/>
                <w:snapToGrid w:val="0"/>
                <w:kern w:val="21"/>
                <w:szCs w:val="21"/>
              </w:rPr>
            </w:pPr>
          </w:p>
        </w:tc>
        <w:tc>
          <w:tcPr>
            <w:tcW w:w="1843" w:type="dxa"/>
            <w:vAlign w:val="center"/>
          </w:tcPr>
          <w:p w14:paraId="7B276273">
            <w:pPr>
              <w:pStyle w:val="257"/>
              <w:rPr>
                <w:rFonts w:hint="default"/>
                <w:lang w:val="en-US" w:eastAsia="zh-CN"/>
              </w:rPr>
            </w:pPr>
            <w:r>
              <w:rPr>
                <w:rFonts w:hint="eastAsia"/>
                <w:lang w:val="en-US" w:eastAsia="zh-CN"/>
              </w:rPr>
              <w:t>0.2t/a</w:t>
            </w:r>
          </w:p>
        </w:tc>
        <w:tc>
          <w:tcPr>
            <w:tcW w:w="1711" w:type="dxa"/>
            <w:vAlign w:val="center"/>
          </w:tcPr>
          <w:p w14:paraId="2A6E5611">
            <w:pPr>
              <w:pStyle w:val="257"/>
              <w:rPr>
                <w:rFonts w:hint="default"/>
                <w:lang w:val="en-US" w:eastAsia="zh-CN"/>
              </w:rPr>
            </w:pPr>
            <w:r>
              <w:rPr>
                <w:rFonts w:hint="eastAsia"/>
                <w:lang w:val="en-US" w:eastAsia="zh-CN"/>
              </w:rPr>
              <w:t>+0.2t/a</w:t>
            </w:r>
          </w:p>
        </w:tc>
      </w:tr>
      <w:tr w14:paraId="75440E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1" w:type="dxa"/>
            <w:vMerge w:val="continue"/>
            <w:vAlign w:val="center"/>
          </w:tcPr>
          <w:p w14:paraId="3F77C8E9">
            <w:pPr>
              <w:pStyle w:val="92"/>
              <w:spacing w:beforeLines="0" w:afterLines="0" w:line="240" w:lineRule="auto"/>
              <w:rPr>
                <w:rFonts w:ascii="Times New Roman"/>
                <w:snapToGrid w:val="0"/>
                <w:kern w:val="21"/>
                <w:szCs w:val="21"/>
              </w:rPr>
            </w:pPr>
          </w:p>
        </w:tc>
        <w:tc>
          <w:tcPr>
            <w:tcW w:w="1984" w:type="dxa"/>
            <w:vAlign w:val="center"/>
          </w:tcPr>
          <w:p w14:paraId="58812ABC">
            <w:pPr>
              <w:pStyle w:val="257"/>
              <w:rPr>
                <w:rFonts w:hint="default"/>
                <w:lang w:val="en-US" w:eastAsia="zh-CN"/>
              </w:rPr>
            </w:pPr>
            <w:r>
              <w:rPr>
                <w:rFonts w:hint="eastAsia"/>
                <w:lang w:val="en-US" w:eastAsia="zh-CN"/>
              </w:rPr>
              <w:t>废活性炭S4</w:t>
            </w:r>
          </w:p>
        </w:tc>
        <w:tc>
          <w:tcPr>
            <w:tcW w:w="1701" w:type="dxa"/>
            <w:vAlign w:val="center"/>
          </w:tcPr>
          <w:p w14:paraId="59B4E143">
            <w:pPr>
              <w:pStyle w:val="104"/>
              <w:rPr>
                <w:rFonts w:hAnsi="Times New Roman"/>
              </w:rPr>
            </w:pPr>
          </w:p>
        </w:tc>
        <w:tc>
          <w:tcPr>
            <w:tcW w:w="1134" w:type="dxa"/>
            <w:vAlign w:val="center"/>
          </w:tcPr>
          <w:p w14:paraId="2803A285">
            <w:pPr>
              <w:pStyle w:val="104"/>
              <w:rPr>
                <w:rFonts w:hAnsi="Times New Roman"/>
              </w:rPr>
            </w:pPr>
          </w:p>
        </w:tc>
        <w:tc>
          <w:tcPr>
            <w:tcW w:w="1418" w:type="dxa"/>
            <w:vAlign w:val="center"/>
          </w:tcPr>
          <w:p w14:paraId="23AB40C3">
            <w:pPr>
              <w:pStyle w:val="92"/>
              <w:spacing w:beforeLines="0" w:afterLines="0" w:line="240" w:lineRule="auto"/>
              <w:rPr>
                <w:rFonts w:ascii="Times New Roman"/>
                <w:snapToGrid w:val="0"/>
                <w:kern w:val="21"/>
                <w:szCs w:val="21"/>
              </w:rPr>
            </w:pPr>
          </w:p>
        </w:tc>
        <w:tc>
          <w:tcPr>
            <w:tcW w:w="1559" w:type="dxa"/>
            <w:vAlign w:val="center"/>
          </w:tcPr>
          <w:p w14:paraId="68CE377B">
            <w:pPr>
              <w:pStyle w:val="257"/>
              <w:rPr>
                <w:rFonts w:hint="default"/>
                <w:lang w:val="en-US" w:eastAsia="zh-CN"/>
              </w:rPr>
            </w:pPr>
            <w:r>
              <w:rPr>
                <w:rFonts w:hint="eastAsia"/>
                <w:lang w:val="en-US" w:eastAsia="zh-CN"/>
              </w:rPr>
              <w:t>0.4t/a</w:t>
            </w:r>
          </w:p>
        </w:tc>
        <w:tc>
          <w:tcPr>
            <w:tcW w:w="1417" w:type="dxa"/>
            <w:vAlign w:val="center"/>
          </w:tcPr>
          <w:p w14:paraId="0215BE29">
            <w:pPr>
              <w:pStyle w:val="92"/>
              <w:spacing w:beforeLines="0" w:afterLines="0" w:line="240" w:lineRule="auto"/>
              <w:rPr>
                <w:rFonts w:ascii="Times New Roman"/>
                <w:snapToGrid w:val="0"/>
                <w:kern w:val="21"/>
                <w:szCs w:val="21"/>
              </w:rPr>
            </w:pPr>
          </w:p>
        </w:tc>
        <w:tc>
          <w:tcPr>
            <w:tcW w:w="1843" w:type="dxa"/>
            <w:vAlign w:val="center"/>
          </w:tcPr>
          <w:p w14:paraId="6342FB63">
            <w:pPr>
              <w:jc w:val="center"/>
              <w:rPr>
                <w:rFonts w:hint="eastAsia"/>
                <w:lang w:val="en-US" w:eastAsia="zh-CN"/>
              </w:rPr>
            </w:pPr>
            <w:r>
              <w:rPr>
                <w:rFonts w:hint="eastAsia"/>
                <w:lang w:val="en-US" w:eastAsia="zh-CN"/>
              </w:rPr>
              <w:t>0.4t/a</w:t>
            </w:r>
          </w:p>
        </w:tc>
        <w:tc>
          <w:tcPr>
            <w:tcW w:w="1711" w:type="dxa"/>
            <w:vAlign w:val="center"/>
          </w:tcPr>
          <w:p w14:paraId="2847482E">
            <w:pPr>
              <w:jc w:val="center"/>
              <w:rPr>
                <w:rFonts w:hint="eastAsia"/>
                <w:lang w:val="en-US" w:eastAsia="zh-CN"/>
              </w:rPr>
            </w:pPr>
            <w:r>
              <w:rPr>
                <w:rFonts w:hint="eastAsia"/>
                <w:lang w:val="en-US" w:eastAsia="zh-CN"/>
              </w:rPr>
              <w:t>+0.4t/a</w:t>
            </w:r>
          </w:p>
        </w:tc>
      </w:tr>
      <w:tr w14:paraId="2BD16A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1" w:type="dxa"/>
            <w:vMerge w:val="continue"/>
            <w:vAlign w:val="center"/>
          </w:tcPr>
          <w:p w14:paraId="1B8F7E23">
            <w:pPr>
              <w:pStyle w:val="92"/>
              <w:spacing w:beforeLines="0" w:afterLines="0" w:line="240" w:lineRule="auto"/>
              <w:rPr>
                <w:rFonts w:ascii="Times New Roman"/>
                <w:snapToGrid w:val="0"/>
                <w:kern w:val="21"/>
                <w:szCs w:val="21"/>
              </w:rPr>
            </w:pPr>
          </w:p>
        </w:tc>
        <w:tc>
          <w:tcPr>
            <w:tcW w:w="1984" w:type="dxa"/>
            <w:vAlign w:val="center"/>
          </w:tcPr>
          <w:p w14:paraId="479AC0BE">
            <w:pPr>
              <w:pStyle w:val="257"/>
              <w:rPr>
                <w:rFonts w:hint="default" w:eastAsia="宋体"/>
                <w:lang w:val="en-US" w:eastAsia="zh-CN"/>
              </w:rPr>
            </w:pPr>
            <w:r>
              <w:rPr>
                <w:rFonts w:hint="eastAsia"/>
                <w:lang w:val="en-US" w:eastAsia="zh-CN"/>
              </w:rPr>
              <w:t>生活垃圾S5</w:t>
            </w:r>
          </w:p>
        </w:tc>
        <w:tc>
          <w:tcPr>
            <w:tcW w:w="1701" w:type="dxa"/>
            <w:vAlign w:val="center"/>
          </w:tcPr>
          <w:p w14:paraId="0FA01340">
            <w:pPr>
              <w:pStyle w:val="104"/>
              <w:rPr>
                <w:rFonts w:hAnsi="Times New Roman"/>
              </w:rPr>
            </w:pPr>
          </w:p>
        </w:tc>
        <w:tc>
          <w:tcPr>
            <w:tcW w:w="1134" w:type="dxa"/>
            <w:vAlign w:val="center"/>
          </w:tcPr>
          <w:p w14:paraId="602E8868">
            <w:pPr>
              <w:pStyle w:val="104"/>
              <w:rPr>
                <w:rFonts w:hAnsi="Times New Roman"/>
              </w:rPr>
            </w:pPr>
          </w:p>
        </w:tc>
        <w:tc>
          <w:tcPr>
            <w:tcW w:w="1418" w:type="dxa"/>
            <w:vAlign w:val="center"/>
          </w:tcPr>
          <w:p w14:paraId="5625D22B">
            <w:pPr>
              <w:pStyle w:val="92"/>
              <w:spacing w:beforeLines="0" w:afterLines="0" w:line="240" w:lineRule="auto"/>
              <w:rPr>
                <w:rFonts w:ascii="Times New Roman"/>
                <w:snapToGrid w:val="0"/>
                <w:kern w:val="21"/>
                <w:szCs w:val="21"/>
              </w:rPr>
            </w:pPr>
          </w:p>
        </w:tc>
        <w:tc>
          <w:tcPr>
            <w:tcW w:w="1559" w:type="dxa"/>
            <w:vAlign w:val="center"/>
          </w:tcPr>
          <w:p w14:paraId="3E88137E">
            <w:pPr>
              <w:pStyle w:val="257"/>
            </w:pPr>
            <w:r>
              <w:rPr>
                <w:rFonts w:hint="eastAsia"/>
                <w:lang w:val="en-US" w:eastAsia="zh-CN"/>
              </w:rPr>
              <w:t>1.5</w:t>
            </w:r>
            <w:r>
              <w:rPr>
                <w:color w:val="000000"/>
              </w:rPr>
              <w:t>t/a</w:t>
            </w:r>
          </w:p>
        </w:tc>
        <w:tc>
          <w:tcPr>
            <w:tcW w:w="1417" w:type="dxa"/>
            <w:vAlign w:val="center"/>
          </w:tcPr>
          <w:p w14:paraId="143C0BB7">
            <w:pPr>
              <w:pStyle w:val="92"/>
              <w:spacing w:beforeLines="0" w:afterLines="0" w:line="240" w:lineRule="auto"/>
              <w:rPr>
                <w:rFonts w:ascii="Times New Roman"/>
                <w:snapToGrid w:val="0"/>
                <w:kern w:val="21"/>
                <w:szCs w:val="21"/>
              </w:rPr>
            </w:pPr>
          </w:p>
        </w:tc>
        <w:tc>
          <w:tcPr>
            <w:tcW w:w="1843" w:type="dxa"/>
            <w:vAlign w:val="center"/>
          </w:tcPr>
          <w:p w14:paraId="21305640">
            <w:pPr>
              <w:pStyle w:val="257"/>
            </w:pPr>
            <w:r>
              <w:rPr>
                <w:rFonts w:hint="eastAsia"/>
                <w:lang w:val="en-US" w:eastAsia="zh-CN"/>
              </w:rPr>
              <w:t>1.5</w:t>
            </w:r>
            <w:r>
              <w:rPr>
                <w:color w:val="000000"/>
              </w:rPr>
              <w:t>t/a</w:t>
            </w:r>
          </w:p>
        </w:tc>
        <w:tc>
          <w:tcPr>
            <w:tcW w:w="1711" w:type="dxa"/>
            <w:vAlign w:val="center"/>
          </w:tcPr>
          <w:p w14:paraId="44A27868">
            <w:pPr>
              <w:pStyle w:val="257"/>
            </w:pPr>
            <w:r>
              <w:rPr>
                <w:rFonts w:hint="eastAsia"/>
                <w:lang w:val="en-US" w:eastAsia="zh-CN"/>
              </w:rPr>
              <w:t>+1.5</w:t>
            </w:r>
            <w:r>
              <w:rPr>
                <w:color w:val="000000"/>
              </w:rPr>
              <w:t>t/a</w:t>
            </w:r>
          </w:p>
        </w:tc>
      </w:tr>
    </w:tbl>
    <w:p w14:paraId="55289385">
      <w:pPr>
        <w:pStyle w:val="92"/>
        <w:spacing w:before="192" w:beforeLines="80" w:after="24"/>
        <w:jc w:val="left"/>
        <w:rPr>
          <w:rFonts w:ascii="Times New Roman" w:eastAsia="黑体"/>
          <w:bCs/>
          <w:sz w:val="32"/>
          <w:szCs w:val="32"/>
        </w:rPr>
      </w:pPr>
      <w:r>
        <w:rPr>
          <w:rFonts w:ascii="Times New Roman"/>
          <w:snapToGrid w:val="0"/>
          <w:kern w:val="21"/>
          <w:szCs w:val="21"/>
        </w:rPr>
        <w:t>注：</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hAnsi="宋体" w:cs="宋体"/>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hAnsi="宋体" w:cs="宋体"/>
          <w:szCs w:val="21"/>
        </w:rPr>
        <w:t>①</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hint="eastAsia" w:hAnsi="宋体" w:cs="宋体"/>
          <w:szCs w:val="21"/>
        </w:rPr>
        <w:t>③</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hint="eastAsia" w:hAnsi="宋体" w:cs="宋体"/>
          <w:szCs w:val="21"/>
        </w:rPr>
        <w:t>④</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hint="eastAsia" w:hAnsi="宋体" w:cs="宋体"/>
          <w:szCs w:val="21"/>
        </w:rPr>
        <w:t>⑤</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hint="eastAsia" w:hAnsi="宋体" w:cs="宋体"/>
          <w:szCs w:val="21"/>
        </w:rPr>
        <w:t>⑦</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hint="eastAsia" w:hAnsi="宋体" w:cs="宋体"/>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hint="eastAsia" w:hAnsi="宋体" w:cs="宋体"/>
          <w:szCs w:val="21"/>
        </w:rPr>
        <w:t>①</w:t>
      </w:r>
      <w:r>
        <w:rPr>
          <w:rFonts w:ascii="Times New Roman"/>
          <w:snapToGrid w:val="0"/>
          <w:spacing w:val="-6"/>
          <w:kern w:val="21"/>
          <w:szCs w:val="21"/>
        </w:rPr>
        <w:fldChar w:fldCharType="end"/>
      </w:r>
    </w:p>
    <w:sectPr>
      <w:footerReference r:id="rId4" w:type="default"/>
      <w:pgSz w:w="16838" w:h="11906" w:orient="landscape"/>
      <w:pgMar w:top="1800" w:right="1440" w:bottom="1800" w:left="1440"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DFA144-5B2B-41A3-94FB-E23624AA86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80050C7B-2F02-4716-8CD5-24A1FF4E5B3A}"/>
  </w:font>
  <w:font w:name="Calibri">
    <w:panose1 w:val="020F0502020204030204"/>
    <w:charset w:val="00"/>
    <w:family w:val="swiss"/>
    <w:pitch w:val="default"/>
    <w:sig w:usb0="E0002EFF" w:usb1="C000247B" w:usb2="00000009" w:usb3="00000000" w:csb0="200001FF" w:csb1="00000000"/>
    <w:embedRegular r:id="rId3" w:fontKey="{59A505A0-5F05-49E1-8843-ADB05DDC1217}"/>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4" w:fontKey="{275E1704-8CF6-41E0-A4E5-7542472319DA}"/>
  </w:font>
  <w:font w:name="Arial Unicode MS">
    <w:altName w:val="宋体"/>
    <w:panose1 w:val="020B0604020202020204"/>
    <w:charset w:val="86"/>
    <w:family w:val="auto"/>
    <w:pitch w:val="default"/>
    <w:sig w:usb0="00000000" w:usb1="00000000" w:usb2="0000007F" w:usb3="00000000" w:csb0="203F01FF" w:csb1="DFFF0000"/>
  </w:font>
  <w:font w:name="楷体_GB2312">
    <w:altName w:val="楷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5" w:fontKey="{A11691C1-524D-431E-B3CC-A67F3DCC677E}"/>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CG Times (WN)">
    <w:altName w:val="Times New Roman"/>
    <w:panose1 w:val="00000000000000000000"/>
    <w:charset w:val="00"/>
    <w:family w:val="auto"/>
    <w:pitch w:val="default"/>
    <w:sig w:usb0="00000000" w:usb1="00000000" w:usb2="00000000" w:usb3="00000000" w:csb0="00000001" w:csb1="00000000"/>
  </w:font>
  <w:font w:name="Helvetica">
    <w:altName w:val="Arial"/>
    <w:panose1 w:val="020B0504020202030204"/>
    <w:charset w:val="00"/>
    <w:family w:val="swiss"/>
    <w:pitch w:val="default"/>
    <w:sig w:usb0="00000000" w:usb1="00000000" w:usb2="00000000" w:usb3="00000000" w:csb0="00000093" w:csb1="00000000"/>
  </w:font>
  <w:font w:name="Wingdings 2">
    <w:altName w:val="Wingdings"/>
    <w:panose1 w:val="05020102010507070707"/>
    <w:charset w:val="02"/>
    <w:family w:val="roman"/>
    <w:pitch w:val="default"/>
    <w:sig w:usb0="00000000" w:usb1="00000000" w:usb2="00000000" w:usb3="00000000" w:csb0="80000000" w:csb1="00000000"/>
    <w:embedRegular r:id="rId6" w:fontKey="{1C63CB5E-65B4-4E2D-83E4-7A07362A1DB1}"/>
  </w:font>
  <w:font w:name="Segoe UI Symbol">
    <w:panose1 w:val="020B0502040204020203"/>
    <w:charset w:val="00"/>
    <w:family w:val="swiss"/>
    <w:pitch w:val="default"/>
    <w:sig w:usb0="800001E3" w:usb1="1200FFEF" w:usb2="00040000" w:usb3="04000000" w:csb0="00000001" w:csb1="40000000"/>
    <w:embedRegular r:id="rId7" w:fontKey="{A75C7425-2A6B-47B0-AE75-9AAA3C90B338}"/>
  </w:font>
  <w:font w:name="宋体q萀">
    <w:altName w:val="宋体"/>
    <w:panose1 w:val="00000000000000000000"/>
    <w:charset w:val="86"/>
    <w:family w:val="roman"/>
    <w:pitch w:val="default"/>
    <w:sig w:usb0="00000000" w:usb1="00000000" w:usb2="00000010" w:usb3="00000000" w:csb0="00040000" w:csb1="00000000"/>
    <w:embedRegular r:id="rId8" w:fontKey="{5881CC5F-B353-41E0-AB70-D33A6DE6209A}"/>
  </w:font>
  <w:font w:name="方正小标宋_GBK">
    <w:panose1 w:val="02000000000000000000"/>
    <w:charset w:val="86"/>
    <w:family w:val="script"/>
    <w:pitch w:val="default"/>
    <w:sig w:usb0="A00002BF" w:usb1="38CF7CFA" w:usb2="00082016" w:usb3="00000000" w:csb0="00040001" w:csb1="00000000"/>
    <w:embedRegular r:id="rId9" w:fontKey="{AAFB81CA-7F1C-4797-B931-BEFAD4EF329B}"/>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PSEMBED1">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843EF">
    <w:pPr>
      <w:pStyle w:val="29"/>
      <w:framePr w:wrap="around" w:vAnchor="text" w:hAnchor="margin" w:xAlign="outside" w:y="1"/>
      <w:rPr>
        <w:rStyle w:val="51"/>
        <w:rFonts w:ascii="宋体" w:hAnsi="宋体"/>
        <w:sz w:val="28"/>
        <w:szCs w:val="28"/>
      </w:rPr>
    </w:pPr>
    <w:r>
      <w:rPr>
        <w:rStyle w:val="51"/>
        <w:rFonts w:hint="eastAsia" w:ascii="宋体" w:hAnsi="宋体"/>
        <w:sz w:val="28"/>
        <w:szCs w:val="28"/>
      </w:rPr>
      <w:t>—</w:t>
    </w:r>
    <w:r>
      <w:rPr>
        <w:rStyle w:val="51"/>
        <w:rFonts w:hint="eastAsia" w:ascii="宋体" w:hAnsi="宋体"/>
        <w:sz w:val="20"/>
      </w:rPr>
      <w:t xml:space="preserve">  </w:t>
    </w:r>
    <w:r>
      <w:rPr>
        <w:rStyle w:val="51"/>
        <w:rFonts w:ascii="宋体" w:hAnsi="宋体"/>
        <w:sz w:val="26"/>
        <w:szCs w:val="26"/>
      </w:rPr>
      <w:fldChar w:fldCharType="begin"/>
    </w:r>
    <w:r>
      <w:rPr>
        <w:rStyle w:val="51"/>
        <w:rFonts w:ascii="宋体" w:hAnsi="宋体"/>
        <w:sz w:val="26"/>
        <w:szCs w:val="26"/>
      </w:rPr>
      <w:instrText xml:space="preserve">PAGE  </w:instrText>
    </w:r>
    <w:r>
      <w:rPr>
        <w:rStyle w:val="51"/>
        <w:rFonts w:ascii="宋体" w:hAnsi="宋体"/>
        <w:sz w:val="26"/>
        <w:szCs w:val="26"/>
      </w:rPr>
      <w:fldChar w:fldCharType="separate"/>
    </w:r>
    <w:r>
      <w:rPr>
        <w:rStyle w:val="51"/>
        <w:rFonts w:ascii="宋体" w:hAnsi="宋体"/>
        <w:sz w:val="26"/>
        <w:szCs w:val="26"/>
      </w:rPr>
      <w:t>27</w:t>
    </w:r>
    <w:r>
      <w:rPr>
        <w:rStyle w:val="51"/>
        <w:rFonts w:ascii="宋体" w:hAnsi="宋体"/>
        <w:sz w:val="26"/>
        <w:szCs w:val="26"/>
      </w:rPr>
      <w:fldChar w:fldCharType="end"/>
    </w:r>
    <w:r>
      <w:rPr>
        <w:rStyle w:val="51"/>
        <w:rFonts w:hint="eastAsia" w:ascii="宋体" w:hAnsi="宋体"/>
        <w:sz w:val="20"/>
      </w:rPr>
      <w:t xml:space="preserve">  </w:t>
    </w:r>
    <w:r>
      <w:rPr>
        <w:rStyle w:val="51"/>
        <w:rFonts w:hint="eastAsia" w:ascii="宋体" w:hAnsi="宋体"/>
        <w:sz w:val="28"/>
        <w:szCs w:val="28"/>
      </w:rPr>
      <w:t>—</w:t>
    </w:r>
  </w:p>
  <w:p w14:paraId="3604ADCC">
    <w:pPr>
      <w:pStyle w:val="29"/>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9EDDB">
    <w:pPr>
      <w:pStyle w:val="29"/>
      <w:framePr w:wrap="around" w:vAnchor="text" w:hAnchor="margin" w:xAlign="outside" w:y="1"/>
      <w:rPr>
        <w:rStyle w:val="51"/>
        <w:rFonts w:ascii="宋体" w:hAnsi="宋体"/>
        <w:sz w:val="28"/>
        <w:szCs w:val="28"/>
      </w:rPr>
    </w:pPr>
    <w:r>
      <w:rPr>
        <w:rStyle w:val="51"/>
        <w:rFonts w:hint="eastAsia" w:ascii="宋体" w:hAnsi="宋体"/>
        <w:sz w:val="28"/>
        <w:szCs w:val="28"/>
      </w:rPr>
      <w:t>—</w:t>
    </w:r>
    <w:r>
      <w:rPr>
        <w:rStyle w:val="51"/>
        <w:rFonts w:hint="eastAsia" w:ascii="宋体" w:hAnsi="宋体"/>
        <w:sz w:val="20"/>
      </w:rPr>
      <w:t xml:space="preserve">  </w:t>
    </w:r>
    <w:r>
      <w:rPr>
        <w:rStyle w:val="51"/>
        <w:rFonts w:ascii="宋体" w:hAnsi="宋体"/>
        <w:sz w:val="26"/>
        <w:szCs w:val="26"/>
      </w:rPr>
      <w:fldChar w:fldCharType="begin"/>
    </w:r>
    <w:r>
      <w:rPr>
        <w:rStyle w:val="51"/>
        <w:rFonts w:ascii="宋体" w:hAnsi="宋体"/>
        <w:sz w:val="26"/>
        <w:szCs w:val="26"/>
      </w:rPr>
      <w:instrText xml:space="preserve">PAGE  </w:instrText>
    </w:r>
    <w:r>
      <w:rPr>
        <w:rStyle w:val="51"/>
        <w:rFonts w:ascii="宋体" w:hAnsi="宋体"/>
        <w:sz w:val="26"/>
        <w:szCs w:val="26"/>
      </w:rPr>
      <w:fldChar w:fldCharType="separate"/>
    </w:r>
    <w:r>
      <w:rPr>
        <w:rStyle w:val="51"/>
        <w:rFonts w:ascii="宋体" w:hAnsi="宋体"/>
        <w:sz w:val="26"/>
        <w:szCs w:val="26"/>
      </w:rPr>
      <w:t>62</w:t>
    </w:r>
    <w:r>
      <w:rPr>
        <w:rStyle w:val="51"/>
        <w:rFonts w:ascii="宋体" w:hAnsi="宋体"/>
        <w:sz w:val="26"/>
        <w:szCs w:val="26"/>
      </w:rPr>
      <w:fldChar w:fldCharType="end"/>
    </w:r>
    <w:r>
      <w:rPr>
        <w:rStyle w:val="51"/>
        <w:rFonts w:hint="eastAsia" w:ascii="宋体" w:hAnsi="宋体"/>
        <w:sz w:val="20"/>
      </w:rPr>
      <w:t xml:space="preserve">  </w:t>
    </w:r>
    <w:r>
      <w:rPr>
        <w:rStyle w:val="51"/>
        <w:rFonts w:hint="eastAsia" w:ascii="宋体" w:hAnsi="宋体"/>
        <w:sz w:val="28"/>
        <w:szCs w:val="28"/>
      </w:rPr>
      <w:t>—</w:t>
    </w:r>
  </w:p>
  <w:p w14:paraId="7B0EF785">
    <w:pPr>
      <w:pStyle w:val="29"/>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C6DF7"/>
    <w:multiLevelType w:val="singleLevel"/>
    <w:tmpl w:val="A5AC6DF7"/>
    <w:lvl w:ilvl="0" w:tentative="0">
      <w:start w:val="1"/>
      <w:numFmt w:val="decimal"/>
      <w:suff w:val="nothing"/>
      <w:lvlText w:val="%1、"/>
      <w:lvlJc w:val="left"/>
    </w:lvl>
  </w:abstractNum>
  <w:abstractNum w:abstractNumId="1">
    <w:nsid w:val="167417E3"/>
    <w:multiLevelType w:val="multilevel"/>
    <w:tmpl w:val="167417E3"/>
    <w:lvl w:ilvl="0" w:tentative="0">
      <w:start w:val="1"/>
      <w:numFmt w:val="decimal"/>
      <w:pStyle w:val="110"/>
      <w:lvlText w:val="图%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2F46F7"/>
    <w:multiLevelType w:val="multilevel"/>
    <w:tmpl w:val="1D2F46F7"/>
    <w:lvl w:ilvl="0" w:tentative="0">
      <w:start w:val="1"/>
      <w:numFmt w:val="decimal"/>
      <w:pStyle w:val="56"/>
      <w:lvlText w:val="表%1."/>
      <w:lvlJc w:val="left"/>
      <w:pPr>
        <w:ind w:left="3570" w:hanging="420"/>
      </w:pPr>
      <w:rPr>
        <w:rFonts w:hint="default" w:ascii="Times New Roman" w:hAnsi="Times New Roman" w:eastAsia="等线"/>
        <w:b/>
        <w:i w:val="0"/>
        <w:sz w:val="22"/>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E56132A"/>
    <w:multiLevelType w:val="multilevel"/>
    <w:tmpl w:val="1E56132A"/>
    <w:lvl w:ilvl="0" w:tentative="0">
      <w:start w:val="1"/>
      <w:numFmt w:val="decimal"/>
      <w:pStyle w:val="106"/>
      <w:lvlText w:val="表%1. "/>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416176C"/>
    <w:multiLevelType w:val="multilevel"/>
    <w:tmpl w:val="5416176C"/>
    <w:lvl w:ilvl="0" w:tentative="0">
      <w:start w:val="1"/>
      <w:numFmt w:val="decimal"/>
      <w:pStyle w:val="119"/>
      <w:lvlText w:val="表%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52FDCC2"/>
    <w:multiLevelType w:val="singleLevel"/>
    <w:tmpl w:val="752FDCC2"/>
    <w:lvl w:ilvl="0" w:tentative="0">
      <w:start w:val="10"/>
      <w:numFmt w:val="chineseCounting"/>
      <w:suff w:val="nothing"/>
      <w:lvlText w:val="%1、"/>
      <w:lvlJc w:val="left"/>
      <w:rPr>
        <w:rFonts w:hint="eastAsia"/>
      </w:rPr>
    </w:lvl>
  </w:abstractNum>
  <w:abstractNum w:abstractNumId="6">
    <w:nsid w:val="75B146A1"/>
    <w:multiLevelType w:val="multilevel"/>
    <w:tmpl w:val="75B146A1"/>
    <w:lvl w:ilvl="0" w:tentative="0">
      <w:start w:val="1"/>
      <w:numFmt w:val="decimal"/>
      <w:pStyle w:val="163"/>
      <w:lvlText w:val="表%1. "/>
      <w:lvlJc w:val="left"/>
      <w:pPr>
        <w:ind w:left="4531"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EF1CCD8"/>
    <w:multiLevelType w:val="singleLevel"/>
    <w:tmpl w:val="7EF1CCD8"/>
    <w:lvl w:ilvl="0" w:tentative="0">
      <w:start w:val="1"/>
      <w:numFmt w:val="decimal"/>
      <w:suff w:val="nothing"/>
      <w:lvlText w:val="%1、"/>
      <w:lvlJc w:val="left"/>
    </w:lvl>
  </w:abstractNum>
  <w:num w:numId="1">
    <w:abstractNumId w:val="2"/>
  </w:num>
  <w:num w:numId="2">
    <w:abstractNumId w:val="3"/>
  </w:num>
  <w:num w:numId="3">
    <w:abstractNumId w:val="1"/>
  </w:num>
  <w:num w:numId="4">
    <w:abstractNumId w:val="4"/>
  </w:num>
  <w:num w:numId="5">
    <w:abstractNumId w:val="6"/>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ZWU3MTFiNGUwNDI1NmQ4MTU0ODA4NDZjNjA3ZTUifQ=="/>
  </w:docVars>
  <w:rsids>
    <w:rsidRoot w:val="00172A27"/>
    <w:rsid w:val="00000A69"/>
    <w:rsid w:val="000029F4"/>
    <w:rsid w:val="00002EA6"/>
    <w:rsid w:val="00003ABF"/>
    <w:rsid w:val="00003AC6"/>
    <w:rsid w:val="00003D27"/>
    <w:rsid w:val="00004B1B"/>
    <w:rsid w:val="00005402"/>
    <w:rsid w:val="00005C7F"/>
    <w:rsid w:val="000060B3"/>
    <w:rsid w:val="000064FB"/>
    <w:rsid w:val="00006F11"/>
    <w:rsid w:val="00007655"/>
    <w:rsid w:val="00011699"/>
    <w:rsid w:val="00011817"/>
    <w:rsid w:val="000118A6"/>
    <w:rsid w:val="00011C4B"/>
    <w:rsid w:val="00012357"/>
    <w:rsid w:val="00012782"/>
    <w:rsid w:val="00012C0A"/>
    <w:rsid w:val="00013B23"/>
    <w:rsid w:val="00013E05"/>
    <w:rsid w:val="00014A22"/>
    <w:rsid w:val="00015239"/>
    <w:rsid w:val="00015A8B"/>
    <w:rsid w:val="00015BC0"/>
    <w:rsid w:val="0001670E"/>
    <w:rsid w:val="00017BFB"/>
    <w:rsid w:val="00021832"/>
    <w:rsid w:val="000221AC"/>
    <w:rsid w:val="000223FC"/>
    <w:rsid w:val="00022B02"/>
    <w:rsid w:val="0002365F"/>
    <w:rsid w:val="000238FE"/>
    <w:rsid w:val="00023E20"/>
    <w:rsid w:val="00024949"/>
    <w:rsid w:val="00024CF4"/>
    <w:rsid w:val="000252BD"/>
    <w:rsid w:val="00025422"/>
    <w:rsid w:val="000261A6"/>
    <w:rsid w:val="0002623D"/>
    <w:rsid w:val="000264DD"/>
    <w:rsid w:val="00031A38"/>
    <w:rsid w:val="0003244B"/>
    <w:rsid w:val="000324A8"/>
    <w:rsid w:val="000324F7"/>
    <w:rsid w:val="00033902"/>
    <w:rsid w:val="00033D24"/>
    <w:rsid w:val="000345F8"/>
    <w:rsid w:val="00035449"/>
    <w:rsid w:val="000355F0"/>
    <w:rsid w:val="0003621A"/>
    <w:rsid w:val="000376B4"/>
    <w:rsid w:val="00037A59"/>
    <w:rsid w:val="00037C3E"/>
    <w:rsid w:val="00040660"/>
    <w:rsid w:val="000406CE"/>
    <w:rsid w:val="00040873"/>
    <w:rsid w:val="00040B29"/>
    <w:rsid w:val="0004146C"/>
    <w:rsid w:val="00041BFF"/>
    <w:rsid w:val="000421CE"/>
    <w:rsid w:val="0004237C"/>
    <w:rsid w:val="00042539"/>
    <w:rsid w:val="00042FFB"/>
    <w:rsid w:val="0004364B"/>
    <w:rsid w:val="00043BFF"/>
    <w:rsid w:val="00043E1A"/>
    <w:rsid w:val="000447F1"/>
    <w:rsid w:val="00044896"/>
    <w:rsid w:val="00044EAD"/>
    <w:rsid w:val="00045EB7"/>
    <w:rsid w:val="00047BA5"/>
    <w:rsid w:val="00050A83"/>
    <w:rsid w:val="00050D7F"/>
    <w:rsid w:val="00050DCA"/>
    <w:rsid w:val="000511BF"/>
    <w:rsid w:val="00051F25"/>
    <w:rsid w:val="00052317"/>
    <w:rsid w:val="0005267D"/>
    <w:rsid w:val="00054C06"/>
    <w:rsid w:val="00054D1A"/>
    <w:rsid w:val="00055A6D"/>
    <w:rsid w:val="000561A6"/>
    <w:rsid w:val="00056410"/>
    <w:rsid w:val="00057558"/>
    <w:rsid w:val="00060BF7"/>
    <w:rsid w:val="00060CC3"/>
    <w:rsid w:val="00060CDA"/>
    <w:rsid w:val="0006138E"/>
    <w:rsid w:val="00061B1F"/>
    <w:rsid w:val="00061E3E"/>
    <w:rsid w:val="000620E5"/>
    <w:rsid w:val="0006244A"/>
    <w:rsid w:val="000628DD"/>
    <w:rsid w:val="000631B7"/>
    <w:rsid w:val="00063FDE"/>
    <w:rsid w:val="000643FF"/>
    <w:rsid w:val="00064644"/>
    <w:rsid w:val="00065070"/>
    <w:rsid w:val="000654AB"/>
    <w:rsid w:val="000654C2"/>
    <w:rsid w:val="00065700"/>
    <w:rsid w:val="00065BF6"/>
    <w:rsid w:val="000673BC"/>
    <w:rsid w:val="00067854"/>
    <w:rsid w:val="0007080F"/>
    <w:rsid w:val="00070F5F"/>
    <w:rsid w:val="000711A8"/>
    <w:rsid w:val="00071960"/>
    <w:rsid w:val="00072079"/>
    <w:rsid w:val="000733C4"/>
    <w:rsid w:val="00073490"/>
    <w:rsid w:val="00073D78"/>
    <w:rsid w:val="0007455B"/>
    <w:rsid w:val="00074613"/>
    <w:rsid w:val="00074783"/>
    <w:rsid w:val="000758F3"/>
    <w:rsid w:val="00077061"/>
    <w:rsid w:val="0008070B"/>
    <w:rsid w:val="00080C2F"/>
    <w:rsid w:val="000810AC"/>
    <w:rsid w:val="00081281"/>
    <w:rsid w:val="00081385"/>
    <w:rsid w:val="00081A02"/>
    <w:rsid w:val="00082231"/>
    <w:rsid w:val="000824CB"/>
    <w:rsid w:val="00084561"/>
    <w:rsid w:val="000849BB"/>
    <w:rsid w:val="00084BF2"/>
    <w:rsid w:val="00084BFA"/>
    <w:rsid w:val="00084E44"/>
    <w:rsid w:val="00085F58"/>
    <w:rsid w:val="0008654C"/>
    <w:rsid w:val="00086ADB"/>
    <w:rsid w:val="00087643"/>
    <w:rsid w:val="000878A2"/>
    <w:rsid w:val="00087B3F"/>
    <w:rsid w:val="00090D14"/>
    <w:rsid w:val="00091765"/>
    <w:rsid w:val="0009176B"/>
    <w:rsid w:val="00091D29"/>
    <w:rsid w:val="00092D38"/>
    <w:rsid w:val="0009377B"/>
    <w:rsid w:val="00093A5D"/>
    <w:rsid w:val="0009425F"/>
    <w:rsid w:val="0009475D"/>
    <w:rsid w:val="00094C40"/>
    <w:rsid w:val="00095251"/>
    <w:rsid w:val="000960D0"/>
    <w:rsid w:val="000961F6"/>
    <w:rsid w:val="0009636E"/>
    <w:rsid w:val="00097029"/>
    <w:rsid w:val="00097334"/>
    <w:rsid w:val="00097383"/>
    <w:rsid w:val="00097521"/>
    <w:rsid w:val="0009761B"/>
    <w:rsid w:val="000A0A1F"/>
    <w:rsid w:val="000A1573"/>
    <w:rsid w:val="000A20C9"/>
    <w:rsid w:val="000A337D"/>
    <w:rsid w:val="000A3BA4"/>
    <w:rsid w:val="000A4037"/>
    <w:rsid w:val="000A4346"/>
    <w:rsid w:val="000A5079"/>
    <w:rsid w:val="000A55EA"/>
    <w:rsid w:val="000A73F3"/>
    <w:rsid w:val="000A7AC8"/>
    <w:rsid w:val="000B005D"/>
    <w:rsid w:val="000B007C"/>
    <w:rsid w:val="000B018D"/>
    <w:rsid w:val="000B03AB"/>
    <w:rsid w:val="000B058F"/>
    <w:rsid w:val="000B2136"/>
    <w:rsid w:val="000B2F83"/>
    <w:rsid w:val="000B3060"/>
    <w:rsid w:val="000B3102"/>
    <w:rsid w:val="000B3136"/>
    <w:rsid w:val="000B31AE"/>
    <w:rsid w:val="000B406B"/>
    <w:rsid w:val="000B4467"/>
    <w:rsid w:val="000B4A8D"/>
    <w:rsid w:val="000B4DB9"/>
    <w:rsid w:val="000B50EB"/>
    <w:rsid w:val="000B529E"/>
    <w:rsid w:val="000B5DFC"/>
    <w:rsid w:val="000B5F00"/>
    <w:rsid w:val="000B6AF9"/>
    <w:rsid w:val="000B7441"/>
    <w:rsid w:val="000C03F1"/>
    <w:rsid w:val="000C0828"/>
    <w:rsid w:val="000C0874"/>
    <w:rsid w:val="000C09AC"/>
    <w:rsid w:val="000C09D1"/>
    <w:rsid w:val="000C0DF4"/>
    <w:rsid w:val="000C0DF9"/>
    <w:rsid w:val="000C2B08"/>
    <w:rsid w:val="000C2FFD"/>
    <w:rsid w:val="000C3410"/>
    <w:rsid w:val="000C3DA7"/>
    <w:rsid w:val="000C5397"/>
    <w:rsid w:val="000C53AB"/>
    <w:rsid w:val="000C5982"/>
    <w:rsid w:val="000C6286"/>
    <w:rsid w:val="000C6F96"/>
    <w:rsid w:val="000C767F"/>
    <w:rsid w:val="000C7959"/>
    <w:rsid w:val="000C7B31"/>
    <w:rsid w:val="000C7B4F"/>
    <w:rsid w:val="000C7E15"/>
    <w:rsid w:val="000D0C21"/>
    <w:rsid w:val="000D1385"/>
    <w:rsid w:val="000D153C"/>
    <w:rsid w:val="000D19D5"/>
    <w:rsid w:val="000D1B49"/>
    <w:rsid w:val="000D1BBE"/>
    <w:rsid w:val="000D276F"/>
    <w:rsid w:val="000D3CFC"/>
    <w:rsid w:val="000D3E61"/>
    <w:rsid w:val="000D4153"/>
    <w:rsid w:val="000D4CB3"/>
    <w:rsid w:val="000D5A44"/>
    <w:rsid w:val="000D5C6F"/>
    <w:rsid w:val="000D5C92"/>
    <w:rsid w:val="000D5DFA"/>
    <w:rsid w:val="000D5F9E"/>
    <w:rsid w:val="000D648C"/>
    <w:rsid w:val="000D64DE"/>
    <w:rsid w:val="000D6AA7"/>
    <w:rsid w:val="000D6B52"/>
    <w:rsid w:val="000D749F"/>
    <w:rsid w:val="000E05E3"/>
    <w:rsid w:val="000E1F04"/>
    <w:rsid w:val="000E240D"/>
    <w:rsid w:val="000E2659"/>
    <w:rsid w:val="000E2B21"/>
    <w:rsid w:val="000E3ED2"/>
    <w:rsid w:val="000E3F26"/>
    <w:rsid w:val="000E55B9"/>
    <w:rsid w:val="000E63F5"/>
    <w:rsid w:val="000E65A6"/>
    <w:rsid w:val="000E6D69"/>
    <w:rsid w:val="000E7CF4"/>
    <w:rsid w:val="000E7F5D"/>
    <w:rsid w:val="000F14EC"/>
    <w:rsid w:val="000F2D17"/>
    <w:rsid w:val="000F2E6F"/>
    <w:rsid w:val="000F3002"/>
    <w:rsid w:val="000F3FAF"/>
    <w:rsid w:val="000F4C95"/>
    <w:rsid w:val="000F551B"/>
    <w:rsid w:val="000F5B4A"/>
    <w:rsid w:val="000F5EE2"/>
    <w:rsid w:val="000F65A0"/>
    <w:rsid w:val="000F6F07"/>
    <w:rsid w:val="000F6F71"/>
    <w:rsid w:val="000F7520"/>
    <w:rsid w:val="000F760F"/>
    <w:rsid w:val="000F78DE"/>
    <w:rsid w:val="000F79B0"/>
    <w:rsid w:val="000F7A24"/>
    <w:rsid w:val="000F7EB9"/>
    <w:rsid w:val="0010027A"/>
    <w:rsid w:val="0010077E"/>
    <w:rsid w:val="00100F1E"/>
    <w:rsid w:val="0010108F"/>
    <w:rsid w:val="001014DD"/>
    <w:rsid w:val="001018D5"/>
    <w:rsid w:val="00101AE9"/>
    <w:rsid w:val="00101DDB"/>
    <w:rsid w:val="00102077"/>
    <w:rsid w:val="001022D3"/>
    <w:rsid w:val="00102620"/>
    <w:rsid w:val="001038CD"/>
    <w:rsid w:val="00103F71"/>
    <w:rsid w:val="00104825"/>
    <w:rsid w:val="0010537A"/>
    <w:rsid w:val="001053D9"/>
    <w:rsid w:val="00105579"/>
    <w:rsid w:val="00105665"/>
    <w:rsid w:val="001059DC"/>
    <w:rsid w:val="00105F8C"/>
    <w:rsid w:val="001078A0"/>
    <w:rsid w:val="00107CAA"/>
    <w:rsid w:val="00110161"/>
    <w:rsid w:val="0011085C"/>
    <w:rsid w:val="00110DF1"/>
    <w:rsid w:val="00110EAF"/>
    <w:rsid w:val="001113BD"/>
    <w:rsid w:val="00111903"/>
    <w:rsid w:val="0011240F"/>
    <w:rsid w:val="00112619"/>
    <w:rsid w:val="001126A6"/>
    <w:rsid w:val="00113208"/>
    <w:rsid w:val="00115230"/>
    <w:rsid w:val="0011569E"/>
    <w:rsid w:val="00115911"/>
    <w:rsid w:val="00116266"/>
    <w:rsid w:val="001168DB"/>
    <w:rsid w:val="00116C8F"/>
    <w:rsid w:val="001174A1"/>
    <w:rsid w:val="00117626"/>
    <w:rsid w:val="001200BB"/>
    <w:rsid w:val="00120BAD"/>
    <w:rsid w:val="0012116F"/>
    <w:rsid w:val="0012127C"/>
    <w:rsid w:val="001213D2"/>
    <w:rsid w:val="00121A9F"/>
    <w:rsid w:val="00122BE1"/>
    <w:rsid w:val="00122CEB"/>
    <w:rsid w:val="001237FC"/>
    <w:rsid w:val="00123D70"/>
    <w:rsid w:val="00124102"/>
    <w:rsid w:val="0012417C"/>
    <w:rsid w:val="00125237"/>
    <w:rsid w:val="001257F3"/>
    <w:rsid w:val="00125F14"/>
    <w:rsid w:val="00126C6C"/>
    <w:rsid w:val="001272F7"/>
    <w:rsid w:val="001277EE"/>
    <w:rsid w:val="00130875"/>
    <w:rsid w:val="00131006"/>
    <w:rsid w:val="001313AA"/>
    <w:rsid w:val="0013158C"/>
    <w:rsid w:val="00131B25"/>
    <w:rsid w:val="00131F42"/>
    <w:rsid w:val="0013367D"/>
    <w:rsid w:val="00134DDF"/>
    <w:rsid w:val="001357F1"/>
    <w:rsid w:val="00135B14"/>
    <w:rsid w:val="001362A8"/>
    <w:rsid w:val="00136EFC"/>
    <w:rsid w:val="001370CE"/>
    <w:rsid w:val="001373B2"/>
    <w:rsid w:val="0013763A"/>
    <w:rsid w:val="001377E4"/>
    <w:rsid w:val="0014045F"/>
    <w:rsid w:val="00140FA8"/>
    <w:rsid w:val="0014113A"/>
    <w:rsid w:val="0014114D"/>
    <w:rsid w:val="00142F4F"/>
    <w:rsid w:val="00142FEB"/>
    <w:rsid w:val="00143702"/>
    <w:rsid w:val="00143A2D"/>
    <w:rsid w:val="00143FB7"/>
    <w:rsid w:val="0014567D"/>
    <w:rsid w:val="00145728"/>
    <w:rsid w:val="00145A41"/>
    <w:rsid w:val="00145C3A"/>
    <w:rsid w:val="00146404"/>
    <w:rsid w:val="001464DE"/>
    <w:rsid w:val="00146C6B"/>
    <w:rsid w:val="00146E6E"/>
    <w:rsid w:val="00147162"/>
    <w:rsid w:val="0014779A"/>
    <w:rsid w:val="00147C9C"/>
    <w:rsid w:val="00147E50"/>
    <w:rsid w:val="00150406"/>
    <w:rsid w:val="0015045B"/>
    <w:rsid w:val="0015150C"/>
    <w:rsid w:val="0015160C"/>
    <w:rsid w:val="00151675"/>
    <w:rsid w:val="0015179C"/>
    <w:rsid w:val="0015182B"/>
    <w:rsid w:val="00151A82"/>
    <w:rsid w:val="0015261C"/>
    <w:rsid w:val="0015292F"/>
    <w:rsid w:val="00152CCC"/>
    <w:rsid w:val="00152FF2"/>
    <w:rsid w:val="0015458A"/>
    <w:rsid w:val="001548E1"/>
    <w:rsid w:val="00156231"/>
    <w:rsid w:val="00156256"/>
    <w:rsid w:val="001563E2"/>
    <w:rsid w:val="00156857"/>
    <w:rsid w:val="001570FF"/>
    <w:rsid w:val="00157435"/>
    <w:rsid w:val="00157441"/>
    <w:rsid w:val="001576DD"/>
    <w:rsid w:val="001576EB"/>
    <w:rsid w:val="0015791B"/>
    <w:rsid w:val="001604D7"/>
    <w:rsid w:val="00160B96"/>
    <w:rsid w:val="00162011"/>
    <w:rsid w:val="00162049"/>
    <w:rsid w:val="00162195"/>
    <w:rsid w:val="001624D6"/>
    <w:rsid w:val="00162BBC"/>
    <w:rsid w:val="0016309D"/>
    <w:rsid w:val="00164C36"/>
    <w:rsid w:val="00164CAF"/>
    <w:rsid w:val="00165369"/>
    <w:rsid w:val="00165A6C"/>
    <w:rsid w:val="00165B63"/>
    <w:rsid w:val="00165CB3"/>
    <w:rsid w:val="00165EB0"/>
    <w:rsid w:val="00166AB5"/>
    <w:rsid w:val="00166F07"/>
    <w:rsid w:val="001672C0"/>
    <w:rsid w:val="001673D7"/>
    <w:rsid w:val="00170228"/>
    <w:rsid w:val="001705AE"/>
    <w:rsid w:val="00170CE0"/>
    <w:rsid w:val="001714DC"/>
    <w:rsid w:val="0017154A"/>
    <w:rsid w:val="00171E22"/>
    <w:rsid w:val="00171FC4"/>
    <w:rsid w:val="00172249"/>
    <w:rsid w:val="00172A27"/>
    <w:rsid w:val="00172CE0"/>
    <w:rsid w:val="00172DD0"/>
    <w:rsid w:val="00172DFB"/>
    <w:rsid w:val="00172FAF"/>
    <w:rsid w:val="001730FD"/>
    <w:rsid w:val="00173200"/>
    <w:rsid w:val="0017364B"/>
    <w:rsid w:val="00173EA9"/>
    <w:rsid w:val="0017504D"/>
    <w:rsid w:val="00175835"/>
    <w:rsid w:val="00176466"/>
    <w:rsid w:val="0017647E"/>
    <w:rsid w:val="0017671A"/>
    <w:rsid w:val="00176E7D"/>
    <w:rsid w:val="00177422"/>
    <w:rsid w:val="001808AA"/>
    <w:rsid w:val="00181347"/>
    <w:rsid w:val="0018306F"/>
    <w:rsid w:val="00183742"/>
    <w:rsid w:val="001839C1"/>
    <w:rsid w:val="00184590"/>
    <w:rsid w:val="00184903"/>
    <w:rsid w:val="00184935"/>
    <w:rsid w:val="00184C2F"/>
    <w:rsid w:val="001850F1"/>
    <w:rsid w:val="001861AD"/>
    <w:rsid w:val="00186F7C"/>
    <w:rsid w:val="001870D1"/>
    <w:rsid w:val="0018781E"/>
    <w:rsid w:val="001920E5"/>
    <w:rsid w:val="0019262D"/>
    <w:rsid w:val="00192896"/>
    <w:rsid w:val="001929BF"/>
    <w:rsid w:val="00192A43"/>
    <w:rsid w:val="00192F3D"/>
    <w:rsid w:val="001935EA"/>
    <w:rsid w:val="001941F9"/>
    <w:rsid w:val="00194E08"/>
    <w:rsid w:val="00194EAC"/>
    <w:rsid w:val="00194FD6"/>
    <w:rsid w:val="00195AA1"/>
    <w:rsid w:val="00195D48"/>
    <w:rsid w:val="001976E3"/>
    <w:rsid w:val="00197798"/>
    <w:rsid w:val="001A0010"/>
    <w:rsid w:val="001A02F9"/>
    <w:rsid w:val="001A0E20"/>
    <w:rsid w:val="001A126D"/>
    <w:rsid w:val="001A1B35"/>
    <w:rsid w:val="001A2116"/>
    <w:rsid w:val="001A2893"/>
    <w:rsid w:val="001A2CF7"/>
    <w:rsid w:val="001A2EDC"/>
    <w:rsid w:val="001A3CBA"/>
    <w:rsid w:val="001A47FC"/>
    <w:rsid w:val="001A48A2"/>
    <w:rsid w:val="001A4DD8"/>
    <w:rsid w:val="001A55BE"/>
    <w:rsid w:val="001A588F"/>
    <w:rsid w:val="001A5AD3"/>
    <w:rsid w:val="001A5B2F"/>
    <w:rsid w:val="001A5E9B"/>
    <w:rsid w:val="001A6DB3"/>
    <w:rsid w:val="001A6F61"/>
    <w:rsid w:val="001A7C17"/>
    <w:rsid w:val="001A7D98"/>
    <w:rsid w:val="001A7E3C"/>
    <w:rsid w:val="001B02CD"/>
    <w:rsid w:val="001B0C7E"/>
    <w:rsid w:val="001B0CF3"/>
    <w:rsid w:val="001B13E9"/>
    <w:rsid w:val="001B1C0E"/>
    <w:rsid w:val="001B2E69"/>
    <w:rsid w:val="001B3747"/>
    <w:rsid w:val="001B3A09"/>
    <w:rsid w:val="001B3A87"/>
    <w:rsid w:val="001B4D85"/>
    <w:rsid w:val="001B50E0"/>
    <w:rsid w:val="001B526C"/>
    <w:rsid w:val="001B5E3B"/>
    <w:rsid w:val="001B625C"/>
    <w:rsid w:val="001B6B65"/>
    <w:rsid w:val="001B6C08"/>
    <w:rsid w:val="001B6E90"/>
    <w:rsid w:val="001B6F5D"/>
    <w:rsid w:val="001B72B8"/>
    <w:rsid w:val="001B7DCF"/>
    <w:rsid w:val="001C1B4A"/>
    <w:rsid w:val="001C2BCB"/>
    <w:rsid w:val="001C2CDC"/>
    <w:rsid w:val="001C2CFA"/>
    <w:rsid w:val="001C4088"/>
    <w:rsid w:val="001C58AC"/>
    <w:rsid w:val="001C5BF8"/>
    <w:rsid w:val="001C61DB"/>
    <w:rsid w:val="001C62E9"/>
    <w:rsid w:val="001C69B3"/>
    <w:rsid w:val="001C69BC"/>
    <w:rsid w:val="001C6D0C"/>
    <w:rsid w:val="001C6D50"/>
    <w:rsid w:val="001C7C7C"/>
    <w:rsid w:val="001C7CA0"/>
    <w:rsid w:val="001D08AA"/>
    <w:rsid w:val="001D0EED"/>
    <w:rsid w:val="001D0EF2"/>
    <w:rsid w:val="001D1CA5"/>
    <w:rsid w:val="001D21BC"/>
    <w:rsid w:val="001D27C2"/>
    <w:rsid w:val="001D28A7"/>
    <w:rsid w:val="001D2F5C"/>
    <w:rsid w:val="001D350E"/>
    <w:rsid w:val="001D380C"/>
    <w:rsid w:val="001D3994"/>
    <w:rsid w:val="001D3D86"/>
    <w:rsid w:val="001D3E7A"/>
    <w:rsid w:val="001D4472"/>
    <w:rsid w:val="001D478D"/>
    <w:rsid w:val="001D5595"/>
    <w:rsid w:val="001D6544"/>
    <w:rsid w:val="001D6594"/>
    <w:rsid w:val="001D6628"/>
    <w:rsid w:val="001D6899"/>
    <w:rsid w:val="001D726F"/>
    <w:rsid w:val="001D76D0"/>
    <w:rsid w:val="001D7874"/>
    <w:rsid w:val="001D7F22"/>
    <w:rsid w:val="001D7FBE"/>
    <w:rsid w:val="001E05BC"/>
    <w:rsid w:val="001E07BA"/>
    <w:rsid w:val="001E0E1C"/>
    <w:rsid w:val="001E1178"/>
    <w:rsid w:val="001E2309"/>
    <w:rsid w:val="001E2C70"/>
    <w:rsid w:val="001E3075"/>
    <w:rsid w:val="001E31A3"/>
    <w:rsid w:val="001E3B5B"/>
    <w:rsid w:val="001E3D6C"/>
    <w:rsid w:val="001E3F87"/>
    <w:rsid w:val="001E4F7A"/>
    <w:rsid w:val="001E6123"/>
    <w:rsid w:val="001E634A"/>
    <w:rsid w:val="001E63EB"/>
    <w:rsid w:val="001E727B"/>
    <w:rsid w:val="001F00EB"/>
    <w:rsid w:val="001F04F3"/>
    <w:rsid w:val="001F07AE"/>
    <w:rsid w:val="001F0DF8"/>
    <w:rsid w:val="001F0F17"/>
    <w:rsid w:val="001F16A5"/>
    <w:rsid w:val="001F2313"/>
    <w:rsid w:val="001F3347"/>
    <w:rsid w:val="001F3857"/>
    <w:rsid w:val="001F3C9A"/>
    <w:rsid w:val="001F4548"/>
    <w:rsid w:val="001F4592"/>
    <w:rsid w:val="001F4CD1"/>
    <w:rsid w:val="001F4F31"/>
    <w:rsid w:val="001F5149"/>
    <w:rsid w:val="001F59C8"/>
    <w:rsid w:val="001F5CBF"/>
    <w:rsid w:val="001F69E4"/>
    <w:rsid w:val="001F6A5F"/>
    <w:rsid w:val="001F7D63"/>
    <w:rsid w:val="002000A3"/>
    <w:rsid w:val="0020106F"/>
    <w:rsid w:val="0020152F"/>
    <w:rsid w:val="00201B55"/>
    <w:rsid w:val="00201C60"/>
    <w:rsid w:val="00202B7D"/>
    <w:rsid w:val="00203431"/>
    <w:rsid w:val="0020363D"/>
    <w:rsid w:val="002041FA"/>
    <w:rsid w:val="0020422C"/>
    <w:rsid w:val="0020488B"/>
    <w:rsid w:val="00204C35"/>
    <w:rsid w:val="00204CA0"/>
    <w:rsid w:val="00205676"/>
    <w:rsid w:val="0020570C"/>
    <w:rsid w:val="002057C9"/>
    <w:rsid w:val="00206168"/>
    <w:rsid w:val="00207F3D"/>
    <w:rsid w:val="002110C8"/>
    <w:rsid w:val="0021181A"/>
    <w:rsid w:val="002125B4"/>
    <w:rsid w:val="00212B14"/>
    <w:rsid w:val="00212C0D"/>
    <w:rsid w:val="00213AB8"/>
    <w:rsid w:val="00213B13"/>
    <w:rsid w:val="00213ED5"/>
    <w:rsid w:val="00214252"/>
    <w:rsid w:val="00214DF7"/>
    <w:rsid w:val="00215033"/>
    <w:rsid w:val="00215533"/>
    <w:rsid w:val="002155B8"/>
    <w:rsid w:val="0021592B"/>
    <w:rsid w:val="00215D1A"/>
    <w:rsid w:val="00216053"/>
    <w:rsid w:val="002166F3"/>
    <w:rsid w:val="002168D9"/>
    <w:rsid w:val="00216A7D"/>
    <w:rsid w:val="00216CFA"/>
    <w:rsid w:val="00217003"/>
    <w:rsid w:val="00217441"/>
    <w:rsid w:val="00217F1A"/>
    <w:rsid w:val="002203C4"/>
    <w:rsid w:val="002205D7"/>
    <w:rsid w:val="002205EC"/>
    <w:rsid w:val="002216D6"/>
    <w:rsid w:val="00221A45"/>
    <w:rsid w:val="00222E17"/>
    <w:rsid w:val="002231B7"/>
    <w:rsid w:val="00223F44"/>
    <w:rsid w:val="002244B0"/>
    <w:rsid w:val="00224839"/>
    <w:rsid w:val="002249B2"/>
    <w:rsid w:val="0022503F"/>
    <w:rsid w:val="002254FF"/>
    <w:rsid w:val="002257E4"/>
    <w:rsid w:val="00226046"/>
    <w:rsid w:val="00226574"/>
    <w:rsid w:val="0022659B"/>
    <w:rsid w:val="00227107"/>
    <w:rsid w:val="002278EC"/>
    <w:rsid w:val="002306EC"/>
    <w:rsid w:val="0023070A"/>
    <w:rsid w:val="00230CB6"/>
    <w:rsid w:val="00231928"/>
    <w:rsid w:val="00231A58"/>
    <w:rsid w:val="00231FAC"/>
    <w:rsid w:val="0023260E"/>
    <w:rsid w:val="0023280E"/>
    <w:rsid w:val="00232C6C"/>
    <w:rsid w:val="00232D51"/>
    <w:rsid w:val="00232FE0"/>
    <w:rsid w:val="00233708"/>
    <w:rsid w:val="00233A1C"/>
    <w:rsid w:val="00234416"/>
    <w:rsid w:val="00234467"/>
    <w:rsid w:val="002349B3"/>
    <w:rsid w:val="00234BA8"/>
    <w:rsid w:val="00235283"/>
    <w:rsid w:val="00235C70"/>
    <w:rsid w:val="00235E2D"/>
    <w:rsid w:val="00235EE1"/>
    <w:rsid w:val="002361DA"/>
    <w:rsid w:val="00236372"/>
    <w:rsid w:val="0023697C"/>
    <w:rsid w:val="002369B7"/>
    <w:rsid w:val="00237499"/>
    <w:rsid w:val="002377D1"/>
    <w:rsid w:val="002379B5"/>
    <w:rsid w:val="00240746"/>
    <w:rsid w:val="002410F1"/>
    <w:rsid w:val="002426C1"/>
    <w:rsid w:val="0024299D"/>
    <w:rsid w:val="00242F3E"/>
    <w:rsid w:val="00244170"/>
    <w:rsid w:val="00245594"/>
    <w:rsid w:val="00245767"/>
    <w:rsid w:val="00246A3B"/>
    <w:rsid w:val="00246DA9"/>
    <w:rsid w:val="002475B7"/>
    <w:rsid w:val="00247A77"/>
    <w:rsid w:val="002506BC"/>
    <w:rsid w:val="00250973"/>
    <w:rsid w:val="00250D13"/>
    <w:rsid w:val="002513F0"/>
    <w:rsid w:val="0025148B"/>
    <w:rsid w:val="002514EE"/>
    <w:rsid w:val="0025172D"/>
    <w:rsid w:val="0025181B"/>
    <w:rsid w:val="00251DD4"/>
    <w:rsid w:val="00252212"/>
    <w:rsid w:val="00252913"/>
    <w:rsid w:val="002539CF"/>
    <w:rsid w:val="00253EF7"/>
    <w:rsid w:val="00254345"/>
    <w:rsid w:val="00255350"/>
    <w:rsid w:val="002554B0"/>
    <w:rsid w:val="00255F99"/>
    <w:rsid w:val="00256A64"/>
    <w:rsid w:val="00257690"/>
    <w:rsid w:val="00257780"/>
    <w:rsid w:val="002600FE"/>
    <w:rsid w:val="00260125"/>
    <w:rsid w:val="00260813"/>
    <w:rsid w:val="002610BF"/>
    <w:rsid w:val="00261821"/>
    <w:rsid w:val="00261C8E"/>
    <w:rsid w:val="00262927"/>
    <w:rsid w:val="00262C11"/>
    <w:rsid w:val="00262DAA"/>
    <w:rsid w:val="00264043"/>
    <w:rsid w:val="00264557"/>
    <w:rsid w:val="002645DF"/>
    <w:rsid w:val="002652BA"/>
    <w:rsid w:val="002656CA"/>
    <w:rsid w:val="0026603D"/>
    <w:rsid w:val="0026605A"/>
    <w:rsid w:val="00266115"/>
    <w:rsid w:val="00266284"/>
    <w:rsid w:val="00266419"/>
    <w:rsid w:val="00266D5C"/>
    <w:rsid w:val="00270B3A"/>
    <w:rsid w:val="00271D95"/>
    <w:rsid w:val="00273473"/>
    <w:rsid w:val="00273493"/>
    <w:rsid w:val="002734BD"/>
    <w:rsid w:val="00274591"/>
    <w:rsid w:val="00274A79"/>
    <w:rsid w:val="00274C7F"/>
    <w:rsid w:val="00274DA4"/>
    <w:rsid w:val="002750C9"/>
    <w:rsid w:val="002753D1"/>
    <w:rsid w:val="00275CF4"/>
    <w:rsid w:val="00276395"/>
    <w:rsid w:val="00276D9C"/>
    <w:rsid w:val="00277609"/>
    <w:rsid w:val="002776F9"/>
    <w:rsid w:val="002777B8"/>
    <w:rsid w:val="00277EB5"/>
    <w:rsid w:val="002805AB"/>
    <w:rsid w:val="002811B1"/>
    <w:rsid w:val="00281705"/>
    <w:rsid w:val="002817A8"/>
    <w:rsid w:val="00282C6E"/>
    <w:rsid w:val="0028333F"/>
    <w:rsid w:val="00283479"/>
    <w:rsid w:val="00283914"/>
    <w:rsid w:val="00284204"/>
    <w:rsid w:val="00284B38"/>
    <w:rsid w:val="00284EB9"/>
    <w:rsid w:val="0028708F"/>
    <w:rsid w:val="0028796D"/>
    <w:rsid w:val="00287BD0"/>
    <w:rsid w:val="00287FB2"/>
    <w:rsid w:val="002901E0"/>
    <w:rsid w:val="0029071C"/>
    <w:rsid w:val="0029115A"/>
    <w:rsid w:val="00291394"/>
    <w:rsid w:val="0029153B"/>
    <w:rsid w:val="00291773"/>
    <w:rsid w:val="00291843"/>
    <w:rsid w:val="002919F1"/>
    <w:rsid w:val="002923AC"/>
    <w:rsid w:val="0029250B"/>
    <w:rsid w:val="002926F2"/>
    <w:rsid w:val="0029285A"/>
    <w:rsid w:val="002929A0"/>
    <w:rsid w:val="00292FE4"/>
    <w:rsid w:val="0029306D"/>
    <w:rsid w:val="00293151"/>
    <w:rsid w:val="00293706"/>
    <w:rsid w:val="00293823"/>
    <w:rsid w:val="0029522B"/>
    <w:rsid w:val="00295413"/>
    <w:rsid w:val="002958B6"/>
    <w:rsid w:val="00295BAE"/>
    <w:rsid w:val="00295F02"/>
    <w:rsid w:val="002967F9"/>
    <w:rsid w:val="00297505"/>
    <w:rsid w:val="00297572"/>
    <w:rsid w:val="002978DD"/>
    <w:rsid w:val="002A01C6"/>
    <w:rsid w:val="002A028C"/>
    <w:rsid w:val="002A051E"/>
    <w:rsid w:val="002A1531"/>
    <w:rsid w:val="002A168C"/>
    <w:rsid w:val="002A1B2B"/>
    <w:rsid w:val="002A2052"/>
    <w:rsid w:val="002A29A3"/>
    <w:rsid w:val="002A3DC7"/>
    <w:rsid w:val="002A43A7"/>
    <w:rsid w:val="002A44AD"/>
    <w:rsid w:val="002A5888"/>
    <w:rsid w:val="002A5986"/>
    <w:rsid w:val="002A5B23"/>
    <w:rsid w:val="002A60CB"/>
    <w:rsid w:val="002A774B"/>
    <w:rsid w:val="002A788C"/>
    <w:rsid w:val="002B028D"/>
    <w:rsid w:val="002B2611"/>
    <w:rsid w:val="002B49E2"/>
    <w:rsid w:val="002B5084"/>
    <w:rsid w:val="002B6193"/>
    <w:rsid w:val="002B7551"/>
    <w:rsid w:val="002B765B"/>
    <w:rsid w:val="002B7715"/>
    <w:rsid w:val="002B7B00"/>
    <w:rsid w:val="002B7C11"/>
    <w:rsid w:val="002B7C44"/>
    <w:rsid w:val="002C285B"/>
    <w:rsid w:val="002C2885"/>
    <w:rsid w:val="002C2B17"/>
    <w:rsid w:val="002C352A"/>
    <w:rsid w:val="002C4151"/>
    <w:rsid w:val="002C45B8"/>
    <w:rsid w:val="002C472F"/>
    <w:rsid w:val="002C4F9A"/>
    <w:rsid w:val="002C67FD"/>
    <w:rsid w:val="002C7F72"/>
    <w:rsid w:val="002D09BB"/>
    <w:rsid w:val="002D141A"/>
    <w:rsid w:val="002D154C"/>
    <w:rsid w:val="002D1650"/>
    <w:rsid w:val="002D2798"/>
    <w:rsid w:val="002D2CF8"/>
    <w:rsid w:val="002D3AAF"/>
    <w:rsid w:val="002D3DD0"/>
    <w:rsid w:val="002D3F2C"/>
    <w:rsid w:val="002D4E53"/>
    <w:rsid w:val="002D4E96"/>
    <w:rsid w:val="002D6046"/>
    <w:rsid w:val="002D64A8"/>
    <w:rsid w:val="002D68F7"/>
    <w:rsid w:val="002D7734"/>
    <w:rsid w:val="002E008E"/>
    <w:rsid w:val="002E02AB"/>
    <w:rsid w:val="002E07A9"/>
    <w:rsid w:val="002E0F61"/>
    <w:rsid w:val="002E0FC6"/>
    <w:rsid w:val="002E189E"/>
    <w:rsid w:val="002E1F3A"/>
    <w:rsid w:val="002E223B"/>
    <w:rsid w:val="002E2748"/>
    <w:rsid w:val="002E298A"/>
    <w:rsid w:val="002E30AF"/>
    <w:rsid w:val="002E4CE8"/>
    <w:rsid w:val="002E4D69"/>
    <w:rsid w:val="002E5270"/>
    <w:rsid w:val="002E613A"/>
    <w:rsid w:val="002E6CDD"/>
    <w:rsid w:val="002E7FD3"/>
    <w:rsid w:val="002F0430"/>
    <w:rsid w:val="002F08F9"/>
    <w:rsid w:val="002F0F69"/>
    <w:rsid w:val="002F1052"/>
    <w:rsid w:val="002F1082"/>
    <w:rsid w:val="002F115A"/>
    <w:rsid w:val="002F2074"/>
    <w:rsid w:val="002F20B9"/>
    <w:rsid w:val="002F303F"/>
    <w:rsid w:val="002F3119"/>
    <w:rsid w:val="002F31E7"/>
    <w:rsid w:val="002F3CCA"/>
    <w:rsid w:val="002F481A"/>
    <w:rsid w:val="002F5649"/>
    <w:rsid w:val="002F5E29"/>
    <w:rsid w:val="002F6597"/>
    <w:rsid w:val="002F7541"/>
    <w:rsid w:val="003002D7"/>
    <w:rsid w:val="003013CC"/>
    <w:rsid w:val="00301623"/>
    <w:rsid w:val="00301978"/>
    <w:rsid w:val="00302281"/>
    <w:rsid w:val="003026B9"/>
    <w:rsid w:val="00302F78"/>
    <w:rsid w:val="0030332C"/>
    <w:rsid w:val="00303A37"/>
    <w:rsid w:val="00303CB8"/>
    <w:rsid w:val="003051C2"/>
    <w:rsid w:val="00305441"/>
    <w:rsid w:val="00305E08"/>
    <w:rsid w:val="00306E6E"/>
    <w:rsid w:val="00307473"/>
    <w:rsid w:val="00307EC8"/>
    <w:rsid w:val="00310122"/>
    <w:rsid w:val="00310453"/>
    <w:rsid w:val="0031059E"/>
    <w:rsid w:val="00311077"/>
    <w:rsid w:val="003115C5"/>
    <w:rsid w:val="00312296"/>
    <w:rsid w:val="0031247B"/>
    <w:rsid w:val="003125EC"/>
    <w:rsid w:val="00312975"/>
    <w:rsid w:val="0031301F"/>
    <w:rsid w:val="00313333"/>
    <w:rsid w:val="00314A87"/>
    <w:rsid w:val="00314F0E"/>
    <w:rsid w:val="0031502B"/>
    <w:rsid w:val="00315474"/>
    <w:rsid w:val="003158F4"/>
    <w:rsid w:val="00317400"/>
    <w:rsid w:val="00317B3A"/>
    <w:rsid w:val="003204EF"/>
    <w:rsid w:val="003214CC"/>
    <w:rsid w:val="003217B4"/>
    <w:rsid w:val="003219D2"/>
    <w:rsid w:val="00321D8E"/>
    <w:rsid w:val="00321FB0"/>
    <w:rsid w:val="003220D1"/>
    <w:rsid w:val="003220E3"/>
    <w:rsid w:val="003220FD"/>
    <w:rsid w:val="00322493"/>
    <w:rsid w:val="003224C1"/>
    <w:rsid w:val="00322A83"/>
    <w:rsid w:val="0032360B"/>
    <w:rsid w:val="00323AE8"/>
    <w:rsid w:val="00323E93"/>
    <w:rsid w:val="00324B2F"/>
    <w:rsid w:val="00324BC0"/>
    <w:rsid w:val="00324E44"/>
    <w:rsid w:val="003258D4"/>
    <w:rsid w:val="00325928"/>
    <w:rsid w:val="003261C6"/>
    <w:rsid w:val="003262D1"/>
    <w:rsid w:val="003267C5"/>
    <w:rsid w:val="00326974"/>
    <w:rsid w:val="00326A40"/>
    <w:rsid w:val="0032782D"/>
    <w:rsid w:val="00330F83"/>
    <w:rsid w:val="00331583"/>
    <w:rsid w:val="00332193"/>
    <w:rsid w:val="00332646"/>
    <w:rsid w:val="00332863"/>
    <w:rsid w:val="003328DF"/>
    <w:rsid w:val="00333C6A"/>
    <w:rsid w:val="00334A9C"/>
    <w:rsid w:val="00334EF4"/>
    <w:rsid w:val="0033684D"/>
    <w:rsid w:val="00336C9D"/>
    <w:rsid w:val="003373AD"/>
    <w:rsid w:val="00337470"/>
    <w:rsid w:val="00337B42"/>
    <w:rsid w:val="00340302"/>
    <w:rsid w:val="00340498"/>
    <w:rsid w:val="00340CE5"/>
    <w:rsid w:val="00341294"/>
    <w:rsid w:val="003419F0"/>
    <w:rsid w:val="00341AFE"/>
    <w:rsid w:val="00341B42"/>
    <w:rsid w:val="00341DDD"/>
    <w:rsid w:val="00341DED"/>
    <w:rsid w:val="00342363"/>
    <w:rsid w:val="003433C7"/>
    <w:rsid w:val="0034348F"/>
    <w:rsid w:val="00343C8E"/>
    <w:rsid w:val="00343DA9"/>
    <w:rsid w:val="00344E58"/>
    <w:rsid w:val="00344F71"/>
    <w:rsid w:val="00345034"/>
    <w:rsid w:val="0034658B"/>
    <w:rsid w:val="00346AF6"/>
    <w:rsid w:val="00351B43"/>
    <w:rsid w:val="0035206F"/>
    <w:rsid w:val="0035267D"/>
    <w:rsid w:val="00353078"/>
    <w:rsid w:val="0035386B"/>
    <w:rsid w:val="00353BED"/>
    <w:rsid w:val="00354123"/>
    <w:rsid w:val="00354FA7"/>
    <w:rsid w:val="003559E0"/>
    <w:rsid w:val="00355D4A"/>
    <w:rsid w:val="00356084"/>
    <w:rsid w:val="003560E5"/>
    <w:rsid w:val="00356653"/>
    <w:rsid w:val="00356661"/>
    <w:rsid w:val="00356D2F"/>
    <w:rsid w:val="00356EB0"/>
    <w:rsid w:val="00356F1D"/>
    <w:rsid w:val="0035743F"/>
    <w:rsid w:val="00357BE2"/>
    <w:rsid w:val="0036055F"/>
    <w:rsid w:val="003608C4"/>
    <w:rsid w:val="00361203"/>
    <w:rsid w:val="00361212"/>
    <w:rsid w:val="003614EB"/>
    <w:rsid w:val="0036170C"/>
    <w:rsid w:val="00362109"/>
    <w:rsid w:val="00362631"/>
    <w:rsid w:val="003627E9"/>
    <w:rsid w:val="003632AE"/>
    <w:rsid w:val="003640E7"/>
    <w:rsid w:val="00364931"/>
    <w:rsid w:val="00365A6F"/>
    <w:rsid w:val="00366379"/>
    <w:rsid w:val="00366443"/>
    <w:rsid w:val="003667A8"/>
    <w:rsid w:val="00366E0F"/>
    <w:rsid w:val="0037079A"/>
    <w:rsid w:val="00370C0D"/>
    <w:rsid w:val="00371676"/>
    <w:rsid w:val="0037195A"/>
    <w:rsid w:val="00371AFA"/>
    <w:rsid w:val="00371E06"/>
    <w:rsid w:val="00372591"/>
    <w:rsid w:val="00373D31"/>
    <w:rsid w:val="00373FC7"/>
    <w:rsid w:val="0037461C"/>
    <w:rsid w:val="003746DE"/>
    <w:rsid w:val="00374D73"/>
    <w:rsid w:val="00375914"/>
    <w:rsid w:val="00375D77"/>
    <w:rsid w:val="00375FC7"/>
    <w:rsid w:val="0037605D"/>
    <w:rsid w:val="003764E0"/>
    <w:rsid w:val="00376559"/>
    <w:rsid w:val="003765EB"/>
    <w:rsid w:val="00376B02"/>
    <w:rsid w:val="00377BDA"/>
    <w:rsid w:val="00380076"/>
    <w:rsid w:val="00380122"/>
    <w:rsid w:val="00380A22"/>
    <w:rsid w:val="00380BB9"/>
    <w:rsid w:val="00380FC1"/>
    <w:rsid w:val="0038114B"/>
    <w:rsid w:val="00381638"/>
    <w:rsid w:val="00381A72"/>
    <w:rsid w:val="00381B97"/>
    <w:rsid w:val="00382611"/>
    <w:rsid w:val="003829F3"/>
    <w:rsid w:val="00382F0F"/>
    <w:rsid w:val="003830A0"/>
    <w:rsid w:val="00383DF6"/>
    <w:rsid w:val="003841CF"/>
    <w:rsid w:val="003843A9"/>
    <w:rsid w:val="00384448"/>
    <w:rsid w:val="00384676"/>
    <w:rsid w:val="00384B84"/>
    <w:rsid w:val="00384BDF"/>
    <w:rsid w:val="00385C58"/>
    <w:rsid w:val="00385C62"/>
    <w:rsid w:val="00385F53"/>
    <w:rsid w:val="00386A37"/>
    <w:rsid w:val="00386BF3"/>
    <w:rsid w:val="00386F02"/>
    <w:rsid w:val="00387192"/>
    <w:rsid w:val="00387C7D"/>
    <w:rsid w:val="0039032A"/>
    <w:rsid w:val="00390332"/>
    <w:rsid w:val="003904BD"/>
    <w:rsid w:val="00390593"/>
    <w:rsid w:val="00390857"/>
    <w:rsid w:val="00390939"/>
    <w:rsid w:val="00390A8B"/>
    <w:rsid w:val="00390B1B"/>
    <w:rsid w:val="00390ED6"/>
    <w:rsid w:val="00390F95"/>
    <w:rsid w:val="003910EB"/>
    <w:rsid w:val="00391867"/>
    <w:rsid w:val="00392080"/>
    <w:rsid w:val="00392637"/>
    <w:rsid w:val="00393058"/>
    <w:rsid w:val="0039375E"/>
    <w:rsid w:val="00393999"/>
    <w:rsid w:val="00393CED"/>
    <w:rsid w:val="00394690"/>
    <w:rsid w:val="00395C9D"/>
    <w:rsid w:val="003965B0"/>
    <w:rsid w:val="003968E5"/>
    <w:rsid w:val="00396CE5"/>
    <w:rsid w:val="00396D1F"/>
    <w:rsid w:val="00396DB1"/>
    <w:rsid w:val="00396E66"/>
    <w:rsid w:val="003971B2"/>
    <w:rsid w:val="003973F3"/>
    <w:rsid w:val="003978E1"/>
    <w:rsid w:val="00397AF3"/>
    <w:rsid w:val="003A0737"/>
    <w:rsid w:val="003A1C28"/>
    <w:rsid w:val="003A30FF"/>
    <w:rsid w:val="003A3169"/>
    <w:rsid w:val="003A32FE"/>
    <w:rsid w:val="003A41CB"/>
    <w:rsid w:val="003A4367"/>
    <w:rsid w:val="003A466B"/>
    <w:rsid w:val="003A4696"/>
    <w:rsid w:val="003A4BF3"/>
    <w:rsid w:val="003A5CF9"/>
    <w:rsid w:val="003A60B8"/>
    <w:rsid w:val="003A64DA"/>
    <w:rsid w:val="003A6611"/>
    <w:rsid w:val="003A6835"/>
    <w:rsid w:val="003A6EE3"/>
    <w:rsid w:val="003B0F2E"/>
    <w:rsid w:val="003B1301"/>
    <w:rsid w:val="003B1416"/>
    <w:rsid w:val="003B17AF"/>
    <w:rsid w:val="003B1C92"/>
    <w:rsid w:val="003B1D38"/>
    <w:rsid w:val="003B20F2"/>
    <w:rsid w:val="003B2116"/>
    <w:rsid w:val="003B262E"/>
    <w:rsid w:val="003B27AC"/>
    <w:rsid w:val="003B34FF"/>
    <w:rsid w:val="003B3DCF"/>
    <w:rsid w:val="003B420D"/>
    <w:rsid w:val="003B42F7"/>
    <w:rsid w:val="003B5078"/>
    <w:rsid w:val="003B56EB"/>
    <w:rsid w:val="003B5A16"/>
    <w:rsid w:val="003B5CA3"/>
    <w:rsid w:val="003B6263"/>
    <w:rsid w:val="003B6332"/>
    <w:rsid w:val="003B697F"/>
    <w:rsid w:val="003B6A2F"/>
    <w:rsid w:val="003B6F0F"/>
    <w:rsid w:val="003B7793"/>
    <w:rsid w:val="003C04C1"/>
    <w:rsid w:val="003C0D00"/>
    <w:rsid w:val="003C16E1"/>
    <w:rsid w:val="003C1EF5"/>
    <w:rsid w:val="003C211D"/>
    <w:rsid w:val="003C2E09"/>
    <w:rsid w:val="003C31E8"/>
    <w:rsid w:val="003C359F"/>
    <w:rsid w:val="003C3B82"/>
    <w:rsid w:val="003C4B5F"/>
    <w:rsid w:val="003C56F5"/>
    <w:rsid w:val="003C576D"/>
    <w:rsid w:val="003C5BEE"/>
    <w:rsid w:val="003C5C13"/>
    <w:rsid w:val="003C5FDE"/>
    <w:rsid w:val="003C6C16"/>
    <w:rsid w:val="003C6C83"/>
    <w:rsid w:val="003C6E2D"/>
    <w:rsid w:val="003C6ED2"/>
    <w:rsid w:val="003C7A8B"/>
    <w:rsid w:val="003C7FA3"/>
    <w:rsid w:val="003D0163"/>
    <w:rsid w:val="003D1C50"/>
    <w:rsid w:val="003D1CD7"/>
    <w:rsid w:val="003D2932"/>
    <w:rsid w:val="003D317A"/>
    <w:rsid w:val="003D3ABE"/>
    <w:rsid w:val="003D3C29"/>
    <w:rsid w:val="003D4782"/>
    <w:rsid w:val="003D4B1C"/>
    <w:rsid w:val="003D583E"/>
    <w:rsid w:val="003D59B8"/>
    <w:rsid w:val="003D6774"/>
    <w:rsid w:val="003D6C56"/>
    <w:rsid w:val="003D7925"/>
    <w:rsid w:val="003D794D"/>
    <w:rsid w:val="003E0BC9"/>
    <w:rsid w:val="003E0D83"/>
    <w:rsid w:val="003E0E28"/>
    <w:rsid w:val="003E1302"/>
    <w:rsid w:val="003E13B1"/>
    <w:rsid w:val="003E1490"/>
    <w:rsid w:val="003E1E3E"/>
    <w:rsid w:val="003E1F04"/>
    <w:rsid w:val="003E1FA1"/>
    <w:rsid w:val="003E3058"/>
    <w:rsid w:val="003E3C39"/>
    <w:rsid w:val="003E4BE7"/>
    <w:rsid w:val="003E4F61"/>
    <w:rsid w:val="003E5244"/>
    <w:rsid w:val="003E5329"/>
    <w:rsid w:val="003E724F"/>
    <w:rsid w:val="003E74DE"/>
    <w:rsid w:val="003E76A9"/>
    <w:rsid w:val="003E7E35"/>
    <w:rsid w:val="003F0766"/>
    <w:rsid w:val="003F0770"/>
    <w:rsid w:val="003F0809"/>
    <w:rsid w:val="003F0900"/>
    <w:rsid w:val="003F17BE"/>
    <w:rsid w:val="003F2030"/>
    <w:rsid w:val="003F26CB"/>
    <w:rsid w:val="003F26CF"/>
    <w:rsid w:val="003F2719"/>
    <w:rsid w:val="003F2932"/>
    <w:rsid w:val="003F372B"/>
    <w:rsid w:val="003F4004"/>
    <w:rsid w:val="003F44FB"/>
    <w:rsid w:val="003F66AD"/>
    <w:rsid w:val="003F6A8C"/>
    <w:rsid w:val="003F755C"/>
    <w:rsid w:val="003F7F82"/>
    <w:rsid w:val="003F7FAC"/>
    <w:rsid w:val="00400F07"/>
    <w:rsid w:val="00401549"/>
    <w:rsid w:val="00401BFB"/>
    <w:rsid w:val="004020E4"/>
    <w:rsid w:val="00402A24"/>
    <w:rsid w:val="00402D66"/>
    <w:rsid w:val="0040326C"/>
    <w:rsid w:val="004040D0"/>
    <w:rsid w:val="00404B8E"/>
    <w:rsid w:val="00405ED3"/>
    <w:rsid w:val="004069B4"/>
    <w:rsid w:val="00406F01"/>
    <w:rsid w:val="00407270"/>
    <w:rsid w:val="0040729F"/>
    <w:rsid w:val="004079E2"/>
    <w:rsid w:val="00407BFD"/>
    <w:rsid w:val="00407DE7"/>
    <w:rsid w:val="004106F0"/>
    <w:rsid w:val="00410A5E"/>
    <w:rsid w:val="0041107E"/>
    <w:rsid w:val="00411164"/>
    <w:rsid w:val="004119FB"/>
    <w:rsid w:val="004125A6"/>
    <w:rsid w:val="00412C57"/>
    <w:rsid w:val="0041349F"/>
    <w:rsid w:val="00413587"/>
    <w:rsid w:val="004145AF"/>
    <w:rsid w:val="00415211"/>
    <w:rsid w:val="00415719"/>
    <w:rsid w:val="00415A83"/>
    <w:rsid w:val="00416219"/>
    <w:rsid w:val="00416BED"/>
    <w:rsid w:val="00416D50"/>
    <w:rsid w:val="00416FD5"/>
    <w:rsid w:val="00417251"/>
    <w:rsid w:val="00417257"/>
    <w:rsid w:val="00417772"/>
    <w:rsid w:val="00417AC2"/>
    <w:rsid w:val="0042015C"/>
    <w:rsid w:val="00420E6A"/>
    <w:rsid w:val="0042119E"/>
    <w:rsid w:val="004211BB"/>
    <w:rsid w:val="004216EC"/>
    <w:rsid w:val="00421F09"/>
    <w:rsid w:val="00422302"/>
    <w:rsid w:val="00422384"/>
    <w:rsid w:val="004227A4"/>
    <w:rsid w:val="004229BB"/>
    <w:rsid w:val="004229BF"/>
    <w:rsid w:val="00422DAE"/>
    <w:rsid w:val="0042318D"/>
    <w:rsid w:val="00423808"/>
    <w:rsid w:val="00423C84"/>
    <w:rsid w:val="00423D07"/>
    <w:rsid w:val="0042411E"/>
    <w:rsid w:val="004250E3"/>
    <w:rsid w:val="00425A9E"/>
    <w:rsid w:val="00426393"/>
    <w:rsid w:val="00426D6B"/>
    <w:rsid w:val="004277AA"/>
    <w:rsid w:val="00427E2C"/>
    <w:rsid w:val="004318A3"/>
    <w:rsid w:val="00431E6C"/>
    <w:rsid w:val="00431F9F"/>
    <w:rsid w:val="0043323C"/>
    <w:rsid w:val="004336AB"/>
    <w:rsid w:val="00433B0F"/>
    <w:rsid w:val="00433C18"/>
    <w:rsid w:val="00433CE7"/>
    <w:rsid w:val="00433F6D"/>
    <w:rsid w:val="00434447"/>
    <w:rsid w:val="004355DD"/>
    <w:rsid w:val="00435D38"/>
    <w:rsid w:val="00436DF3"/>
    <w:rsid w:val="004376CF"/>
    <w:rsid w:val="00441114"/>
    <w:rsid w:val="00441D9C"/>
    <w:rsid w:val="00442162"/>
    <w:rsid w:val="004428A1"/>
    <w:rsid w:val="00442BC3"/>
    <w:rsid w:val="0044386B"/>
    <w:rsid w:val="00443C7C"/>
    <w:rsid w:val="00444080"/>
    <w:rsid w:val="004441F0"/>
    <w:rsid w:val="00444382"/>
    <w:rsid w:val="004446C8"/>
    <w:rsid w:val="00445461"/>
    <w:rsid w:val="004462C9"/>
    <w:rsid w:val="00446427"/>
    <w:rsid w:val="00446F5B"/>
    <w:rsid w:val="00447079"/>
    <w:rsid w:val="0044721F"/>
    <w:rsid w:val="004479C0"/>
    <w:rsid w:val="00447A3E"/>
    <w:rsid w:val="00450135"/>
    <w:rsid w:val="00450300"/>
    <w:rsid w:val="0045093F"/>
    <w:rsid w:val="00451579"/>
    <w:rsid w:val="00452738"/>
    <w:rsid w:val="00452F2C"/>
    <w:rsid w:val="0045451D"/>
    <w:rsid w:val="004545AB"/>
    <w:rsid w:val="0045504A"/>
    <w:rsid w:val="00455A9B"/>
    <w:rsid w:val="00455AF7"/>
    <w:rsid w:val="00455D10"/>
    <w:rsid w:val="00455EE2"/>
    <w:rsid w:val="00456091"/>
    <w:rsid w:val="0045704D"/>
    <w:rsid w:val="0045738B"/>
    <w:rsid w:val="0045756A"/>
    <w:rsid w:val="00460635"/>
    <w:rsid w:val="004617FA"/>
    <w:rsid w:val="00463C21"/>
    <w:rsid w:val="00463F8D"/>
    <w:rsid w:val="00464A23"/>
    <w:rsid w:val="00464EDC"/>
    <w:rsid w:val="0046556D"/>
    <w:rsid w:val="0046576B"/>
    <w:rsid w:val="00465F4B"/>
    <w:rsid w:val="00466321"/>
    <w:rsid w:val="004663EE"/>
    <w:rsid w:val="00466598"/>
    <w:rsid w:val="00466741"/>
    <w:rsid w:val="004671B3"/>
    <w:rsid w:val="004676F7"/>
    <w:rsid w:val="004706F8"/>
    <w:rsid w:val="00470F35"/>
    <w:rsid w:val="004715EE"/>
    <w:rsid w:val="0047193B"/>
    <w:rsid w:val="00471A46"/>
    <w:rsid w:val="0047331F"/>
    <w:rsid w:val="00473579"/>
    <w:rsid w:val="00473DF0"/>
    <w:rsid w:val="0047476F"/>
    <w:rsid w:val="004748AC"/>
    <w:rsid w:val="00475A6A"/>
    <w:rsid w:val="004760EB"/>
    <w:rsid w:val="00476119"/>
    <w:rsid w:val="0047673F"/>
    <w:rsid w:val="004767FF"/>
    <w:rsid w:val="00480BE2"/>
    <w:rsid w:val="00480DBE"/>
    <w:rsid w:val="00482049"/>
    <w:rsid w:val="00482495"/>
    <w:rsid w:val="004835DC"/>
    <w:rsid w:val="00483885"/>
    <w:rsid w:val="0048390F"/>
    <w:rsid w:val="004841A8"/>
    <w:rsid w:val="00484995"/>
    <w:rsid w:val="00484A45"/>
    <w:rsid w:val="00484B9B"/>
    <w:rsid w:val="004855F6"/>
    <w:rsid w:val="0048661E"/>
    <w:rsid w:val="00487A46"/>
    <w:rsid w:val="00490278"/>
    <w:rsid w:val="0049118C"/>
    <w:rsid w:val="00492340"/>
    <w:rsid w:val="00492476"/>
    <w:rsid w:val="00492559"/>
    <w:rsid w:val="00492D4D"/>
    <w:rsid w:val="00493F16"/>
    <w:rsid w:val="00494670"/>
    <w:rsid w:val="0049515E"/>
    <w:rsid w:val="00495675"/>
    <w:rsid w:val="00495891"/>
    <w:rsid w:val="00496076"/>
    <w:rsid w:val="004963A7"/>
    <w:rsid w:val="004968FA"/>
    <w:rsid w:val="00497058"/>
    <w:rsid w:val="0049769F"/>
    <w:rsid w:val="004A01D1"/>
    <w:rsid w:val="004A0421"/>
    <w:rsid w:val="004A0F19"/>
    <w:rsid w:val="004A10C6"/>
    <w:rsid w:val="004A27AC"/>
    <w:rsid w:val="004A3823"/>
    <w:rsid w:val="004A429E"/>
    <w:rsid w:val="004A4F01"/>
    <w:rsid w:val="004A543B"/>
    <w:rsid w:val="004A5B30"/>
    <w:rsid w:val="004A5C0B"/>
    <w:rsid w:val="004A5CE7"/>
    <w:rsid w:val="004A61A4"/>
    <w:rsid w:val="004A674A"/>
    <w:rsid w:val="004A68E5"/>
    <w:rsid w:val="004A6BE5"/>
    <w:rsid w:val="004A7225"/>
    <w:rsid w:val="004A7341"/>
    <w:rsid w:val="004A7F65"/>
    <w:rsid w:val="004A7FCE"/>
    <w:rsid w:val="004B0194"/>
    <w:rsid w:val="004B052B"/>
    <w:rsid w:val="004B21E2"/>
    <w:rsid w:val="004B2336"/>
    <w:rsid w:val="004B23A6"/>
    <w:rsid w:val="004B2672"/>
    <w:rsid w:val="004B30FE"/>
    <w:rsid w:val="004B3B3E"/>
    <w:rsid w:val="004B46E4"/>
    <w:rsid w:val="004B4EA7"/>
    <w:rsid w:val="004B66A4"/>
    <w:rsid w:val="004B6D02"/>
    <w:rsid w:val="004B73F8"/>
    <w:rsid w:val="004C0B1E"/>
    <w:rsid w:val="004C0F3A"/>
    <w:rsid w:val="004C2A25"/>
    <w:rsid w:val="004C2A95"/>
    <w:rsid w:val="004C2C91"/>
    <w:rsid w:val="004C3387"/>
    <w:rsid w:val="004C34DC"/>
    <w:rsid w:val="004C36F9"/>
    <w:rsid w:val="004C3DA5"/>
    <w:rsid w:val="004C3DF7"/>
    <w:rsid w:val="004C3E51"/>
    <w:rsid w:val="004C57BF"/>
    <w:rsid w:val="004C5F8D"/>
    <w:rsid w:val="004C62F9"/>
    <w:rsid w:val="004C69EA"/>
    <w:rsid w:val="004C6C45"/>
    <w:rsid w:val="004C7C37"/>
    <w:rsid w:val="004D0120"/>
    <w:rsid w:val="004D1215"/>
    <w:rsid w:val="004D193A"/>
    <w:rsid w:val="004D1C84"/>
    <w:rsid w:val="004D21A6"/>
    <w:rsid w:val="004D24F3"/>
    <w:rsid w:val="004D3B10"/>
    <w:rsid w:val="004D3C19"/>
    <w:rsid w:val="004D4BD2"/>
    <w:rsid w:val="004D4ED7"/>
    <w:rsid w:val="004D4FC9"/>
    <w:rsid w:val="004D5D02"/>
    <w:rsid w:val="004D6442"/>
    <w:rsid w:val="004D6849"/>
    <w:rsid w:val="004D6891"/>
    <w:rsid w:val="004D6B38"/>
    <w:rsid w:val="004D7359"/>
    <w:rsid w:val="004D7985"/>
    <w:rsid w:val="004E0B0A"/>
    <w:rsid w:val="004E2377"/>
    <w:rsid w:val="004E26B5"/>
    <w:rsid w:val="004E3956"/>
    <w:rsid w:val="004E40F8"/>
    <w:rsid w:val="004E473A"/>
    <w:rsid w:val="004E47E6"/>
    <w:rsid w:val="004E5632"/>
    <w:rsid w:val="004E5B81"/>
    <w:rsid w:val="004E5FAB"/>
    <w:rsid w:val="004E6549"/>
    <w:rsid w:val="004E657A"/>
    <w:rsid w:val="004E6946"/>
    <w:rsid w:val="004E6BD9"/>
    <w:rsid w:val="004E6E51"/>
    <w:rsid w:val="004E7274"/>
    <w:rsid w:val="004E7A46"/>
    <w:rsid w:val="004F0CE7"/>
    <w:rsid w:val="004F0EAA"/>
    <w:rsid w:val="004F1AD8"/>
    <w:rsid w:val="004F29B4"/>
    <w:rsid w:val="004F3944"/>
    <w:rsid w:val="004F3EAB"/>
    <w:rsid w:val="004F4697"/>
    <w:rsid w:val="004F4899"/>
    <w:rsid w:val="004F4EAA"/>
    <w:rsid w:val="004F6717"/>
    <w:rsid w:val="004F6A27"/>
    <w:rsid w:val="004F6A8D"/>
    <w:rsid w:val="00500167"/>
    <w:rsid w:val="00500991"/>
    <w:rsid w:val="0050170D"/>
    <w:rsid w:val="00501E37"/>
    <w:rsid w:val="00501F18"/>
    <w:rsid w:val="005039CB"/>
    <w:rsid w:val="00503C9A"/>
    <w:rsid w:val="0050435A"/>
    <w:rsid w:val="0050474A"/>
    <w:rsid w:val="005047B5"/>
    <w:rsid w:val="0050558F"/>
    <w:rsid w:val="0050572A"/>
    <w:rsid w:val="005060D9"/>
    <w:rsid w:val="00506286"/>
    <w:rsid w:val="0050628A"/>
    <w:rsid w:val="00506C5A"/>
    <w:rsid w:val="00507066"/>
    <w:rsid w:val="00507077"/>
    <w:rsid w:val="005075C3"/>
    <w:rsid w:val="005100AE"/>
    <w:rsid w:val="00510813"/>
    <w:rsid w:val="00511990"/>
    <w:rsid w:val="005119B3"/>
    <w:rsid w:val="00511A2F"/>
    <w:rsid w:val="00511B24"/>
    <w:rsid w:val="00511DE0"/>
    <w:rsid w:val="00511F05"/>
    <w:rsid w:val="0051321D"/>
    <w:rsid w:val="00513C38"/>
    <w:rsid w:val="00514398"/>
    <w:rsid w:val="005147E0"/>
    <w:rsid w:val="00514870"/>
    <w:rsid w:val="00514A5F"/>
    <w:rsid w:val="00514B9B"/>
    <w:rsid w:val="00514C57"/>
    <w:rsid w:val="00514CA8"/>
    <w:rsid w:val="00514EBB"/>
    <w:rsid w:val="005163E8"/>
    <w:rsid w:val="0051641E"/>
    <w:rsid w:val="00516AC0"/>
    <w:rsid w:val="005172FF"/>
    <w:rsid w:val="00517F02"/>
    <w:rsid w:val="00517F3A"/>
    <w:rsid w:val="00520863"/>
    <w:rsid w:val="00520FC1"/>
    <w:rsid w:val="005214EC"/>
    <w:rsid w:val="00524035"/>
    <w:rsid w:val="00524303"/>
    <w:rsid w:val="005248B1"/>
    <w:rsid w:val="00525141"/>
    <w:rsid w:val="005251AB"/>
    <w:rsid w:val="005252B7"/>
    <w:rsid w:val="005258A2"/>
    <w:rsid w:val="00525D1B"/>
    <w:rsid w:val="0052622E"/>
    <w:rsid w:val="0052716A"/>
    <w:rsid w:val="00527359"/>
    <w:rsid w:val="00530343"/>
    <w:rsid w:val="00530417"/>
    <w:rsid w:val="00531261"/>
    <w:rsid w:val="00531320"/>
    <w:rsid w:val="00532475"/>
    <w:rsid w:val="00532776"/>
    <w:rsid w:val="005341A2"/>
    <w:rsid w:val="00534396"/>
    <w:rsid w:val="0053493D"/>
    <w:rsid w:val="005359CB"/>
    <w:rsid w:val="00536695"/>
    <w:rsid w:val="00536834"/>
    <w:rsid w:val="0053709E"/>
    <w:rsid w:val="0053751E"/>
    <w:rsid w:val="00537652"/>
    <w:rsid w:val="00537691"/>
    <w:rsid w:val="00537E14"/>
    <w:rsid w:val="0054003B"/>
    <w:rsid w:val="005401AE"/>
    <w:rsid w:val="00540554"/>
    <w:rsid w:val="00540E10"/>
    <w:rsid w:val="00541733"/>
    <w:rsid w:val="00541A4D"/>
    <w:rsid w:val="005420CA"/>
    <w:rsid w:val="00542E07"/>
    <w:rsid w:val="0054324F"/>
    <w:rsid w:val="00543428"/>
    <w:rsid w:val="005444BD"/>
    <w:rsid w:val="005447A1"/>
    <w:rsid w:val="0054522D"/>
    <w:rsid w:val="00545424"/>
    <w:rsid w:val="00546E02"/>
    <w:rsid w:val="005473EC"/>
    <w:rsid w:val="00547887"/>
    <w:rsid w:val="00547DD8"/>
    <w:rsid w:val="00550932"/>
    <w:rsid w:val="00550ADD"/>
    <w:rsid w:val="00552073"/>
    <w:rsid w:val="005524AE"/>
    <w:rsid w:val="00552A3D"/>
    <w:rsid w:val="00553BAA"/>
    <w:rsid w:val="00553FD5"/>
    <w:rsid w:val="00554134"/>
    <w:rsid w:val="00554274"/>
    <w:rsid w:val="0055486B"/>
    <w:rsid w:val="00554A7B"/>
    <w:rsid w:val="0055572C"/>
    <w:rsid w:val="0055574E"/>
    <w:rsid w:val="00555B6D"/>
    <w:rsid w:val="00555E24"/>
    <w:rsid w:val="00555E27"/>
    <w:rsid w:val="005560B8"/>
    <w:rsid w:val="0055644B"/>
    <w:rsid w:val="00557488"/>
    <w:rsid w:val="005574FC"/>
    <w:rsid w:val="00557BF1"/>
    <w:rsid w:val="00557D0B"/>
    <w:rsid w:val="0056013B"/>
    <w:rsid w:val="00560BCA"/>
    <w:rsid w:val="0056106A"/>
    <w:rsid w:val="00561157"/>
    <w:rsid w:val="00561231"/>
    <w:rsid w:val="005626B2"/>
    <w:rsid w:val="005626D6"/>
    <w:rsid w:val="00563346"/>
    <w:rsid w:val="00563778"/>
    <w:rsid w:val="00563CFB"/>
    <w:rsid w:val="005640DA"/>
    <w:rsid w:val="0056452C"/>
    <w:rsid w:val="0056462D"/>
    <w:rsid w:val="00564863"/>
    <w:rsid w:val="00566FC4"/>
    <w:rsid w:val="00567BEA"/>
    <w:rsid w:val="005704C7"/>
    <w:rsid w:val="005709C1"/>
    <w:rsid w:val="00570D0E"/>
    <w:rsid w:val="0057123F"/>
    <w:rsid w:val="00571980"/>
    <w:rsid w:val="00571EE9"/>
    <w:rsid w:val="00571F7C"/>
    <w:rsid w:val="005720AE"/>
    <w:rsid w:val="0057229E"/>
    <w:rsid w:val="00572F36"/>
    <w:rsid w:val="0057346B"/>
    <w:rsid w:val="0057419F"/>
    <w:rsid w:val="00574726"/>
    <w:rsid w:val="005748EA"/>
    <w:rsid w:val="00574C3C"/>
    <w:rsid w:val="00574C4E"/>
    <w:rsid w:val="005755E6"/>
    <w:rsid w:val="0057671E"/>
    <w:rsid w:val="00576914"/>
    <w:rsid w:val="00576A52"/>
    <w:rsid w:val="00576B1E"/>
    <w:rsid w:val="00580031"/>
    <w:rsid w:val="005811C9"/>
    <w:rsid w:val="00581EE3"/>
    <w:rsid w:val="00582159"/>
    <w:rsid w:val="00582B69"/>
    <w:rsid w:val="005831BA"/>
    <w:rsid w:val="0058321A"/>
    <w:rsid w:val="0058371F"/>
    <w:rsid w:val="00584257"/>
    <w:rsid w:val="0058566D"/>
    <w:rsid w:val="00585F46"/>
    <w:rsid w:val="005864DC"/>
    <w:rsid w:val="005903F1"/>
    <w:rsid w:val="00590823"/>
    <w:rsid w:val="005914DA"/>
    <w:rsid w:val="0059150D"/>
    <w:rsid w:val="00591A6D"/>
    <w:rsid w:val="00591B62"/>
    <w:rsid w:val="0059292C"/>
    <w:rsid w:val="00592A58"/>
    <w:rsid w:val="00592D1F"/>
    <w:rsid w:val="00593A70"/>
    <w:rsid w:val="00594D77"/>
    <w:rsid w:val="00595295"/>
    <w:rsid w:val="005952E6"/>
    <w:rsid w:val="005969E4"/>
    <w:rsid w:val="00596B44"/>
    <w:rsid w:val="00596DFE"/>
    <w:rsid w:val="0059782A"/>
    <w:rsid w:val="00597A0C"/>
    <w:rsid w:val="005A0546"/>
    <w:rsid w:val="005A06B7"/>
    <w:rsid w:val="005A0940"/>
    <w:rsid w:val="005A0F42"/>
    <w:rsid w:val="005A15B2"/>
    <w:rsid w:val="005A1759"/>
    <w:rsid w:val="005A1766"/>
    <w:rsid w:val="005A20FE"/>
    <w:rsid w:val="005A21F8"/>
    <w:rsid w:val="005A260D"/>
    <w:rsid w:val="005A3917"/>
    <w:rsid w:val="005A41E3"/>
    <w:rsid w:val="005A423D"/>
    <w:rsid w:val="005A56AE"/>
    <w:rsid w:val="005A5FDB"/>
    <w:rsid w:val="005A68A7"/>
    <w:rsid w:val="005A6DB2"/>
    <w:rsid w:val="005A6F43"/>
    <w:rsid w:val="005A721F"/>
    <w:rsid w:val="005A7613"/>
    <w:rsid w:val="005A7D45"/>
    <w:rsid w:val="005B01CC"/>
    <w:rsid w:val="005B046A"/>
    <w:rsid w:val="005B05DD"/>
    <w:rsid w:val="005B13DD"/>
    <w:rsid w:val="005B13E1"/>
    <w:rsid w:val="005B17C5"/>
    <w:rsid w:val="005B1ECC"/>
    <w:rsid w:val="005B2089"/>
    <w:rsid w:val="005B26CB"/>
    <w:rsid w:val="005B286C"/>
    <w:rsid w:val="005B2C99"/>
    <w:rsid w:val="005B2E4F"/>
    <w:rsid w:val="005B33E2"/>
    <w:rsid w:val="005B497E"/>
    <w:rsid w:val="005B4D52"/>
    <w:rsid w:val="005B5228"/>
    <w:rsid w:val="005B6638"/>
    <w:rsid w:val="005B6789"/>
    <w:rsid w:val="005B68E2"/>
    <w:rsid w:val="005C0F9E"/>
    <w:rsid w:val="005C3441"/>
    <w:rsid w:val="005C3D7E"/>
    <w:rsid w:val="005C4295"/>
    <w:rsid w:val="005C448F"/>
    <w:rsid w:val="005C4DFA"/>
    <w:rsid w:val="005C5408"/>
    <w:rsid w:val="005C575F"/>
    <w:rsid w:val="005C6D22"/>
    <w:rsid w:val="005C6F3B"/>
    <w:rsid w:val="005C7831"/>
    <w:rsid w:val="005C7A3B"/>
    <w:rsid w:val="005D00A7"/>
    <w:rsid w:val="005D0BBE"/>
    <w:rsid w:val="005D0E66"/>
    <w:rsid w:val="005D0F3E"/>
    <w:rsid w:val="005D1DBB"/>
    <w:rsid w:val="005D1FF2"/>
    <w:rsid w:val="005D23B5"/>
    <w:rsid w:val="005D2854"/>
    <w:rsid w:val="005D2B34"/>
    <w:rsid w:val="005D2E82"/>
    <w:rsid w:val="005D3099"/>
    <w:rsid w:val="005D3613"/>
    <w:rsid w:val="005D36AB"/>
    <w:rsid w:val="005D3EA5"/>
    <w:rsid w:val="005D4624"/>
    <w:rsid w:val="005D4AAE"/>
    <w:rsid w:val="005D516F"/>
    <w:rsid w:val="005D5416"/>
    <w:rsid w:val="005D55C3"/>
    <w:rsid w:val="005D5A0B"/>
    <w:rsid w:val="005D5B5E"/>
    <w:rsid w:val="005D5DEF"/>
    <w:rsid w:val="005D6985"/>
    <w:rsid w:val="005D6D75"/>
    <w:rsid w:val="005D6F54"/>
    <w:rsid w:val="005D7706"/>
    <w:rsid w:val="005D7ACF"/>
    <w:rsid w:val="005E05D0"/>
    <w:rsid w:val="005E0F8D"/>
    <w:rsid w:val="005E13DC"/>
    <w:rsid w:val="005E1564"/>
    <w:rsid w:val="005E15DB"/>
    <w:rsid w:val="005E1DC1"/>
    <w:rsid w:val="005E27FE"/>
    <w:rsid w:val="005E2842"/>
    <w:rsid w:val="005E2904"/>
    <w:rsid w:val="005E29A8"/>
    <w:rsid w:val="005E30C5"/>
    <w:rsid w:val="005E419B"/>
    <w:rsid w:val="005E5246"/>
    <w:rsid w:val="005E57A1"/>
    <w:rsid w:val="005E5FC3"/>
    <w:rsid w:val="005E6960"/>
    <w:rsid w:val="005E72A9"/>
    <w:rsid w:val="005E7F96"/>
    <w:rsid w:val="005F0376"/>
    <w:rsid w:val="005F05DC"/>
    <w:rsid w:val="005F1215"/>
    <w:rsid w:val="005F31CD"/>
    <w:rsid w:val="005F33C8"/>
    <w:rsid w:val="005F39F5"/>
    <w:rsid w:val="005F4178"/>
    <w:rsid w:val="005F4AC7"/>
    <w:rsid w:val="005F4BB3"/>
    <w:rsid w:val="005F5229"/>
    <w:rsid w:val="005F5AD8"/>
    <w:rsid w:val="005F6797"/>
    <w:rsid w:val="005F6AAC"/>
    <w:rsid w:val="005F7D71"/>
    <w:rsid w:val="0060167C"/>
    <w:rsid w:val="006026E5"/>
    <w:rsid w:val="00602884"/>
    <w:rsid w:val="00603474"/>
    <w:rsid w:val="00603A60"/>
    <w:rsid w:val="006047E8"/>
    <w:rsid w:val="00604C4D"/>
    <w:rsid w:val="00604F7E"/>
    <w:rsid w:val="00605AC3"/>
    <w:rsid w:val="00605CB3"/>
    <w:rsid w:val="00605E5E"/>
    <w:rsid w:val="00606097"/>
    <w:rsid w:val="00606B92"/>
    <w:rsid w:val="00606E14"/>
    <w:rsid w:val="00606F18"/>
    <w:rsid w:val="00607711"/>
    <w:rsid w:val="0060799A"/>
    <w:rsid w:val="00607C5B"/>
    <w:rsid w:val="00607C87"/>
    <w:rsid w:val="00612309"/>
    <w:rsid w:val="00612482"/>
    <w:rsid w:val="0061262D"/>
    <w:rsid w:val="00613042"/>
    <w:rsid w:val="00613201"/>
    <w:rsid w:val="006133D6"/>
    <w:rsid w:val="0061399F"/>
    <w:rsid w:val="006143E4"/>
    <w:rsid w:val="006144AE"/>
    <w:rsid w:val="00614C0C"/>
    <w:rsid w:val="00614F0B"/>
    <w:rsid w:val="00615713"/>
    <w:rsid w:val="006160FC"/>
    <w:rsid w:val="00617BE0"/>
    <w:rsid w:val="00617CC3"/>
    <w:rsid w:val="006211AB"/>
    <w:rsid w:val="006213F9"/>
    <w:rsid w:val="00621759"/>
    <w:rsid w:val="00621B2F"/>
    <w:rsid w:val="00621B57"/>
    <w:rsid w:val="00621BC7"/>
    <w:rsid w:val="00621C19"/>
    <w:rsid w:val="00622374"/>
    <w:rsid w:val="00622AA3"/>
    <w:rsid w:val="00622D6E"/>
    <w:rsid w:val="0062401E"/>
    <w:rsid w:val="006245E7"/>
    <w:rsid w:val="00624930"/>
    <w:rsid w:val="006249E6"/>
    <w:rsid w:val="00625C25"/>
    <w:rsid w:val="0062790A"/>
    <w:rsid w:val="0063002C"/>
    <w:rsid w:val="006304E1"/>
    <w:rsid w:val="00630708"/>
    <w:rsid w:val="006319F2"/>
    <w:rsid w:val="00632FCF"/>
    <w:rsid w:val="006333C5"/>
    <w:rsid w:val="0063380F"/>
    <w:rsid w:val="0063392A"/>
    <w:rsid w:val="00634216"/>
    <w:rsid w:val="00635B85"/>
    <w:rsid w:val="00636513"/>
    <w:rsid w:val="00636899"/>
    <w:rsid w:val="00637176"/>
    <w:rsid w:val="00637716"/>
    <w:rsid w:val="006377A6"/>
    <w:rsid w:val="0063799F"/>
    <w:rsid w:val="00637A3D"/>
    <w:rsid w:val="00637B1D"/>
    <w:rsid w:val="00641185"/>
    <w:rsid w:val="006411EF"/>
    <w:rsid w:val="00641750"/>
    <w:rsid w:val="00642B81"/>
    <w:rsid w:val="00642BD1"/>
    <w:rsid w:val="00643418"/>
    <w:rsid w:val="00643E55"/>
    <w:rsid w:val="00644025"/>
    <w:rsid w:val="00644076"/>
    <w:rsid w:val="0064546B"/>
    <w:rsid w:val="00645A57"/>
    <w:rsid w:val="0064617E"/>
    <w:rsid w:val="00646C42"/>
    <w:rsid w:val="00647D1F"/>
    <w:rsid w:val="00651C79"/>
    <w:rsid w:val="0065258C"/>
    <w:rsid w:val="00652A53"/>
    <w:rsid w:val="00653683"/>
    <w:rsid w:val="006541B3"/>
    <w:rsid w:val="00654F45"/>
    <w:rsid w:val="0065541C"/>
    <w:rsid w:val="0065634A"/>
    <w:rsid w:val="0065693E"/>
    <w:rsid w:val="006575EA"/>
    <w:rsid w:val="00657883"/>
    <w:rsid w:val="006578D3"/>
    <w:rsid w:val="00657D08"/>
    <w:rsid w:val="00657EDB"/>
    <w:rsid w:val="006603C2"/>
    <w:rsid w:val="00660E68"/>
    <w:rsid w:val="00661550"/>
    <w:rsid w:val="00662425"/>
    <w:rsid w:val="00662ABC"/>
    <w:rsid w:val="00662E28"/>
    <w:rsid w:val="00662E56"/>
    <w:rsid w:val="00662E90"/>
    <w:rsid w:val="00663103"/>
    <w:rsid w:val="00663534"/>
    <w:rsid w:val="0066378F"/>
    <w:rsid w:val="00663FBF"/>
    <w:rsid w:val="006648E6"/>
    <w:rsid w:val="00666032"/>
    <w:rsid w:val="006664A6"/>
    <w:rsid w:val="006674BF"/>
    <w:rsid w:val="00667645"/>
    <w:rsid w:val="0067162E"/>
    <w:rsid w:val="00671C0E"/>
    <w:rsid w:val="00671CCB"/>
    <w:rsid w:val="00673960"/>
    <w:rsid w:val="00673EAE"/>
    <w:rsid w:val="0067412B"/>
    <w:rsid w:val="006745C1"/>
    <w:rsid w:val="0067479F"/>
    <w:rsid w:val="006748B8"/>
    <w:rsid w:val="00674C03"/>
    <w:rsid w:val="006755ED"/>
    <w:rsid w:val="00675B38"/>
    <w:rsid w:val="006775C3"/>
    <w:rsid w:val="00677695"/>
    <w:rsid w:val="00677840"/>
    <w:rsid w:val="00677BC0"/>
    <w:rsid w:val="00677C36"/>
    <w:rsid w:val="0068067B"/>
    <w:rsid w:val="00680910"/>
    <w:rsid w:val="00681BD2"/>
    <w:rsid w:val="00681E1F"/>
    <w:rsid w:val="00681FEF"/>
    <w:rsid w:val="00682142"/>
    <w:rsid w:val="00682257"/>
    <w:rsid w:val="00682794"/>
    <w:rsid w:val="00682F36"/>
    <w:rsid w:val="006833BF"/>
    <w:rsid w:val="00684DBD"/>
    <w:rsid w:val="00685436"/>
    <w:rsid w:val="006859B8"/>
    <w:rsid w:val="00685ADE"/>
    <w:rsid w:val="00685F57"/>
    <w:rsid w:val="0068626E"/>
    <w:rsid w:val="006862DF"/>
    <w:rsid w:val="006865EC"/>
    <w:rsid w:val="006867A2"/>
    <w:rsid w:val="0068716D"/>
    <w:rsid w:val="0068754B"/>
    <w:rsid w:val="006878D1"/>
    <w:rsid w:val="00687E9C"/>
    <w:rsid w:val="00690829"/>
    <w:rsid w:val="00690CFB"/>
    <w:rsid w:val="0069118C"/>
    <w:rsid w:val="00691FD1"/>
    <w:rsid w:val="006921F5"/>
    <w:rsid w:val="0069236B"/>
    <w:rsid w:val="006927B8"/>
    <w:rsid w:val="0069290A"/>
    <w:rsid w:val="0069303E"/>
    <w:rsid w:val="0069319E"/>
    <w:rsid w:val="00693851"/>
    <w:rsid w:val="00693857"/>
    <w:rsid w:val="00693A61"/>
    <w:rsid w:val="00694C43"/>
    <w:rsid w:val="00695052"/>
    <w:rsid w:val="00695D0E"/>
    <w:rsid w:val="00695F22"/>
    <w:rsid w:val="0069609F"/>
    <w:rsid w:val="006968C7"/>
    <w:rsid w:val="00696AA1"/>
    <w:rsid w:val="0069775A"/>
    <w:rsid w:val="00697813"/>
    <w:rsid w:val="00697EA7"/>
    <w:rsid w:val="00697F85"/>
    <w:rsid w:val="006A0D12"/>
    <w:rsid w:val="006A1144"/>
    <w:rsid w:val="006A1758"/>
    <w:rsid w:val="006A2215"/>
    <w:rsid w:val="006A2A13"/>
    <w:rsid w:val="006A2E7F"/>
    <w:rsid w:val="006A3BB7"/>
    <w:rsid w:val="006A3EE8"/>
    <w:rsid w:val="006A4368"/>
    <w:rsid w:val="006A45EB"/>
    <w:rsid w:val="006A6C11"/>
    <w:rsid w:val="006A6D8A"/>
    <w:rsid w:val="006A72BF"/>
    <w:rsid w:val="006A7A3D"/>
    <w:rsid w:val="006B03F2"/>
    <w:rsid w:val="006B0482"/>
    <w:rsid w:val="006B0992"/>
    <w:rsid w:val="006B0BFC"/>
    <w:rsid w:val="006B13C7"/>
    <w:rsid w:val="006B2A36"/>
    <w:rsid w:val="006B2CF8"/>
    <w:rsid w:val="006B2F6E"/>
    <w:rsid w:val="006B37DC"/>
    <w:rsid w:val="006B4D12"/>
    <w:rsid w:val="006B4F68"/>
    <w:rsid w:val="006B6516"/>
    <w:rsid w:val="006B65F4"/>
    <w:rsid w:val="006B75E1"/>
    <w:rsid w:val="006B7DBE"/>
    <w:rsid w:val="006C0150"/>
    <w:rsid w:val="006C0592"/>
    <w:rsid w:val="006C07AD"/>
    <w:rsid w:val="006C10A4"/>
    <w:rsid w:val="006C17B2"/>
    <w:rsid w:val="006C1B1B"/>
    <w:rsid w:val="006C1CB0"/>
    <w:rsid w:val="006C272E"/>
    <w:rsid w:val="006C27EC"/>
    <w:rsid w:val="006C2E53"/>
    <w:rsid w:val="006C3117"/>
    <w:rsid w:val="006C33E6"/>
    <w:rsid w:val="006C3935"/>
    <w:rsid w:val="006C495B"/>
    <w:rsid w:val="006C4EC7"/>
    <w:rsid w:val="006C4F87"/>
    <w:rsid w:val="006C4FE9"/>
    <w:rsid w:val="006C5479"/>
    <w:rsid w:val="006C5E91"/>
    <w:rsid w:val="006C5F8E"/>
    <w:rsid w:val="006C5FDA"/>
    <w:rsid w:val="006C6DF7"/>
    <w:rsid w:val="006C7E3F"/>
    <w:rsid w:val="006D0391"/>
    <w:rsid w:val="006D0460"/>
    <w:rsid w:val="006D0694"/>
    <w:rsid w:val="006D0A23"/>
    <w:rsid w:val="006D0A4E"/>
    <w:rsid w:val="006D0B29"/>
    <w:rsid w:val="006D0CE9"/>
    <w:rsid w:val="006D0DF1"/>
    <w:rsid w:val="006D13B5"/>
    <w:rsid w:val="006D15EC"/>
    <w:rsid w:val="006D1A3C"/>
    <w:rsid w:val="006D2460"/>
    <w:rsid w:val="006D2963"/>
    <w:rsid w:val="006D32F3"/>
    <w:rsid w:val="006D44D6"/>
    <w:rsid w:val="006D4AC1"/>
    <w:rsid w:val="006D4C99"/>
    <w:rsid w:val="006D5206"/>
    <w:rsid w:val="006D6720"/>
    <w:rsid w:val="006D6B88"/>
    <w:rsid w:val="006D6DA5"/>
    <w:rsid w:val="006D7006"/>
    <w:rsid w:val="006D7AED"/>
    <w:rsid w:val="006D7B3F"/>
    <w:rsid w:val="006E12FF"/>
    <w:rsid w:val="006E1B46"/>
    <w:rsid w:val="006E1BE6"/>
    <w:rsid w:val="006E247F"/>
    <w:rsid w:val="006E3082"/>
    <w:rsid w:val="006E41C6"/>
    <w:rsid w:val="006E46EB"/>
    <w:rsid w:val="006E4FB5"/>
    <w:rsid w:val="006E595F"/>
    <w:rsid w:val="006E607E"/>
    <w:rsid w:val="006E6178"/>
    <w:rsid w:val="006E63F3"/>
    <w:rsid w:val="006E6B87"/>
    <w:rsid w:val="006E6DC8"/>
    <w:rsid w:val="006E7464"/>
    <w:rsid w:val="006F00F1"/>
    <w:rsid w:val="006F03EB"/>
    <w:rsid w:val="006F08C3"/>
    <w:rsid w:val="006F0CED"/>
    <w:rsid w:val="006F1538"/>
    <w:rsid w:val="006F1EC2"/>
    <w:rsid w:val="006F2200"/>
    <w:rsid w:val="006F2E69"/>
    <w:rsid w:val="006F337C"/>
    <w:rsid w:val="006F3CB4"/>
    <w:rsid w:val="006F3D6C"/>
    <w:rsid w:val="006F44AF"/>
    <w:rsid w:val="006F4563"/>
    <w:rsid w:val="006F47B8"/>
    <w:rsid w:val="006F4C16"/>
    <w:rsid w:val="006F5588"/>
    <w:rsid w:val="006F5B40"/>
    <w:rsid w:val="006F5C9A"/>
    <w:rsid w:val="006F63CF"/>
    <w:rsid w:val="006F6495"/>
    <w:rsid w:val="006F6593"/>
    <w:rsid w:val="006F6617"/>
    <w:rsid w:val="006F6B60"/>
    <w:rsid w:val="006F6BFC"/>
    <w:rsid w:val="006F7261"/>
    <w:rsid w:val="006F7857"/>
    <w:rsid w:val="006F7A99"/>
    <w:rsid w:val="006F7D93"/>
    <w:rsid w:val="00700154"/>
    <w:rsid w:val="00700DAF"/>
    <w:rsid w:val="00700E42"/>
    <w:rsid w:val="00701812"/>
    <w:rsid w:val="00701DDF"/>
    <w:rsid w:val="007020F8"/>
    <w:rsid w:val="00702157"/>
    <w:rsid w:val="00702234"/>
    <w:rsid w:val="00702A23"/>
    <w:rsid w:val="0070320A"/>
    <w:rsid w:val="00703AD3"/>
    <w:rsid w:val="00703EC3"/>
    <w:rsid w:val="00704818"/>
    <w:rsid w:val="00705595"/>
    <w:rsid w:val="0070631C"/>
    <w:rsid w:val="00706661"/>
    <w:rsid w:val="00706C5D"/>
    <w:rsid w:val="007079CD"/>
    <w:rsid w:val="00707AD8"/>
    <w:rsid w:val="00710866"/>
    <w:rsid w:val="00710910"/>
    <w:rsid w:val="007114A5"/>
    <w:rsid w:val="00711D23"/>
    <w:rsid w:val="007122DC"/>
    <w:rsid w:val="0071256C"/>
    <w:rsid w:val="0071329A"/>
    <w:rsid w:val="00713B94"/>
    <w:rsid w:val="00713C49"/>
    <w:rsid w:val="00713E2E"/>
    <w:rsid w:val="00714209"/>
    <w:rsid w:val="007146CE"/>
    <w:rsid w:val="007163D9"/>
    <w:rsid w:val="0071673F"/>
    <w:rsid w:val="007168DA"/>
    <w:rsid w:val="00717288"/>
    <w:rsid w:val="00717794"/>
    <w:rsid w:val="00717CA4"/>
    <w:rsid w:val="007204EA"/>
    <w:rsid w:val="00720B9F"/>
    <w:rsid w:val="007218C7"/>
    <w:rsid w:val="00721B26"/>
    <w:rsid w:val="00721CCE"/>
    <w:rsid w:val="00721DBC"/>
    <w:rsid w:val="007223A9"/>
    <w:rsid w:val="007227C7"/>
    <w:rsid w:val="00722C27"/>
    <w:rsid w:val="007234C5"/>
    <w:rsid w:val="007239D7"/>
    <w:rsid w:val="00725171"/>
    <w:rsid w:val="007262B3"/>
    <w:rsid w:val="00726300"/>
    <w:rsid w:val="007267DA"/>
    <w:rsid w:val="00730C1D"/>
    <w:rsid w:val="00731735"/>
    <w:rsid w:val="00731D4A"/>
    <w:rsid w:val="007325D0"/>
    <w:rsid w:val="00732922"/>
    <w:rsid w:val="0073363B"/>
    <w:rsid w:val="00733BF0"/>
    <w:rsid w:val="00734094"/>
    <w:rsid w:val="00734634"/>
    <w:rsid w:val="00734FED"/>
    <w:rsid w:val="00735026"/>
    <w:rsid w:val="00735C30"/>
    <w:rsid w:val="00736C4E"/>
    <w:rsid w:val="00737066"/>
    <w:rsid w:val="00740168"/>
    <w:rsid w:val="0074119B"/>
    <w:rsid w:val="0074165A"/>
    <w:rsid w:val="00741733"/>
    <w:rsid w:val="00741F54"/>
    <w:rsid w:val="00742086"/>
    <w:rsid w:val="00742108"/>
    <w:rsid w:val="007425D7"/>
    <w:rsid w:val="007428CD"/>
    <w:rsid w:val="00743D8C"/>
    <w:rsid w:val="007448A8"/>
    <w:rsid w:val="00744E62"/>
    <w:rsid w:val="00744FA1"/>
    <w:rsid w:val="00745830"/>
    <w:rsid w:val="007458C0"/>
    <w:rsid w:val="00745FBD"/>
    <w:rsid w:val="0074681A"/>
    <w:rsid w:val="00746E16"/>
    <w:rsid w:val="00746F4E"/>
    <w:rsid w:val="00747970"/>
    <w:rsid w:val="007479E7"/>
    <w:rsid w:val="00750D20"/>
    <w:rsid w:val="0075162E"/>
    <w:rsid w:val="00751818"/>
    <w:rsid w:val="00751EEB"/>
    <w:rsid w:val="0075226C"/>
    <w:rsid w:val="00753335"/>
    <w:rsid w:val="007535A8"/>
    <w:rsid w:val="007536C3"/>
    <w:rsid w:val="00753EA1"/>
    <w:rsid w:val="00754034"/>
    <w:rsid w:val="00755465"/>
    <w:rsid w:val="00755530"/>
    <w:rsid w:val="00755887"/>
    <w:rsid w:val="00756547"/>
    <w:rsid w:val="00756556"/>
    <w:rsid w:val="007573B9"/>
    <w:rsid w:val="00757871"/>
    <w:rsid w:val="007578BB"/>
    <w:rsid w:val="0075792E"/>
    <w:rsid w:val="00760343"/>
    <w:rsid w:val="00760575"/>
    <w:rsid w:val="007613DB"/>
    <w:rsid w:val="007618C4"/>
    <w:rsid w:val="00761C27"/>
    <w:rsid w:val="00761C9F"/>
    <w:rsid w:val="00762400"/>
    <w:rsid w:val="00763325"/>
    <w:rsid w:val="007633B9"/>
    <w:rsid w:val="0076391B"/>
    <w:rsid w:val="00763EDA"/>
    <w:rsid w:val="0076453E"/>
    <w:rsid w:val="007658AE"/>
    <w:rsid w:val="00767404"/>
    <w:rsid w:val="0076756B"/>
    <w:rsid w:val="00767980"/>
    <w:rsid w:val="0077033D"/>
    <w:rsid w:val="00770B19"/>
    <w:rsid w:val="00771A1E"/>
    <w:rsid w:val="0077320F"/>
    <w:rsid w:val="00773421"/>
    <w:rsid w:val="0077420F"/>
    <w:rsid w:val="0077463F"/>
    <w:rsid w:val="0077498E"/>
    <w:rsid w:val="0077628A"/>
    <w:rsid w:val="0077630C"/>
    <w:rsid w:val="007770AA"/>
    <w:rsid w:val="00777FA5"/>
    <w:rsid w:val="00780A80"/>
    <w:rsid w:val="00780C8A"/>
    <w:rsid w:val="00780D7D"/>
    <w:rsid w:val="007810F2"/>
    <w:rsid w:val="0078146D"/>
    <w:rsid w:val="00781BD9"/>
    <w:rsid w:val="007824DF"/>
    <w:rsid w:val="00783040"/>
    <w:rsid w:val="007836EA"/>
    <w:rsid w:val="00783839"/>
    <w:rsid w:val="007845E8"/>
    <w:rsid w:val="0078478B"/>
    <w:rsid w:val="0078497D"/>
    <w:rsid w:val="00784CDA"/>
    <w:rsid w:val="00786425"/>
    <w:rsid w:val="00786FA7"/>
    <w:rsid w:val="0078794D"/>
    <w:rsid w:val="007900F9"/>
    <w:rsid w:val="007906C4"/>
    <w:rsid w:val="00790ACC"/>
    <w:rsid w:val="007918B6"/>
    <w:rsid w:val="00792C50"/>
    <w:rsid w:val="00793259"/>
    <w:rsid w:val="0079335B"/>
    <w:rsid w:val="007940EA"/>
    <w:rsid w:val="007947CA"/>
    <w:rsid w:val="007948EB"/>
    <w:rsid w:val="00794C6D"/>
    <w:rsid w:val="00795878"/>
    <w:rsid w:val="00795F22"/>
    <w:rsid w:val="007967E8"/>
    <w:rsid w:val="00796D99"/>
    <w:rsid w:val="00797DAE"/>
    <w:rsid w:val="00797F34"/>
    <w:rsid w:val="007A0BA0"/>
    <w:rsid w:val="007A16C6"/>
    <w:rsid w:val="007A1FD3"/>
    <w:rsid w:val="007A2170"/>
    <w:rsid w:val="007A22BF"/>
    <w:rsid w:val="007A286D"/>
    <w:rsid w:val="007A3323"/>
    <w:rsid w:val="007A34F4"/>
    <w:rsid w:val="007A3A98"/>
    <w:rsid w:val="007A4760"/>
    <w:rsid w:val="007A4AF7"/>
    <w:rsid w:val="007A5048"/>
    <w:rsid w:val="007A5475"/>
    <w:rsid w:val="007A5720"/>
    <w:rsid w:val="007A5DA9"/>
    <w:rsid w:val="007A65C6"/>
    <w:rsid w:val="007A6818"/>
    <w:rsid w:val="007A6F63"/>
    <w:rsid w:val="007A773F"/>
    <w:rsid w:val="007B0360"/>
    <w:rsid w:val="007B0CCB"/>
    <w:rsid w:val="007B1578"/>
    <w:rsid w:val="007B1E46"/>
    <w:rsid w:val="007B1EB2"/>
    <w:rsid w:val="007B25A8"/>
    <w:rsid w:val="007B27E6"/>
    <w:rsid w:val="007B2E9F"/>
    <w:rsid w:val="007B3139"/>
    <w:rsid w:val="007B38A9"/>
    <w:rsid w:val="007B3B14"/>
    <w:rsid w:val="007B3BA4"/>
    <w:rsid w:val="007B4019"/>
    <w:rsid w:val="007B41B3"/>
    <w:rsid w:val="007B4205"/>
    <w:rsid w:val="007B45C4"/>
    <w:rsid w:val="007B474C"/>
    <w:rsid w:val="007B4FD1"/>
    <w:rsid w:val="007B55FD"/>
    <w:rsid w:val="007B59E8"/>
    <w:rsid w:val="007B72B8"/>
    <w:rsid w:val="007B72C3"/>
    <w:rsid w:val="007B7A58"/>
    <w:rsid w:val="007C03A0"/>
    <w:rsid w:val="007C08C8"/>
    <w:rsid w:val="007C126C"/>
    <w:rsid w:val="007C18B3"/>
    <w:rsid w:val="007C1A1C"/>
    <w:rsid w:val="007C1C3F"/>
    <w:rsid w:val="007C1C42"/>
    <w:rsid w:val="007C21B5"/>
    <w:rsid w:val="007C23C5"/>
    <w:rsid w:val="007C2875"/>
    <w:rsid w:val="007C3108"/>
    <w:rsid w:val="007C33DF"/>
    <w:rsid w:val="007C3553"/>
    <w:rsid w:val="007C35E0"/>
    <w:rsid w:val="007C3704"/>
    <w:rsid w:val="007C3BFD"/>
    <w:rsid w:val="007C3E0D"/>
    <w:rsid w:val="007C4440"/>
    <w:rsid w:val="007C4CA6"/>
    <w:rsid w:val="007C52E2"/>
    <w:rsid w:val="007C5771"/>
    <w:rsid w:val="007C5A17"/>
    <w:rsid w:val="007C5F50"/>
    <w:rsid w:val="007C6389"/>
    <w:rsid w:val="007D0D31"/>
    <w:rsid w:val="007D1013"/>
    <w:rsid w:val="007D1907"/>
    <w:rsid w:val="007D1D10"/>
    <w:rsid w:val="007D1EA9"/>
    <w:rsid w:val="007D2135"/>
    <w:rsid w:val="007D21EE"/>
    <w:rsid w:val="007D26C6"/>
    <w:rsid w:val="007D3198"/>
    <w:rsid w:val="007D40ED"/>
    <w:rsid w:val="007D4188"/>
    <w:rsid w:val="007D439B"/>
    <w:rsid w:val="007D4581"/>
    <w:rsid w:val="007D4BC7"/>
    <w:rsid w:val="007D5B76"/>
    <w:rsid w:val="007D672D"/>
    <w:rsid w:val="007D6FC7"/>
    <w:rsid w:val="007D7062"/>
    <w:rsid w:val="007D72AF"/>
    <w:rsid w:val="007D74C0"/>
    <w:rsid w:val="007D7ADF"/>
    <w:rsid w:val="007D7C8E"/>
    <w:rsid w:val="007E0B0A"/>
    <w:rsid w:val="007E1481"/>
    <w:rsid w:val="007E179C"/>
    <w:rsid w:val="007E28F2"/>
    <w:rsid w:val="007E3008"/>
    <w:rsid w:val="007E479C"/>
    <w:rsid w:val="007E4BD2"/>
    <w:rsid w:val="007E4CFD"/>
    <w:rsid w:val="007E4EA5"/>
    <w:rsid w:val="007E5352"/>
    <w:rsid w:val="007E594E"/>
    <w:rsid w:val="007E5AF5"/>
    <w:rsid w:val="007E5B88"/>
    <w:rsid w:val="007E5F6F"/>
    <w:rsid w:val="007E6C44"/>
    <w:rsid w:val="007E7582"/>
    <w:rsid w:val="007E7697"/>
    <w:rsid w:val="007E7E66"/>
    <w:rsid w:val="007F0A1D"/>
    <w:rsid w:val="007F1A02"/>
    <w:rsid w:val="007F1AB8"/>
    <w:rsid w:val="007F1F97"/>
    <w:rsid w:val="007F24E1"/>
    <w:rsid w:val="007F2F01"/>
    <w:rsid w:val="007F2F98"/>
    <w:rsid w:val="007F32CC"/>
    <w:rsid w:val="007F367E"/>
    <w:rsid w:val="007F3B65"/>
    <w:rsid w:val="007F4538"/>
    <w:rsid w:val="007F4BCF"/>
    <w:rsid w:val="007F4CD6"/>
    <w:rsid w:val="007F505E"/>
    <w:rsid w:val="007F567C"/>
    <w:rsid w:val="007F5D29"/>
    <w:rsid w:val="007F6103"/>
    <w:rsid w:val="007F6289"/>
    <w:rsid w:val="007F67D9"/>
    <w:rsid w:val="007F69BE"/>
    <w:rsid w:val="007F6A9A"/>
    <w:rsid w:val="007F6BF6"/>
    <w:rsid w:val="007F728D"/>
    <w:rsid w:val="00800076"/>
    <w:rsid w:val="00800B33"/>
    <w:rsid w:val="00801393"/>
    <w:rsid w:val="0080194C"/>
    <w:rsid w:val="00801D7B"/>
    <w:rsid w:val="00801DEA"/>
    <w:rsid w:val="00801F62"/>
    <w:rsid w:val="0080271A"/>
    <w:rsid w:val="00802980"/>
    <w:rsid w:val="00802F88"/>
    <w:rsid w:val="00803AB8"/>
    <w:rsid w:val="00803C4D"/>
    <w:rsid w:val="00803E73"/>
    <w:rsid w:val="0080402B"/>
    <w:rsid w:val="00805923"/>
    <w:rsid w:val="008059A0"/>
    <w:rsid w:val="00806B9F"/>
    <w:rsid w:val="00806D25"/>
    <w:rsid w:val="00806F5B"/>
    <w:rsid w:val="008076CA"/>
    <w:rsid w:val="00807F3F"/>
    <w:rsid w:val="008102F1"/>
    <w:rsid w:val="008104FC"/>
    <w:rsid w:val="00811386"/>
    <w:rsid w:val="00811673"/>
    <w:rsid w:val="008123FB"/>
    <w:rsid w:val="00812524"/>
    <w:rsid w:val="0081293E"/>
    <w:rsid w:val="00812B31"/>
    <w:rsid w:val="0081333A"/>
    <w:rsid w:val="008140F4"/>
    <w:rsid w:val="00814475"/>
    <w:rsid w:val="0081494E"/>
    <w:rsid w:val="00815297"/>
    <w:rsid w:val="008152D9"/>
    <w:rsid w:val="00815465"/>
    <w:rsid w:val="00816F73"/>
    <w:rsid w:val="0081751F"/>
    <w:rsid w:val="00817701"/>
    <w:rsid w:val="00817D41"/>
    <w:rsid w:val="00817E9A"/>
    <w:rsid w:val="008200D8"/>
    <w:rsid w:val="00820624"/>
    <w:rsid w:val="00820861"/>
    <w:rsid w:val="00820CB1"/>
    <w:rsid w:val="00820CF1"/>
    <w:rsid w:val="00820D2E"/>
    <w:rsid w:val="00820D7A"/>
    <w:rsid w:val="0082168F"/>
    <w:rsid w:val="00821ADC"/>
    <w:rsid w:val="00822A72"/>
    <w:rsid w:val="00822B6B"/>
    <w:rsid w:val="00824AE1"/>
    <w:rsid w:val="00825327"/>
    <w:rsid w:val="00826F82"/>
    <w:rsid w:val="00830501"/>
    <w:rsid w:val="008306BD"/>
    <w:rsid w:val="00830903"/>
    <w:rsid w:val="00830F28"/>
    <w:rsid w:val="0083131D"/>
    <w:rsid w:val="008313C4"/>
    <w:rsid w:val="00831A80"/>
    <w:rsid w:val="00831B5E"/>
    <w:rsid w:val="00832927"/>
    <w:rsid w:val="00833743"/>
    <w:rsid w:val="008340A4"/>
    <w:rsid w:val="008342B8"/>
    <w:rsid w:val="008350DF"/>
    <w:rsid w:val="00835A51"/>
    <w:rsid w:val="00835CB0"/>
    <w:rsid w:val="0083620B"/>
    <w:rsid w:val="00836F7B"/>
    <w:rsid w:val="00837253"/>
    <w:rsid w:val="00837A3D"/>
    <w:rsid w:val="00837ADF"/>
    <w:rsid w:val="00837C01"/>
    <w:rsid w:val="00837F2F"/>
    <w:rsid w:val="008409D4"/>
    <w:rsid w:val="00840D85"/>
    <w:rsid w:val="00841F9E"/>
    <w:rsid w:val="00842DE2"/>
    <w:rsid w:val="008431AA"/>
    <w:rsid w:val="0084338E"/>
    <w:rsid w:val="00843EAE"/>
    <w:rsid w:val="008445EE"/>
    <w:rsid w:val="00844CFF"/>
    <w:rsid w:val="00845640"/>
    <w:rsid w:val="00845BCE"/>
    <w:rsid w:val="00845EBC"/>
    <w:rsid w:val="00846196"/>
    <w:rsid w:val="008465EF"/>
    <w:rsid w:val="00847DED"/>
    <w:rsid w:val="00850408"/>
    <w:rsid w:val="008504C6"/>
    <w:rsid w:val="00850FB7"/>
    <w:rsid w:val="00851E8E"/>
    <w:rsid w:val="00852D8D"/>
    <w:rsid w:val="0085316A"/>
    <w:rsid w:val="008534F9"/>
    <w:rsid w:val="00853E6D"/>
    <w:rsid w:val="00854063"/>
    <w:rsid w:val="00854A77"/>
    <w:rsid w:val="00854AEF"/>
    <w:rsid w:val="00854CAD"/>
    <w:rsid w:val="00855C39"/>
    <w:rsid w:val="008571EE"/>
    <w:rsid w:val="00857760"/>
    <w:rsid w:val="008579F0"/>
    <w:rsid w:val="00860007"/>
    <w:rsid w:val="00860383"/>
    <w:rsid w:val="00860D93"/>
    <w:rsid w:val="00860FE4"/>
    <w:rsid w:val="0086104C"/>
    <w:rsid w:val="008619CE"/>
    <w:rsid w:val="008620D8"/>
    <w:rsid w:val="0086214D"/>
    <w:rsid w:val="0086283E"/>
    <w:rsid w:val="008633A0"/>
    <w:rsid w:val="00863ECA"/>
    <w:rsid w:val="00864553"/>
    <w:rsid w:val="00864D99"/>
    <w:rsid w:val="00865231"/>
    <w:rsid w:val="008669AE"/>
    <w:rsid w:val="00867263"/>
    <w:rsid w:val="00870EF3"/>
    <w:rsid w:val="0087135F"/>
    <w:rsid w:val="00871404"/>
    <w:rsid w:val="00872D94"/>
    <w:rsid w:val="00872DB9"/>
    <w:rsid w:val="008744DD"/>
    <w:rsid w:val="008765A5"/>
    <w:rsid w:val="008765AE"/>
    <w:rsid w:val="008768FC"/>
    <w:rsid w:val="008772C0"/>
    <w:rsid w:val="00880364"/>
    <w:rsid w:val="00881255"/>
    <w:rsid w:val="008813DC"/>
    <w:rsid w:val="008814C3"/>
    <w:rsid w:val="00881E68"/>
    <w:rsid w:val="008820B9"/>
    <w:rsid w:val="008821DA"/>
    <w:rsid w:val="0088265C"/>
    <w:rsid w:val="00882DCB"/>
    <w:rsid w:val="00882EA2"/>
    <w:rsid w:val="008835D5"/>
    <w:rsid w:val="008838B3"/>
    <w:rsid w:val="00883F71"/>
    <w:rsid w:val="008851D2"/>
    <w:rsid w:val="00886878"/>
    <w:rsid w:val="008869C5"/>
    <w:rsid w:val="008876E2"/>
    <w:rsid w:val="00891592"/>
    <w:rsid w:val="008915BC"/>
    <w:rsid w:val="00891E00"/>
    <w:rsid w:val="00891E9E"/>
    <w:rsid w:val="008922B2"/>
    <w:rsid w:val="00893387"/>
    <w:rsid w:val="008937EE"/>
    <w:rsid w:val="00893ECC"/>
    <w:rsid w:val="008941DA"/>
    <w:rsid w:val="00894B75"/>
    <w:rsid w:val="0089560E"/>
    <w:rsid w:val="00895C42"/>
    <w:rsid w:val="00896308"/>
    <w:rsid w:val="00896617"/>
    <w:rsid w:val="008969F1"/>
    <w:rsid w:val="00896B3C"/>
    <w:rsid w:val="00896CCA"/>
    <w:rsid w:val="0089754A"/>
    <w:rsid w:val="00897917"/>
    <w:rsid w:val="00897CFB"/>
    <w:rsid w:val="008A044A"/>
    <w:rsid w:val="008A0FCD"/>
    <w:rsid w:val="008A1883"/>
    <w:rsid w:val="008A1DB4"/>
    <w:rsid w:val="008A2F68"/>
    <w:rsid w:val="008A3269"/>
    <w:rsid w:val="008A3E59"/>
    <w:rsid w:val="008A3FF5"/>
    <w:rsid w:val="008A4080"/>
    <w:rsid w:val="008A4646"/>
    <w:rsid w:val="008A4E8C"/>
    <w:rsid w:val="008A58D5"/>
    <w:rsid w:val="008A5B24"/>
    <w:rsid w:val="008A5C01"/>
    <w:rsid w:val="008A62B3"/>
    <w:rsid w:val="008A6318"/>
    <w:rsid w:val="008A636F"/>
    <w:rsid w:val="008A6F63"/>
    <w:rsid w:val="008A75D2"/>
    <w:rsid w:val="008A793D"/>
    <w:rsid w:val="008A79FC"/>
    <w:rsid w:val="008B0439"/>
    <w:rsid w:val="008B1399"/>
    <w:rsid w:val="008B2A3A"/>
    <w:rsid w:val="008B2BC5"/>
    <w:rsid w:val="008B2C0D"/>
    <w:rsid w:val="008B38C6"/>
    <w:rsid w:val="008B3EDB"/>
    <w:rsid w:val="008B3F92"/>
    <w:rsid w:val="008B406E"/>
    <w:rsid w:val="008B4A08"/>
    <w:rsid w:val="008B4E61"/>
    <w:rsid w:val="008B4F55"/>
    <w:rsid w:val="008B4FA6"/>
    <w:rsid w:val="008B5282"/>
    <w:rsid w:val="008B6723"/>
    <w:rsid w:val="008B6FF3"/>
    <w:rsid w:val="008B7738"/>
    <w:rsid w:val="008B7C17"/>
    <w:rsid w:val="008C0562"/>
    <w:rsid w:val="008C0D30"/>
    <w:rsid w:val="008C0E15"/>
    <w:rsid w:val="008C0F03"/>
    <w:rsid w:val="008C1337"/>
    <w:rsid w:val="008C1FC8"/>
    <w:rsid w:val="008C2D01"/>
    <w:rsid w:val="008C3073"/>
    <w:rsid w:val="008C30B9"/>
    <w:rsid w:val="008C3101"/>
    <w:rsid w:val="008C3133"/>
    <w:rsid w:val="008C40E6"/>
    <w:rsid w:val="008C4B19"/>
    <w:rsid w:val="008C51F7"/>
    <w:rsid w:val="008C58BC"/>
    <w:rsid w:val="008C5A11"/>
    <w:rsid w:val="008C5C3E"/>
    <w:rsid w:val="008C73C0"/>
    <w:rsid w:val="008C7A30"/>
    <w:rsid w:val="008C7B1C"/>
    <w:rsid w:val="008C7DC8"/>
    <w:rsid w:val="008C7E66"/>
    <w:rsid w:val="008D00DD"/>
    <w:rsid w:val="008D02DE"/>
    <w:rsid w:val="008D0682"/>
    <w:rsid w:val="008D0CD9"/>
    <w:rsid w:val="008D0F7A"/>
    <w:rsid w:val="008D11F3"/>
    <w:rsid w:val="008D1309"/>
    <w:rsid w:val="008D1A1C"/>
    <w:rsid w:val="008D1CC9"/>
    <w:rsid w:val="008D3238"/>
    <w:rsid w:val="008D3517"/>
    <w:rsid w:val="008D361B"/>
    <w:rsid w:val="008D39FB"/>
    <w:rsid w:val="008D459E"/>
    <w:rsid w:val="008D5988"/>
    <w:rsid w:val="008D6679"/>
    <w:rsid w:val="008D68E4"/>
    <w:rsid w:val="008D6A43"/>
    <w:rsid w:val="008E01F0"/>
    <w:rsid w:val="008E0506"/>
    <w:rsid w:val="008E081D"/>
    <w:rsid w:val="008E0CFF"/>
    <w:rsid w:val="008E245A"/>
    <w:rsid w:val="008E3071"/>
    <w:rsid w:val="008E4324"/>
    <w:rsid w:val="008E4D96"/>
    <w:rsid w:val="008E51BE"/>
    <w:rsid w:val="008E58B8"/>
    <w:rsid w:val="008E5A9A"/>
    <w:rsid w:val="008E5D6B"/>
    <w:rsid w:val="008E667E"/>
    <w:rsid w:val="008E766F"/>
    <w:rsid w:val="008E76F0"/>
    <w:rsid w:val="008E7B9D"/>
    <w:rsid w:val="008F0A27"/>
    <w:rsid w:val="008F15FE"/>
    <w:rsid w:val="008F18A6"/>
    <w:rsid w:val="008F1C24"/>
    <w:rsid w:val="008F1EE3"/>
    <w:rsid w:val="008F23DB"/>
    <w:rsid w:val="008F29EF"/>
    <w:rsid w:val="008F2D29"/>
    <w:rsid w:val="008F3564"/>
    <w:rsid w:val="008F391C"/>
    <w:rsid w:val="008F5187"/>
    <w:rsid w:val="008F5EA1"/>
    <w:rsid w:val="008F60D8"/>
    <w:rsid w:val="008F667D"/>
    <w:rsid w:val="008F6C59"/>
    <w:rsid w:val="008F79C3"/>
    <w:rsid w:val="008F7C00"/>
    <w:rsid w:val="008F7FDC"/>
    <w:rsid w:val="00900747"/>
    <w:rsid w:val="0090111C"/>
    <w:rsid w:val="009011F0"/>
    <w:rsid w:val="00902727"/>
    <w:rsid w:val="0090311E"/>
    <w:rsid w:val="0090312B"/>
    <w:rsid w:val="00903155"/>
    <w:rsid w:val="0090339B"/>
    <w:rsid w:val="0090570F"/>
    <w:rsid w:val="00906376"/>
    <w:rsid w:val="009068D8"/>
    <w:rsid w:val="00907CFC"/>
    <w:rsid w:val="00911577"/>
    <w:rsid w:val="00913DCB"/>
    <w:rsid w:val="00914514"/>
    <w:rsid w:val="00914BBF"/>
    <w:rsid w:val="00914BF4"/>
    <w:rsid w:val="00916534"/>
    <w:rsid w:val="00916763"/>
    <w:rsid w:val="00916DCA"/>
    <w:rsid w:val="0091736D"/>
    <w:rsid w:val="00917B03"/>
    <w:rsid w:val="00917DCE"/>
    <w:rsid w:val="00920A2D"/>
    <w:rsid w:val="009212B7"/>
    <w:rsid w:val="00921E72"/>
    <w:rsid w:val="0092212A"/>
    <w:rsid w:val="00922154"/>
    <w:rsid w:val="00922EEA"/>
    <w:rsid w:val="00923B57"/>
    <w:rsid w:val="009245C1"/>
    <w:rsid w:val="00924EF1"/>
    <w:rsid w:val="00925122"/>
    <w:rsid w:val="009255F5"/>
    <w:rsid w:val="00926492"/>
    <w:rsid w:val="0092651A"/>
    <w:rsid w:val="009269A2"/>
    <w:rsid w:val="00926E06"/>
    <w:rsid w:val="00926E8C"/>
    <w:rsid w:val="00927D98"/>
    <w:rsid w:val="0093037A"/>
    <w:rsid w:val="00930C18"/>
    <w:rsid w:val="00930D31"/>
    <w:rsid w:val="00930D78"/>
    <w:rsid w:val="00930F46"/>
    <w:rsid w:val="009314C2"/>
    <w:rsid w:val="00931922"/>
    <w:rsid w:val="00932692"/>
    <w:rsid w:val="00932783"/>
    <w:rsid w:val="0093297E"/>
    <w:rsid w:val="00932B23"/>
    <w:rsid w:val="00932C78"/>
    <w:rsid w:val="009330B8"/>
    <w:rsid w:val="00933195"/>
    <w:rsid w:val="00933C96"/>
    <w:rsid w:val="00933D3D"/>
    <w:rsid w:val="0093413D"/>
    <w:rsid w:val="009351AB"/>
    <w:rsid w:val="009376DF"/>
    <w:rsid w:val="00937AF8"/>
    <w:rsid w:val="00937DE6"/>
    <w:rsid w:val="00937EB5"/>
    <w:rsid w:val="0094070B"/>
    <w:rsid w:val="009408EC"/>
    <w:rsid w:val="009412C4"/>
    <w:rsid w:val="009413F8"/>
    <w:rsid w:val="0094154D"/>
    <w:rsid w:val="00941888"/>
    <w:rsid w:val="009425CD"/>
    <w:rsid w:val="00943478"/>
    <w:rsid w:val="00943587"/>
    <w:rsid w:val="00944B68"/>
    <w:rsid w:val="00944C84"/>
    <w:rsid w:val="00945188"/>
    <w:rsid w:val="00945552"/>
    <w:rsid w:val="00945984"/>
    <w:rsid w:val="00945A08"/>
    <w:rsid w:val="009460A8"/>
    <w:rsid w:val="009465B6"/>
    <w:rsid w:val="00946B24"/>
    <w:rsid w:val="00946BF7"/>
    <w:rsid w:val="0094711E"/>
    <w:rsid w:val="009471F7"/>
    <w:rsid w:val="00947ECE"/>
    <w:rsid w:val="00947EE2"/>
    <w:rsid w:val="009510B7"/>
    <w:rsid w:val="009514C4"/>
    <w:rsid w:val="0095155F"/>
    <w:rsid w:val="00951882"/>
    <w:rsid w:val="00951A59"/>
    <w:rsid w:val="009528B1"/>
    <w:rsid w:val="00952ECB"/>
    <w:rsid w:val="009531CC"/>
    <w:rsid w:val="0095332F"/>
    <w:rsid w:val="00953972"/>
    <w:rsid w:val="00953A0C"/>
    <w:rsid w:val="00953AAE"/>
    <w:rsid w:val="00954429"/>
    <w:rsid w:val="0095465C"/>
    <w:rsid w:val="00954962"/>
    <w:rsid w:val="00955023"/>
    <w:rsid w:val="0095581A"/>
    <w:rsid w:val="00955933"/>
    <w:rsid w:val="009563CE"/>
    <w:rsid w:val="0095683F"/>
    <w:rsid w:val="00956B05"/>
    <w:rsid w:val="00957624"/>
    <w:rsid w:val="009601B1"/>
    <w:rsid w:val="0096039A"/>
    <w:rsid w:val="00960497"/>
    <w:rsid w:val="009607EF"/>
    <w:rsid w:val="00960AD4"/>
    <w:rsid w:val="00960D05"/>
    <w:rsid w:val="00960FF8"/>
    <w:rsid w:val="00961A65"/>
    <w:rsid w:val="009624AA"/>
    <w:rsid w:val="00962B74"/>
    <w:rsid w:val="009636FE"/>
    <w:rsid w:val="009637F7"/>
    <w:rsid w:val="009655A4"/>
    <w:rsid w:val="009657E7"/>
    <w:rsid w:val="009657FD"/>
    <w:rsid w:val="0096588C"/>
    <w:rsid w:val="009659F3"/>
    <w:rsid w:val="00965A20"/>
    <w:rsid w:val="0096657B"/>
    <w:rsid w:val="009667DC"/>
    <w:rsid w:val="009670E9"/>
    <w:rsid w:val="00967CE2"/>
    <w:rsid w:val="00967E4A"/>
    <w:rsid w:val="00970EA9"/>
    <w:rsid w:val="00971103"/>
    <w:rsid w:val="00972135"/>
    <w:rsid w:val="00973A10"/>
    <w:rsid w:val="00973AF6"/>
    <w:rsid w:val="0097458A"/>
    <w:rsid w:val="009749FF"/>
    <w:rsid w:val="00975582"/>
    <w:rsid w:val="00975E73"/>
    <w:rsid w:val="00975F20"/>
    <w:rsid w:val="0097631B"/>
    <w:rsid w:val="00976328"/>
    <w:rsid w:val="0097680D"/>
    <w:rsid w:val="009771AB"/>
    <w:rsid w:val="0097753B"/>
    <w:rsid w:val="00980EB0"/>
    <w:rsid w:val="00981491"/>
    <w:rsid w:val="009814D3"/>
    <w:rsid w:val="00981A8E"/>
    <w:rsid w:val="00981EED"/>
    <w:rsid w:val="00982061"/>
    <w:rsid w:val="00982438"/>
    <w:rsid w:val="00982A93"/>
    <w:rsid w:val="00982ACE"/>
    <w:rsid w:val="00982F95"/>
    <w:rsid w:val="00983667"/>
    <w:rsid w:val="0098388D"/>
    <w:rsid w:val="00983912"/>
    <w:rsid w:val="00983D89"/>
    <w:rsid w:val="0098404C"/>
    <w:rsid w:val="00984B0E"/>
    <w:rsid w:val="00984D46"/>
    <w:rsid w:val="00984E03"/>
    <w:rsid w:val="00985093"/>
    <w:rsid w:val="00985283"/>
    <w:rsid w:val="009871F7"/>
    <w:rsid w:val="009874C4"/>
    <w:rsid w:val="00991124"/>
    <w:rsid w:val="00992538"/>
    <w:rsid w:val="009925D7"/>
    <w:rsid w:val="00992A67"/>
    <w:rsid w:val="009946FD"/>
    <w:rsid w:val="00995992"/>
    <w:rsid w:val="00995B56"/>
    <w:rsid w:val="00995DCC"/>
    <w:rsid w:val="00995DD0"/>
    <w:rsid w:val="00996AC4"/>
    <w:rsid w:val="00997A77"/>
    <w:rsid w:val="009A03E5"/>
    <w:rsid w:val="009A0457"/>
    <w:rsid w:val="009A0966"/>
    <w:rsid w:val="009A0CD6"/>
    <w:rsid w:val="009A0F3B"/>
    <w:rsid w:val="009A1624"/>
    <w:rsid w:val="009A18A7"/>
    <w:rsid w:val="009A1BB4"/>
    <w:rsid w:val="009A1FCA"/>
    <w:rsid w:val="009A250E"/>
    <w:rsid w:val="009A2628"/>
    <w:rsid w:val="009A2A44"/>
    <w:rsid w:val="009A2B5D"/>
    <w:rsid w:val="009A3200"/>
    <w:rsid w:val="009A32E1"/>
    <w:rsid w:val="009A3BCE"/>
    <w:rsid w:val="009A3CF9"/>
    <w:rsid w:val="009A3EDD"/>
    <w:rsid w:val="009A4265"/>
    <w:rsid w:val="009A4EEA"/>
    <w:rsid w:val="009A5178"/>
    <w:rsid w:val="009A5704"/>
    <w:rsid w:val="009A5AB8"/>
    <w:rsid w:val="009A660F"/>
    <w:rsid w:val="009A7243"/>
    <w:rsid w:val="009A7CC3"/>
    <w:rsid w:val="009B0880"/>
    <w:rsid w:val="009B0897"/>
    <w:rsid w:val="009B0D26"/>
    <w:rsid w:val="009B12EF"/>
    <w:rsid w:val="009B1A74"/>
    <w:rsid w:val="009B1C01"/>
    <w:rsid w:val="009B1F25"/>
    <w:rsid w:val="009B2209"/>
    <w:rsid w:val="009B3005"/>
    <w:rsid w:val="009B36FE"/>
    <w:rsid w:val="009B392E"/>
    <w:rsid w:val="009B3C06"/>
    <w:rsid w:val="009B4174"/>
    <w:rsid w:val="009B42AC"/>
    <w:rsid w:val="009B48B2"/>
    <w:rsid w:val="009B4D8E"/>
    <w:rsid w:val="009B61A7"/>
    <w:rsid w:val="009B6A3E"/>
    <w:rsid w:val="009B742F"/>
    <w:rsid w:val="009B7719"/>
    <w:rsid w:val="009B7BD9"/>
    <w:rsid w:val="009B7D6A"/>
    <w:rsid w:val="009B7DAE"/>
    <w:rsid w:val="009C0109"/>
    <w:rsid w:val="009C0375"/>
    <w:rsid w:val="009C1089"/>
    <w:rsid w:val="009C12A5"/>
    <w:rsid w:val="009C15CF"/>
    <w:rsid w:val="009C365D"/>
    <w:rsid w:val="009C39FA"/>
    <w:rsid w:val="009C3DE4"/>
    <w:rsid w:val="009C56A9"/>
    <w:rsid w:val="009C59F4"/>
    <w:rsid w:val="009C60D7"/>
    <w:rsid w:val="009C6F9D"/>
    <w:rsid w:val="009C72D9"/>
    <w:rsid w:val="009C7DD5"/>
    <w:rsid w:val="009C7FC7"/>
    <w:rsid w:val="009D00F2"/>
    <w:rsid w:val="009D05B7"/>
    <w:rsid w:val="009D07FD"/>
    <w:rsid w:val="009D0FCA"/>
    <w:rsid w:val="009D1059"/>
    <w:rsid w:val="009D136F"/>
    <w:rsid w:val="009D1764"/>
    <w:rsid w:val="009D2543"/>
    <w:rsid w:val="009D2BB6"/>
    <w:rsid w:val="009D30C0"/>
    <w:rsid w:val="009D3993"/>
    <w:rsid w:val="009D3AFA"/>
    <w:rsid w:val="009D5325"/>
    <w:rsid w:val="009D5625"/>
    <w:rsid w:val="009D56AF"/>
    <w:rsid w:val="009D5FF3"/>
    <w:rsid w:val="009D640D"/>
    <w:rsid w:val="009D71F7"/>
    <w:rsid w:val="009D7B76"/>
    <w:rsid w:val="009E1262"/>
    <w:rsid w:val="009E1E6B"/>
    <w:rsid w:val="009E227D"/>
    <w:rsid w:val="009E2E65"/>
    <w:rsid w:val="009E3D8B"/>
    <w:rsid w:val="009E3E03"/>
    <w:rsid w:val="009E4AD1"/>
    <w:rsid w:val="009E4EF4"/>
    <w:rsid w:val="009E5019"/>
    <w:rsid w:val="009E6062"/>
    <w:rsid w:val="009E6847"/>
    <w:rsid w:val="009E70BC"/>
    <w:rsid w:val="009F0355"/>
    <w:rsid w:val="009F072C"/>
    <w:rsid w:val="009F0C61"/>
    <w:rsid w:val="009F254E"/>
    <w:rsid w:val="009F25B8"/>
    <w:rsid w:val="009F2DA3"/>
    <w:rsid w:val="009F30A5"/>
    <w:rsid w:val="009F41FB"/>
    <w:rsid w:val="009F476F"/>
    <w:rsid w:val="009F48B9"/>
    <w:rsid w:val="009F49E5"/>
    <w:rsid w:val="009F4DBD"/>
    <w:rsid w:val="009F4EBF"/>
    <w:rsid w:val="009F4F6C"/>
    <w:rsid w:val="009F609E"/>
    <w:rsid w:val="009F63FF"/>
    <w:rsid w:val="009F68B1"/>
    <w:rsid w:val="00A00388"/>
    <w:rsid w:val="00A00C84"/>
    <w:rsid w:val="00A010AB"/>
    <w:rsid w:val="00A010BF"/>
    <w:rsid w:val="00A01C61"/>
    <w:rsid w:val="00A02534"/>
    <w:rsid w:val="00A02ACD"/>
    <w:rsid w:val="00A02E07"/>
    <w:rsid w:val="00A0361A"/>
    <w:rsid w:val="00A0373C"/>
    <w:rsid w:val="00A03A16"/>
    <w:rsid w:val="00A03CD0"/>
    <w:rsid w:val="00A04D36"/>
    <w:rsid w:val="00A04F1B"/>
    <w:rsid w:val="00A0501B"/>
    <w:rsid w:val="00A055F9"/>
    <w:rsid w:val="00A059FA"/>
    <w:rsid w:val="00A0688B"/>
    <w:rsid w:val="00A0695E"/>
    <w:rsid w:val="00A06A71"/>
    <w:rsid w:val="00A07561"/>
    <w:rsid w:val="00A10306"/>
    <w:rsid w:val="00A1049F"/>
    <w:rsid w:val="00A10758"/>
    <w:rsid w:val="00A10781"/>
    <w:rsid w:val="00A1146B"/>
    <w:rsid w:val="00A12826"/>
    <w:rsid w:val="00A1290B"/>
    <w:rsid w:val="00A12FDD"/>
    <w:rsid w:val="00A14947"/>
    <w:rsid w:val="00A149BA"/>
    <w:rsid w:val="00A14A33"/>
    <w:rsid w:val="00A14CD4"/>
    <w:rsid w:val="00A153AA"/>
    <w:rsid w:val="00A15871"/>
    <w:rsid w:val="00A1616D"/>
    <w:rsid w:val="00A1619C"/>
    <w:rsid w:val="00A16BE5"/>
    <w:rsid w:val="00A17695"/>
    <w:rsid w:val="00A17D94"/>
    <w:rsid w:val="00A20DEB"/>
    <w:rsid w:val="00A22200"/>
    <w:rsid w:val="00A2252E"/>
    <w:rsid w:val="00A22BAB"/>
    <w:rsid w:val="00A23FB5"/>
    <w:rsid w:val="00A24F78"/>
    <w:rsid w:val="00A25F14"/>
    <w:rsid w:val="00A266B3"/>
    <w:rsid w:val="00A267D6"/>
    <w:rsid w:val="00A27001"/>
    <w:rsid w:val="00A2768B"/>
    <w:rsid w:val="00A30596"/>
    <w:rsid w:val="00A31FE1"/>
    <w:rsid w:val="00A3221A"/>
    <w:rsid w:val="00A322E6"/>
    <w:rsid w:val="00A3289B"/>
    <w:rsid w:val="00A32A83"/>
    <w:rsid w:val="00A32B2C"/>
    <w:rsid w:val="00A32B6D"/>
    <w:rsid w:val="00A33A41"/>
    <w:rsid w:val="00A33A43"/>
    <w:rsid w:val="00A33B49"/>
    <w:rsid w:val="00A33EEA"/>
    <w:rsid w:val="00A34A39"/>
    <w:rsid w:val="00A3510C"/>
    <w:rsid w:val="00A356C8"/>
    <w:rsid w:val="00A368DB"/>
    <w:rsid w:val="00A36EAD"/>
    <w:rsid w:val="00A37127"/>
    <w:rsid w:val="00A37248"/>
    <w:rsid w:val="00A37A47"/>
    <w:rsid w:val="00A37B51"/>
    <w:rsid w:val="00A41286"/>
    <w:rsid w:val="00A412F9"/>
    <w:rsid w:val="00A41B2E"/>
    <w:rsid w:val="00A41D8A"/>
    <w:rsid w:val="00A42231"/>
    <w:rsid w:val="00A42257"/>
    <w:rsid w:val="00A423AA"/>
    <w:rsid w:val="00A42500"/>
    <w:rsid w:val="00A428D9"/>
    <w:rsid w:val="00A42A93"/>
    <w:rsid w:val="00A44782"/>
    <w:rsid w:val="00A44C5C"/>
    <w:rsid w:val="00A46110"/>
    <w:rsid w:val="00A4623C"/>
    <w:rsid w:val="00A4708B"/>
    <w:rsid w:val="00A470C6"/>
    <w:rsid w:val="00A473AC"/>
    <w:rsid w:val="00A4748D"/>
    <w:rsid w:val="00A475E3"/>
    <w:rsid w:val="00A47C89"/>
    <w:rsid w:val="00A50055"/>
    <w:rsid w:val="00A501AF"/>
    <w:rsid w:val="00A501E0"/>
    <w:rsid w:val="00A5031A"/>
    <w:rsid w:val="00A50521"/>
    <w:rsid w:val="00A50805"/>
    <w:rsid w:val="00A50930"/>
    <w:rsid w:val="00A50BAF"/>
    <w:rsid w:val="00A50E08"/>
    <w:rsid w:val="00A50F95"/>
    <w:rsid w:val="00A512B9"/>
    <w:rsid w:val="00A519BD"/>
    <w:rsid w:val="00A51ECC"/>
    <w:rsid w:val="00A52640"/>
    <w:rsid w:val="00A52DB6"/>
    <w:rsid w:val="00A533FA"/>
    <w:rsid w:val="00A53A23"/>
    <w:rsid w:val="00A53EC6"/>
    <w:rsid w:val="00A53F2F"/>
    <w:rsid w:val="00A54269"/>
    <w:rsid w:val="00A5469F"/>
    <w:rsid w:val="00A54A2F"/>
    <w:rsid w:val="00A554C7"/>
    <w:rsid w:val="00A55C0F"/>
    <w:rsid w:val="00A55C9A"/>
    <w:rsid w:val="00A56D70"/>
    <w:rsid w:val="00A579D2"/>
    <w:rsid w:val="00A57AA7"/>
    <w:rsid w:val="00A60B49"/>
    <w:rsid w:val="00A61076"/>
    <w:rsid w:val="00A61685"/>
    <w:rsid w:val="00A61FAC"/>
    <w:rsid w:val="00A624EE"/>
    <w:rsid w:val="00A624F9"/>
    <w:rsid w:val="00A62C84"/>
    <w:rsid w:val="00A62FD4"/>
    <w:rsid w:val="00A633BF"/>
    <w:rsid w:val="00A63A80"/>
    <w:rsid w:val="00A63BCE"/>
    <w:rsid w:val="00A640A3"/>
    <w:rsid w:val="00A64243"/>
    <w:rsid w:val="00A643F1"/>
    <w:rsid w:val="00A64FAC"/>
    <w:rsid w:val="00A67068"/>
    <w:rsid w:val="00A701AE"/>
    <w:rsid w:val="00A70D07"/>
    <w:rsid w:val="00A7141C"/>
    <w:rsid w:val="00A71777"/>
    <w:rsid w:val="00A72298"/>
    <w:rsid w:val="00A741DF"/>
    <w:rsid w:val="00A74740"/>
    <w:rsid w:val="00A74A65"/>
    <w:rsid w:val="00A758FA"/>
    <w:rsid w:val="00A75ADC"/>
    <w:rsid w:val="00A76AAF"/>
    <w:rsid w:val="00A77118"/>
    <w:rsid w:val="00A77847"/>
    <w:rsid w:val="00A804CD"/>
    <w:rsid w:val="00A8159F"/>
    <w:rsid w:val="00A81CCD"/>
    <w:rsid w:val="00A831A4"/>
    <w:rsid w:val="00A83B0F"/>
    <w:rsid w:val="00A841BF"/>
    <w:rsid w:val="00A8453C"/>
    <w:rsid w:val="00A865D7"/>
    <w:rsid w:val="00A865E6"/>
    <w:rsid w:val="00A86B5D"/>
    <w:rsid w:val="00A8713F"/>
    <w:rsid w:val="00A87C58"/>
    <w:rsid w:val="00A90164"/>
    <w:rsid w:val="00A901E4"/>
    <w:rsid w:val="00A90212"/>
    <w:rsid w:val="00A90BA1"/>
    <w:rsid w:val="00A90F0D"/>
    <w:rsid w:val="00A91156"/>
    <w:rsid w:val="00A9145B"/>
    <w:rsid w:val="00A915BA"/>
    <w:rsid w:val="00A91C66"/>
    <w:rsid w:val="00A924A0"/>
    <w:rsid w:val="00A93000"/>
    <w:rsid w:val="00A9354A"/>
    <w:rsid w:val="00A942C9"/>
    <w:rsid w:val="00A951EF"/>
    <w:rsid w:val="00A95495"/>
    <w:rsid w:val="00A956C5"/>
    <w:rsid w:val="00A95B7F"/>
    <w:rsid w:val="00A9787E"/>
    <w:rsid w:val="00A97A9A"/>
    <w:rsid w:val="00A97C23"/>
    <w:rsid w:val="00A97F4C"/>
    <w:rsid w:val="00AA05D2"/>
    <w:rsid w:val="00AA0671"/>
    <w:rsid w:val="00AA0C12"/>
    <w:rsid w:val="00AA10AF"/>
    <w:rsid w:val="00AA12AB"/>
    <w:rsid w:val="00AA165D"/>
    <w:rsid w:val="00AA1ACD"/>
    <w:rsid w:val="00AA2531"/>
    <w:rsid w:val="00AA25A2"/>
    <w:rsid w:val="00AA291A"/>
    <w:rsid w:val="00AA2F6D"/>
    <w:rsid w:val="00AA3BC5"/>
    <w:rsid w:val="00AA3C88"/>
    <w:rsid w:val="00AA41EC"/>
    <w:rsid w:val="00AA4D22"/>
    <w:rsid w:val="00AA58B7"/>
    <w:rsid w:val="00AA5978"/>
    <w:rsid w:val="00AA602D"/>
    <w:rsid w:val="00AA627B"/>
    <w:rsid w:val="00AA674B"/>
    <w:rsid w:val="00AA6B97"/>
    <w:rsid w:val="00AA73FE"/>
    <w:rsid w:val="00AA783E"/>
    <w:rsid w:val="00AA7B39"/>
    <w:rsid w:val="00AA7F08"/>
    <w:rsid w:val="00AB006A"/>
    <w:rsid w:val="00AB0BB4"/>
    <w:rsid w:val="00AB1E09"/>
    <w:rsid w:val="00AB30B2"/>
    <w:rsid w:val="00AB3246"/>
    <w:rsid w:val="00AB3A31"/>
    <w:rsid w:val="00AB3AF6"/>
    <w:rsid w:val="00AB4017"/>
    <w:rsid w:val="00AB49CD"/>
    <w:rsid w:val="00AB4A56"/>
    <w:rsid w:val="00AB4CBE"/>
    <w:rsid w:val="00AB5330"/>
    <w:rsid w:val="00AB7747"/>
    <w:rsid w:val="00AB7DFF"/>
    <w:rsid w:val="00AB7E2E"/>
    <w:rsid w:val="00AC05BE"/>
    <w:rsid w:val="00AC0671"/>
    <w:rsid w:val="00AC0988"/>
    <w:rsid w:val="00AC1001"/>
    <w:rsid w:val="00AC14CE"/>
    <w:rsid w:val="00AC1501"/>
    <w:rsid w:val="00AC1781"/>
    <w:rsid w:val="00AC1B46"/>
    <w:rsid w:val="00AC230A"/>
    <w:rsid w:val="00AC2579"/>
    <w:rsid w:val="00AC2704"/>
    <w:rsid w:val="00AC2A56"/>
    <w:rsid w:val="00AC2BE6"/>
    <w:rsid w:val="00AC2FA1"/>
    <w:rsid w:val="00AC3B97"/>
    <w:rsid w:val="00AC4346"/>
    <w:rsid w:val="00AC4473"/>
    <w:rsid w:val="00AC46CB"/>
    <w:rsid w:val="00AC49E7"/>
    <w:rsid w:val="00AC4DD4"/>
    <w:rsid w:val="00AC55E6"/>
    <w:rsid w:val="00AC5946"/>
    <w:rsid w:val="00AC620B"/>
    <w:rsid w:val="00AC7013"/>
    <w:rsid w:val="00AC717E"/>
    <w:rsid w:val="00AC7B89"/>
    <w:rsid w:val="00AD055E"/>
    <w:rsid w:val="00AD47A7"/>
    <w:rsid w:val="00AD4AD0"/>
    <w:rsid w:val="00AD5D3C"/>
    <w:rsid w:val="00AD6987"/>
    <w:rsid w:val="00AD6BC3"/>
    <w:rsid w:val="00AD7CC0"/>
    <w:rsid w:val="00AE0012"/>
    <w:rsid w:val="00AE0493"/>
    <w:rsid w:val="00AE0777"/>
    <w:rsid w:val="00AE0F8B"/>
    <w:rsid w:val="00AE0FEB"/>
    <w:rsid w:val="00AE1054"/>
    <w:rsid w:val="00AE11A8"/>
    <w:rsid w:val="00AE13E2"/>
    <w:rsid w:val="00AE170B"/>
    <w:rsid w:val="00AE1A5C"/>
    <w:rsid w:val="00AE1F14"/>
    <w:rsid w:val="00AE28B3"/>
    <w:rsid w:val="00AE30B0"/>
    <w:rsid w:val="00AE3225"/>
    <w:rsid w:val="00AE3C34"/>
    <w:rsid w:val="00AE4348"/>
    <w:rsid w:val="00AE447F"/>
    <w:rsid w:val="00AE4526"/>
    <w:rsid w:val="00AE5179"/>
    <w:rsid w:val="00AE5B9E"/>
    <w:rsid w:val="00AE5C41"/>
    <w:rsid w:val="00AE5C95"/>
    <w:rsid w:val="00AE6BC4"/>
    <w:rsid w:val="00AE6F3A"/>
    <w:rsid w:val="00AE7B0A"/>
    <w:rsid w:val="00AF0CBF"/>
    <w:rsid w:val="00AF1B37"/>
    <w:rsid w:val="00AF22FA"/>
    <w:rsid w:val="00AF257F"/>
    <w:rsid w:val="00AF25B9"/>
    <w:rsid w:val="00AF270E"/>
    <w:rsid w:val="00AF33CF"/>
    <w:rsid w:val="00AF3494"/>
    <w:rsid w:val="00AF4182"/>
    <w:rsid w:val="00AF4271"/>
    <w:rsid w:val="00AF4964"/>
    <w:rsid w:val="00AF4D50"/>
    <w:rsid w:val="00AF510D"/>
    <w:rsid w:val="00AF5A5D"/>
    <w:rsid w:val="00AF6179"/>
    <w:rsid w:val="00AF6EB7"/>
    <w:rsid w:val="00AF7006"/>
    <w:rsid w:val="00B002BB"/>
    <w:rsid w:val="00B003EA"/>
    <w:rsid w:val="00B00BD6"/>
    <w:rsid w:val="00B00D95"/>
    <w:rsid w:val="00B01DB6"/>
    <w:rsid w:val="00B01FF8"/>
    <w:rsid w:val="00B025F1"/>
    <w:rsid w:val="00B028DC"/>
    <w:rsid w:val="00B02C04"/>
    <w:rsid w:val="00B030EA"/>
    <w:rsid w:val="00B0328A"/>
    <w:rsid w:val="00B03354"/>
    <w:rsid w:val="00B03650"/>
    <w:rsid w:val="00B03ECE"/>
    <w:rsid w:val="00B053DD"/>
    <w:rsid w:val="00B059C5"/>
    <w:rsid w:val="00B05A80"/>
    <w:rsid w:val="00B05D13"/>
    <w:rsid w:val="00B06B27"/>
    <w:rsid w:val="00B06F44"/>
    <w:rsid w:val="00B07017"/>
    <w:rsid w:val="00B07D2D"/>
    <w:rsid w:val="00B07D72"/>
    <w:rsid w:val="00B07F30"/>
    <w:rsid w:val="00B1295A"/>
    <w:rsid w:val="00B129FF"/>
    <w:rsid w:val="00B13113"/>
    <w:rsid w:val="00B13B16"/>
    <w:rsid w:val="00B13E76"/>
    <w:rsid w:val="00B14025"/>
    <w:rsid w:val="00B1418A"/>
    <w:rsid w:val="00B142BD"/>
    <w:rsid w:val="00B145C1"/>
    <w:rsid w:val="00B1650A"/>
    <w:rsid w:val="00B206E9"/>
    <w:rsid w:val="00B20792"/>
    <w:rsid w:val="00B209FC"/>
    <w:rsid w:val="00B20A21"/>
    <w:rsid w:val="00B20A45"/>
    <w:rsid w:val="00B20DF2"/>
    <w:rsid w:val="00B21420"/>
    <w:rsid w:val="00B21C9A"/>
    <w:rsid w:val="00B22785"/>
    <w:rsid w:val="00B22901"/>
    <w:rsid w:val="00B22C5C"/>
    <w:rsid w:val="00B231E0"/>
    <w:rsid w:val="00B2494E"/>
    <w:rsid w:val="00B24B7A"/>
    <w:rsid w:val="00B24F30"/>
    <w:rsid w:val="00B25A2D"/>
    <w:rsid w:val="00B25DFB"/>
    <w:rsid w:val="00B26E74"/>
    <w:rsid w:val="00B2748C"/>
    <w:rsid w:val="00B279CA"/>
    <w:rsid w:val="00B30026"/>
    <w:rsid w:val="00B3024A"/>
    <w:rsid w:val="00B3024C"/>
    <w:rsid w:val="00B308EC"/>
    <w:rsid w:val="00B30D83"/>
    <w:rsid w:val="00B30F8E"/>
    <w:rsid w:val="00B30FEE"/>
    <w:rsid w:val="00B312F7"/>
    <w:rsid w:val="00B31351"/>
    <w:rsid w:val="00B31948"/>
    <w:rsid w:val="00B31ABF"/>
    <w:rsid w:val="00B31D50"/>
    <w:rsid w:val="00B31E08"/>
    <w:rsid w:val="00B326AA"/>
    <w:rsid w:val="00B33277"/>
    <w:rsid w:val="00B3376F"/>
    <w:rsid w:val="00B33BE3"/>
    <w:rsid w:val="00B34372"/>
    <w:rsid w:val="00B34739"/>
    <w:rsid w:val="00B35282"/>
    <w:rsid w:val="00B35E9F"/>
    <w:rsid w:val="00B36699"/>
    <w:rsid w:val="00B3756F"/>
    <w:rsid w:val="00B40B29"/>
    <w:rsid w:val="00B41A19"/>
    <w:rsid w:val="00B41C05"/>
    <w:rsid w:val="00B41F09"/>
    <w:rsid w:val="00B4255A"/>
    <w:rsid w:val="00B42747"/>
    <w:rsid w:val="00B42755"/>
    <w:rsid w:val="00B42B45"/>
    <w:rsid w:val="00B42E9F"/>
    <w:rsid w:val="00B4570A"/>
    <w:rsid w:val="00B45B32"/>
    <w:rsid w:val="00B471E7"/>
    <w:rsid w:val="00B47797"/>
    <w:rsid w:val="00B47E09"/>
    <w:rsid w:val="00B50599"/>
    <w:rsid w:val="00B50732"/>
    <w:rsid w:val="00B50FD9"/>
    <w:rsid w:val="00B51146"/>
    <w:rsid w:val="00B525D0"/>
    <w:rsid w:val="00B52B08"/>
    <w:rsid w:val="00B52C8F"/>
    <w:rsid w:val="00B52D63"/>
    <w:rsid w:val="00B53B5D"/>
    <w:rsid w:val="00B53E90"/>
    <w:rsid w:val="00B54E10"/>
    <w:rsid w:val="00B559F9"/>
    <w:rsid w:val="00B5605B"/>
    <w:rsid w:val="00B5606D"/>
    <w:rsid w:val="00B578D1"/>
    <w:rsid w:val="00B6055E"/>
    <w:rsid w:val="00B60D46"/>
    <w:rsid w:val="00B60EA5"/>
    <w:rsid w:val="00B61856"/>
    <w:rsid w:val="00B6198C"/>
    <w:rsid w:val="00B62435"/>
    <w:rsid w:val="00B62849"/>
    <w:rsid w:val="00B63137"/>
    <w:rsid w:val="00B6317D"/>
    <w:rsid w:val="00B63697"/>
    <w:rsid w:val="00B63B60"/>
    <w:rsid w:val="00B64376"/>
    <w:rsid w:val="00B64DE7"/>
    <w:rsid w:val="00B65070"/>
    <w:rsid w:val="00B65468"/>
    <w:rsid w:val="00B662E9"/>
    <w:rsid w:val="00B663B6"/>
    <w:rsid w:val="00B6671B"/>
    <w:rsid w:val="00B670A7"/>
    <w:rsid w:val="00B670C3"/>
    <w:rsid w:val="00B671AC"/>
    <w:rsid w:val="00B67385"/>
    <w:rsid w:val="00B67804"/>
    <w:rsid w:val="00B701FE"/>
    <w:rsid w:val="00B7081B"/>
    <w:rsid w:val="00B7087E"/>
    <w:rsid w:val="00B729AF"/>
    <w:rsid w:val="00B735E6"/>
    <w:rsid w:val="00B74950"/>
    <w:rsid w:val="00B74998"/>
    <w:rsid w:val="00B74D76"/>
    <w:rsid w:val="00B75271"/>
    <w:rsid w:val="00B75A40"/>
    <w:rsid w:val="00B75F40"/>
    <w:rsid w:val="00B7684E"/>
    <w:rsid w:val="00B7723F"/>
    <w:rsid w:val="00B77900"/>
    <w:rsid w:val="00B77A55"/>
    <w:rsid w:val="00B77CD9"/>
    <w:rsid w:val="00B80175"/>
    <w:rsid w:val="00B802F6"/>
    <w:rsid w:val="00B80534"/>
    <w:rsid w:val="00B80BC4"/>
    <w:rsid w:val="00B81415"/>
    <w:rsid w:val="00B81967"/>
    <w:rsid w:val="00B82573"/>
    <w:rsid w:val="00B83E2E"/>
    <w:rsid w:val="00B83FA6"/>
    <w:rsid w:val="00B8433C"/>
    <w:rsid w:val="00B84578"/>
    <w:rsid w:val="00B85023"/>
    <w:rsid w:val="00B86D47"/>
    <w:rsid w:val="00B86D4E"/>
    <w:rsid w:val="00B86DE0"/>
    <w:rsid w:val="00B87491"/>
    <w:rsid w:val="00B8787B"/>
    <w:rsid w:val="00B87A19"/>
    <w:rsid w:val="00B90730"/>
    <w:rsid w:val="00B90ACC"/>
    <w:rsid w:val="00B90B86"/>
    <w:rsid w:val="00B90EB3"/>
    <w:rsid w:val="00B919E8"/>
    <w:rsid w:val="00B91A3F"/>
    <w:rsid w:val="00B9220F"/>
    <w:rsid w:val="00B92CD2"/>
    <w:rsid w:val="00B932F2"/>
    <w:rsid w:val="00B93365"/>
    <w:rsid w:val="00B9351F"/>
    <w:rsid w:val="00B94C0B"/>
    <w:rsid w:val="00B94DFC"/>
    <w:rsid w:val="00B94F4E"/>
    <w:rsid w:val="00B9623A"/>
    <w:rsid w:val="00B96517"/>
    <w:rsid w:val="00B96B93"/>
    <w:rsid w:val="00B9724E"/>
    <w:rsid w:val="00B9727C"/>
    <w:rsid w:val="00B979B5"/>
    <w:rsid w:val="00B97B4B"/>
    <w:rsid w:val="00B97DC7"/>
    <w:rsid w:val="00BA043D"/>
    <w:rsid w:val="00BA0EF1"/>
    <w:rsid w:val="00BA1521"/>
    <w:rsid w:val="00BA1D95"/>
    <w:rsid w:val="00BA29E9"/>
    <w:rsid w:val="00BA2C41"/>
    <w:rsid w:val="00BA36A4"/>
    <w:rsid w:val="00BA418C"/>
    <w:rsid w:val="00BA4552"/>
    <w:rsid w:val="00BA5E34"/>
    <w:rsid w:val="00BA6AF0"/>
    <w:rsid w:val="00BA6C81"/>
    <w:rsid w:val="00BA6D7C"/>
    <w:rsid w:val="00BA7142"/>
    <w:rsid w:val="00BA76A9"/>
    <w:rsid w:val="00BA7E0A"/>
    <w:rsid w:val="00BB00FD"/>
    <w:rsid w:val="00BB0578"/>
    <w:rsid w:val="00BB05CC"/>
    <w:rsid w:val="00BB08F6"/>
    <w:rsid w:val="00BB09E4"/>
    <w:rsid w:val="00BB0D8D"/>
    <w:rsid w:val="00BB2267"/>
    <w:rsid w:val="00BB237C"/>
    <w:rsid w:val="00BB2449"/>
    <w:rsid w:val="00BB264D"/>
    <w:rsid w:val="00BB26B8"/>
    <w:rsid w:val="00BB2E44"/>
    <w:rsid w:val="00BB3C48"/>
    <w:rsid w:val="00BB3DAC"/>
    <w:rsid w:val="00BB41A3"/>
    <w:rsid w:val="00BB47C3"/>
    <w:rsid w:val="00BB4B84"/>
    <w:rsid w:val="00BB4B86"/>
    <w:rsid w:val="00BB57F1"/>
    <w:rsid w:val="00BB5B5C"/>
    <w:rsid w:val="00BB6018"/>
    <w:rsid w:val="00BB6675"/>
    <w:rsid w:val="00BB6724"/>
    <w:rsid w:val="00BB6B19"/>
    <w:rsid w:val="00BB6C6C"/>
    <w:rsid w:val="00BB6E7A"/>
    <w:rsid w:val="00BC0496"/>
    <w:rsid w:val="00BC089D"/>
    <w:rsid w:val="00BC09F9"/>
    <w:rsid w:val="00BC13C4"/>
    <w:rsid w:val="00BC1BF3"/>
    <w:rsid w:val="00BC1F72"/>
    <w:rsid w:val="00BC20E2"/>
    <w:rsid w:val="00BC32DC"/>
    <w:rsid w:val="00BC35B6"/>
    <w:rsid w:val="00BC39A6"/>
    <w:rsid w:val="00BC3EDA"/>
    <w:rsid w:val="00BC43AD"/>
    <w:rsid w:val="00BC56BB"/>
    <w:rsid w:val="00BC5956"/>
    <w:rsid w:val="00BC59B2"/>
    <w:rsid w:val="00BC5BB5"/>
    <w:rsid w:val="00BC5BC5"/>
    <w:rsid w:val="00BC5C17"/>
    <w:rsid w:val="00BC62FC"/>
    <w:rsid w:val="00BC66F4"/>
    <w:rsid w:val="00BC6C34"/>
    <w:rsid w:val="00BC6EC6"/>
    <w:rsid w:val="00BC726B"/>
    <w:rsid w:val="00BC7A3E"/>
    <w:rsid w:val="00BD0A51"/>
    <w:rsid w:val="00BD1677"/>
    <w:rsid w:val="00BD1B51"/>
    <w:rsid w:val="00BD1CB0"/>
    <w:rsid w:val="00BD2009"/>
    <w:rsid w:val="00BD2150"/>
    <w:rsid w:val="00BD2E1C"/>
    <w:rsid w:val="00BD39FD"/>
    <w:rsid w:val="00BD3C7D"/>
    <w:rsid w:val="00BD4342"/>
    <w:rsid w:val="00BD4596"/>
    <w:rsid w:val="00BD492E"/>
    <w:rsid w:val="00BD4980"/>
    <w:rsid w:val="00BD5D6D"/>
    <w:rsid w:val="00BD5ED8"/>
    <w:rsid w:val="00BD6457"/>
    <w:rsid w:val="00BD7304"/>
    <w:rsid w:val="00BD7638"/>
    <w:rsid w:val="00BD7828"/>
    <w:rsid w:val="00BD7C42"/>
    <w:rsid w:val="00BE04D8"/>
    <w:rsid w:val="00BE1405"/>
    <w:rsid w:val="00BE16EE"/>
    <w:rsid w:val="00BE16FA"/>
    <w:rsid w:val="00BE1799"/>
    <w:rsid w:val="00BE2750"/>
    <w:rsid w:val="00BE312D"/>
    <w:rsid w:val="00BE339B"/>
    <w:rsid w:val="00BE3716"/>
    <w:rsid w:val="00BE39ED"/>
    <w:rsid w:val="00BE48D8"/>
    <w:rsid w:val="00BE49D0"/>
    <w:rsid w:val="00BE5736"/>
    <w:rsid w:val="00BE593A"/>
    <w:rsid w:val="00BE5D6C"/>
    <w:rsid w:val="00BE66E4"/>
    <w:rsid w:val="00BE6A0E"/>
    <w:rsid w:val="00BE6B39"/>
    <w:rsid w:val="00BE736B"/>
    <w:rsid w:val="00BE7B38"/>
    <w:rsid w:val="00BF0053"/>
    <w:rsid w:val="00BF07EC"/>
    <w:rsid w:val="00BF08CA"/>
    <w:rsid w:val="00BF09A4"/>
    <w:rsid w:val="00BF09B5"/>
    <w:rsid w:val="00BF0D5E"/>
    <w:rsid w:val="00BF190E"/>
    <w:rsid w:val="00BF1B8C"/>
    <w:rsid w:val="00BF1C20"/>
    <w:rsid w:val="00BF2CD0"/>
    <w:rsid w:val="00BF2D8B"/>
    <w:rsid w:val="00BF3C9E"/>
    <w:rsid w:val="00BF4095"/>
    <w:rsid w:val="00BF40BA"/>
    <w:rsid w:val="00BF44AC"/>
    <w:rsid w:val="00BF4630"/>
    <w:rsid w:val="00BF4A0B"/>
    <w:rsid w:val="00BF50C8"/>
    <w:rsid w:val="00BF5200"/>
    <w:rsid w:val="00BF5245"/>
    <w:rsid w:val="00BF580A"/>
    <w:rsid w:val="00BF5E33"/>
    <w:rsid w:val="00BF61F6"/>
    <w:rsid w:val="00BF65E4"/>
    <w:rsid w:val="00BF74D4"/>
    <w:rsid w:val="00BF7C9E"/>
    <w:rsid w:val="00BF7E15"/>
    <w:rsid w:val="00C000C6"/>
    <w:rsid w:val="00C0063A"/>
    <w:rsid w:val="00C006D1"/>
    <w:rsid w:val="00C01AE5"/>
    <w:rsid w:val="00C01F29"/>
    <w:rsid w:val="00C0265F"/>
    <w:rsid w:val="00C03181"/>
    <w:rsid w:val="00C04112"/>
    <w:rsid w:val="00C04263"/>
    <w:rsid w:val="00C04EC0"/>
    <w:rsid w:val="00C04F96"/>
    <w:rsid w:val="00C05F60"/>
    <w:rsid w:val="00C065F4"/>
    <w:rsid w:val="00C070B4"/>
    <w:rsid w:val="00C07270"/>
    <w:rsid w:val="00C07787"/>
    <w:rsid w:val="00C10105"/>
    <w:rsid w:val="00C10204"/>
    <w:rsid w:val="00C10578"/>
    <w:rsid w:val="00C105D8"/>
    <w:rsid w:val="00C106E6"/>
    <w:rsid w:val="00C12AAD"/>
    <w:rsid w:val="00C134D6"/>
    <w:rsid w:val="00C135BC"/>
    <w:rsid w:val="00C13A91"/>
    <w:rsid w:val="00C154B7"/>
    <w:rsid w:val="00C154F9"/>
    <w:rsid w:val="00C15C95"/>
    <w:rsid w:val="00C16011"/>
    <w:rsid w:val="00C160D7"/>
    <w:rsid w:val="00C16551"/>
    <w:rsid w:val="00C170FF"/>
    <w:rsid w:val="00C172FF"/>
    <w:rsid w:val="00C17716"/>
    <w:rsid w:val="00C17DA8"/>
    <w:rsid w:val="00C17EB5"/>
    <w:rsid w:val="00C21A61"/>
    <w:rsid w:val="00C21C02"/>
    <w:rsid w:val="00C21DE9"/>
    <w:rsid w:val="00C21FD7"/>
    <w:rsid w:val="00C2204A"/>
    <w:rsid w:val="00C22688"/>
    <w:rsid w:val="00C23058"/>
    <w:rsid w:val="00C24603"/>
    <w:rsid w:val="00C24DFF"/>
    <w:rsid w:val="00C2596A"/>
    <w:rsid w:val="00C25DCE"/>
    <w:rsid w:val="00C26103"/>
    <w:rsid w:val="00C26261"/>
    <w:rsid w:val="00C263C2"/>
    <w:rsid w:val="00C26FE3"/>
    <w:rsid w:val="00C27204"/>
    <w:rsid w:val="00C272D6"/>
    <w:rsid w:val="00C27537"/>
    <w:rsid w:val="00C279E1"/>
    <w:rsid w:val="00C30A79"/>
    <w:rsid w:val="00C31DA8"/>
    <w:rsid w:val="00C31E62"/>
    <w:rsid w:val="00C328FE"/>
    <w:rsid w:val="00C33507"/>
    <w:rsid w:val="00C33AA6"/>
    <w:rsid w:val="00C33E82"/>
    <w:rsid w:val="00C34377"/>
    <w:rsid w:val="00C34436"/>
    <w:rsid w:val="00C3472C"/>
    <w:rsid w:val="00C34AC7"/>
    <w:rsid w:val="00C3531A"/>
    <w:rsid w:val="00C36715"/>
    <w:rsid w:val="00C36811"/>
    <w:rsid w:val="00C36E9A"/>
    <w:rsid w:val="00C36F20"/>
    <w:rsid w:val="00C37045"/>
    <w:rsid w:val="00C3719C"/>
    <w:rsid w:val="00C37525"/>
    <w:rsid w:val="00C37551"/>
    <w:rsid w:val="00C37FC4"/>
    <w:rsid w:val="00C40CEF"/>
    <w:rsid w:val="00C416CF"/>
    <w:rsid w:val="00C41890"/>
    <w:rsid w:val="00C429BA"/>
    <w:rsid w:val="00C43CD4"/>
    <w:rsid w:val="00C43E65"/>
    <w:rsid w:val="00C4409D"/>
    <w:rsid w:val="00C441E1"/>
    <w:rsid w:val="00C4442A"/>
    <w:rsid w:val="00C44823"/>
    <w:rsid w:val="00C44ABE"/>
    <w:rsid w:val="00C44E72"/>
    <w:rsid w:val="00C45A06"/>
    <w:rsid w:val="00C4629D"/>
    <w:rsid w:val="00C463E4"/>
    <w:rsid w:val="00C46CF2"/>
    <w:rsid w:val="00C47199"/>
    <w:rsid w:val="00C475AA"/>
    <w:rsid w:val="00C47906"/>
    <w:rsid w:val="00C47E5B"/>
    <w:rsid w:val="00C501F0"/>
    <w:rsid w:val="00C507B6"/>
    <w:rsid w:val="00C5130A"/>
    <w:rsid w:val="00C51550"/>
    <w:rsid w:val="00C51CFD"/>
    <w:rsid w:val="00C52352"/>
    <w:rsid w:val="00C5248E"/>
    <w:rsid w:val="00C52E34"/>
    <w:rsid w:val="00C53221"/>
    <w:rsid w:val="00C5416E"/>
    <w:rsid w:val="00C54664"/>
    <w:rsid w:val="00C54C1D"/>
    <w:rsid w:val="00C5591B"/>
    <w:rsid w:val="00C55DC6"/>
    <w:rsid w:val="00C561F2"/>
    <w:rsid w:val="00C567B0"/>
    <w:rsid w:val="00C56C1F"/>
    <w:rsid w:val="00C574C6"/>
    <w:rsid w:val="00C57906"/>
    <w:rsid w:val="00C60A5F"/>
    <w:rsid w:val="00C60BB1"/>
    <w:rsid w:val="00C60FF3"/>
    <w:rsid w:val="00C61E4B"/>
    <w:rsid w:val="00C6252A"/>
    <w:rsid w:val="00C626E6"/>
    <w:rsid w:val="00C6273F"/>
    <w:rsid w:val="00C63319"/>
    <w:rsid w:val="00C636AC"/>
    <w:rsid w:val="00C637CD"/>
    <w:rsid w:val="00C63CCC"/>
    <w:rsid w:val="00C64690"/>
    <w:rsid w:val="00C647F8"/>
    <w:rsid w:val="00C64BFF"/>
    <w:rsid w:val="00C64EC4"/>
    <w:rsid w:val="00C65283"/>
    <w:rsid w:val="00C657BE"/>
    <w:rsid w:val="00C661E8"/>
    <w:rsid w:val="00C666DA"/>
    <w:rsid w:val="00C6799D"/>
    <w:rsid w:val="00C704E9"/>
    <w:rsid w:val="00C71A6E"/>
    <w:rsid w:val="00C71EE9"/>
    <w:rsid w:val="00C7272E"/>
    <w:rsid w:val="00C7339E"/>
    <w:rsid w:val="00C736E8"/>
    <w:rsid w:val="00C73815"/>
    <w:rsid w:val="00C73841"/>
    <w:rsid w:val="00C73F74"/>
    <w:rsid w:val="00C73FD8"/>
    <w:rsid w:val="00C75228"/>
    <w:rsid w:val="00C75783"/>
    <w:rsid w:val="00C763C9"/>
    <w:rsid w:val="00C76CC2"/>
    <w:rsid w:val="00C76E9B"/>
    <w:rsid w:val="00C7729F"/>
    <w:rsid w:val="00C77860"/>
    <w:rsid w:val="00C80057"/>
    <w:rsid w:val="00C8096F"/>
    <w:rsid w:val="00C80E22"/>
    <w:rsid w:val="00C8103B"/>
    <w:rsid w:val="00C81298"/>
    <w:rsid w:val="00C82232"/>
    <w:rsid w:val="00C828C1"/>
    <w:rsid w:val="00C82913"/>
    <w:rsid w:val="00C8339F"/>
    <w:rsid w:val="00C8389F"/>
    <w:rsid w:val="00C84399"/>
    <w:rsid w:val="00C84406"/>
    <w:rsid w:val="00C844FB"/>
    <w:rsid w:val="00C845A2"/>
    <w:rsid w:val="00C846FA"/>
    <w:rsid w:val="00C86592"/>
    <w:rsid w:val="00C86CDB"/>
    <w:rsid w:val="00C86CF2"/>
    <w:rsid w:val="00C8712E"/>
    <w:rsid w:val="00C87359"/>
    <w:rsid w:val="00C87366"/>
    <w:rsid w:val="00C87535"/>
    <w:rsid w:val="00C87E92"/>
    <w:rsid w:val="00C90839"/>
    <w:rsid w:val="00C90E02"/>
    <w:rsid w:val="00C90EC9"/>
    <w:rsid w:val="00C913D6"/>
    <w:rsid w:val="00C91941"/>
    <w:rsid w:val="00C92180"/>
    <w:rsid w:val="00C92787"/>
    <w:rsid w:val="00C936E6"/>
    <w:rsid w:val="00C9386C"/>
    <w:rsid w:val="00C940ED"/>
    <w:rsid w:val="00C942CD"/>
    <w:rsid w:val="00C9497C"/>
    <w:rsid w:val="00C94B75"/>
    <w:rsid w:val="00C94FAC"/>
    <w:rsid w:val="00C953E0"/>
    <w:rsid w:val="00C95B7D"/>
    <w:rsid w:val="00C95E3A"/>
    <w:rsid w:val="00C970AA"/>
    <w:rsid w:val="00C972B1"/>
    <w:rsid w:val="00C97D4E"/>
    <w:rsid w:val="00CA1E34"/>
    <w:rsid w:val="00CA23DC"/>
    <w:rsid w:val="00CA2CCE"/>
    <w:rsid w:val="00CA333A"/>
    <w:rsid w:val="00CA3A00"/>
    <w:rsid w:val="00CA43FD"/>
    <w:rsid w:val="00CA5500"/>
    <w:rsid w:val="00CA5C28"/>
    <w:rsid w:val="00CA5C7F"/>
    <w:rsid w:val="00CA7023"/>
    <w:rsid w:val="00CA75DB"/>
    <w:rsid w:val="00CA7B56"/>
    <w:rsid w:val="00CA7B7E"/>
    <w:rsid w:val="00CA7EF8"/>
    <w:rsid w:val="00CB1386"/>
    <w:rsid w:val="00CB38E4"/>
    <w:rsid w:val="00CB4A4E"/>
    <w:rsid w:val="00CB5F15"/>
    <w:rsid w:val="00CB610C"/>
    <w:rsid w:val="00CB622D"/>
    <w:rsid w:val="00CB6636"/>
    <w:rsid w:val="00CB7BBF"/>
    <w:rsid w:val="00CB7EE4"/>
    <w:rsid w:val="00CB7FF7"/>
    <w:rsid w:val="00CC0259"/>
    <w:rsid w:val="00CC0B07"/>
    <w:rsid w:val="00CC1189"/>
    <w:rsid w:val="00CC1260"/>
    <w:rsid w:val="00CC271A"/>
    <w:rsid w:val="00CC2953"/>
    <w:rsid w:val="00CC2A0A"/>
    <w:rsid w:val="00CC2ECD"/>
    <w:rsid w:val="00CC3010"/>
    <w:rsid w:val="00CC3253"/>
    <w:rsid w:val="00CC489B"/>
    <w:rsid w:val="00CC4A3B"/>
    <w:rsid w:val="00CC5100"/>
    <w:rsid w:val="00CC5255"/>
    <w:rsid w:val="00CC54F4"/>
    <w:rsid w:val="00CC6869"/>
    <w:rsid w:val="00CC716B"/>
    <w:rsid w:val="00CC75CE"/>
    <w:rsid w:val="00CD03F2"/>
    <w:rsid w:val="00CD0678"/>
    <w:rsid w:val="00CD14E2"/>
    <w:rsid w:val="00CD2BCD"/>
    <w:rsid w:val="00CD3A4C"/>
    <w:rsid w:val="00CD41C9"/>
    <w:rsid w:val="00CD429F"/>
    <w:rsid w:val="00CD45F8"/>
    <w:rsid w:val="00CD4CA8"/>
    <w:rsid w:val="00CD52FD"/>
    <w:rsid w:val="00CD58ED"/>
    <w:rsid w:val="00CD63EC"/>
    <w:rsid w:val="00CD64F6"/>
    <w:rsid w:val="00CD69E7"/>
    <w:rsid w:val="00CD6F2C"/>
    <w:rsid w:val="00CD730C"/>
    <w:rsid w:val="00CE022C"/>
    <w:rsid w:val="00CE0285"/>
    <w:rsid w:val="00CE03C6"/>
    <w:rsid w:val="00CE043B"/>
    <w:rsid w:val="00CE0C09"/>
    <w:rsid w:val="00CE10E9"/>
    <w:rsid w:val="00CE15D6"/>
    <w:rsid w:val="00CE19A6"/>
    <w:rsid w:val="00CE2910"/>
    <w:rsid w:val="00CE32C3"/>
    <w:rsid w:val="00CE36AB"/>
    <w:rsid w:val="00CE3A83"/>
    <w:rsid w:val="00CE3AAA"/>
    <w:rsid w:val="00CE44DA"/>
    <w:rsid w:val="00CE4CEB"/>
    <w:rsid w:val="00CE5393"/>
    <w:rsid w:val="00CE567B"/>
    <w:rsid w:val="00CE5785"/>
    <w:rsid w:val="00CE57C4"/>
    <w:rsid w:val="00CE718C"/>
    <w:rsid w:val="00CE76FA"/>
    <w:rsid w:val="00CF030A"/>
    <w:rsid w:val="00CF0D10"/>
    <w:rsid w:val="00CF0DD7"/>
    <w:rsid w:val="00CF0F4B"/>
    <w:rsid w:val="00CF2013"/>
    <w:rsid w:val="00CF2836"/>
    <w:rsid w:val="00CF3641"/>
    <w:rsid w:val="00CF36BE"/>
    <w:rsid w:val="00CF370B"/>
    <w:rsid w:val="00CF3DE6"/>
    <w:rsid w:val="00CF46B3"/>
    <w:rsid w:val="00CF4ECB"/>
    <w:rsid w:val="00CF4FB1"/>
    <w:rsid w:val="00CF538F"/>
    <w:rsid w:val="00CF5A50"/>
    <w:rsid w:val="00CF6000"/>
    <w:rsid w:val="00CF67EA"/>
    <w:rsid w:val="00CF6AF5"/>
    <w:rsid w:val="00CF7243"/>
    <w:rsid w:val="00CF7A2B"/>
    <w:rsid w:val="00CF7D3F"/>
    <w:rsid w:val="00D003F3"/>
    <w:rsid w:val="00D0187A"/>
    <w:rsid w:val="00D01B20"/>
    <w:rsid w:val="00D02125"/>
    <w:rsid w:val="00D03026"/>
    <w:rsid w:val="00D0364F"/>
    <w:rsid w:val="00D03A5F"/>
    <w:rsid w:val="00D04DDE"/>
    <w:rsid w:val="00D06834"/>
    <w:rsid w:val="00D07564"/>
    <w:rsid w:val="00D0764C"/>
    <w:rsid w:val="00D10050"/>
    <w:rsid w:val="00D105B6"/>
    <w:rsid w:val="00D10CC2"/>
    <w:rsid w:val="00D10FCC"/>
    <w:rsid w:val="00D11BED"/>
    <w:rsid w:val="00D11E80"/>
    <w:rsid w:val="00D127AC"/>
    <w:rsid w:val="00D12E97"/>
    <w:rsid w:val="00D13703"/>
    <w:rsid w:val="00D1385A"/>
    <w:rsid w:val="00D13F00"/>
    <w:rsid w:val="00D1478C"/>
    <w:rsid w:val="00D162D2"/>
    <w:rsid w:val="00D170E8"/>
    <w:rsid w:val="00D204A3"/>
    <w:rsid w:val="00D204D0"/>
    <w:rsid w:val="00D21345"/>
    <w:rsid w:val="00D217A2"/>
    <w:rsid w:val="00D21829"/>
    <w:rsid w:val="00D21C9A"/>
    <w:rsid w:val="00D22F51"/>
    <w:rsid w:val="00D232BD"/>
    <w:rsid w:val="00D23753"/>
    <w:rsid w:val="00D23866"/>
    <w:rsid w:val="00D23BEC"/>
    <w:rsid w:val="00D24572"/>
    <w:rsid w:val="00D24582"/>
    <w:rsid w:val="00D24EC8"/>
    <w:rsid w:val="00D251EB"/>
    <w:rsid w:val="00D252E3"/>
    <w:rsid w:val="00D25968"/>
    <w:rsid w:val="00D25CB2"/>
    <w:rsid w:val="00D25D55"/>
    <w:rsid w:val="00D25E0E"/>
    <w:rsid w:val="00D26825"/>
    <w:rsid w:val="00D26D5D"/>
    <w:rsid w:val="00D275CE"/>
    <w:rsid w:val="00D27E72"/>
    <w:rsid w:val="00D302A0"/>
    <w:rsid w:val="00D305C1"/>
    <w:rsid w:val="00D30848"/>
    <w:rsid w:val="00D308ED"/>
    <w:rsid w:val="00D30903"/>
    <w:rsid w:val="00D315F4"/>
    <w:rsid w:val="00D3204E"/>
    <w:rsid w:val="00D335E7"/>
    <w:rsid w:val="00D337A4"/>
    <w:rsid w:val="00D34D3F"/>
    <w:rsid w:val="00D34F21"/>
    <w:rsid w:val="00D35BB4"/>
    <w:rsid w:val="00D35D01"/>
    <w:rsid w:val="00D3626A"/>
    <w:rsid w:val="00D36AA4"/>
    <w:rsid w:val="00D36B6A"/>
    <w:rsid w:val="00D36C91"/>
    <w:rsid w:val="00D36D86"/>
    <w:rsid w:val="00D37213"/>
    <w:rsid w:val="00D37770"/>
    <w:rsid w:val="00D37AF6"/>
    <w:rsid w:val="00D37DED"/>
    <w:rsid w:val="00D37ED5"/>
    <w:rsid w:val="00D404A4"/>
    <w:rsid w:val="00D40AA5"/>
    <w:rsid w:val="00D40DA6"/>
    <w:rsid w:val="00D41EEB"/>
    <w:rsid w:val="00D423AA"/>
    <w:rsid w:val="00D428AA"/>
    <w:rsid w:val="00D42C02"/>
    <w:rsid w:val="00D434BB"/>
    <w:rsid w:val="00D44733"/>
    <w:rsid w:val="00D44A19"/>
    <w:rsid w:val="00D45094"/>
    <w:rsid w:val="00D45613"/>
    <w:rsid w:val="00D464B2"/>
    <w:rsid w:val="00D46769"/>
    <w:rsid w:val="00D46FEC"/>
    <w:rsid w:val="00D470F3"/>
    <w:rsid w:val="00D500A7"/>
    <w:rsid w:val="00D501D3"/>
    <w:rsid w:val="00D50201"/>
    <w:rsid w:val="00D50A34"/>
    <w:rsid w:val="00D50C46"/>
    <w:rsid w:val="00D5133C"/>
    <w:rsid w:val="00D51EC6"/>
    <w:rsid w:val="00D5330F"/>
    <w:rsid w:val="00D53E97"/>
    <w:rsid w:val="00D53EFA"/>
    <w:rsid w:val="00D54595"/>
    <w:rsid w:val="00D54DE4"/>
    <w:rsid w:val="00D55211"/>
    <w:rsid w:val="00D555F8"/>
    <w:rsid w:val="00D5762B"/>
    <w:rsid w:val="00D577AB"/>
    <w:rsid w:val="00D57E83"/>
    <w:rsid w:val="00D60036"/>
    <w:rsid w:val="00D609E9"/>
    <w:rsid w:val="00D611E7"/>
    <w:rsid w:val="00D61CDB"/>
    <w:rsid w:val="00D62388"/>
    <w:rsid w:val="00D623C5"/>
    <w:rsid w:val="00D62458"/>
    <w:rsid w:val="00D62663"/>
    <w:rsid w:val="00D632E3"/>
    <w:rsid w:val="00D63F2A"/>
    <w:rsid w:val="00D643B7"/>
    <w:rsid w:val="00D6525E"/>
    <w:rsid w:val="00D655C4"/>
    <w:rsid w:val="00D66106"/>
    <w:rsid w:val="00D66AF7"/>
    <w:rsid w:val="00D66B64"/>
    <w:rsid w:val="00D6799F"/>
    <w:rsid w:val="00D7004A"/>
    <w:rsid w:val="00D706C4"/>
    <w:rsid w:val="00D70E95"/>
    <w:rsid w:val="00D71EA6"/>
    <w:rsid w:val="00D7317D"/>
    <w:rsid w:val="00D738BA"/>
    <w:rsid w:val="00D752C5"/>
    <w:rsid w:val="00D758D2"/>
    <w:rsid w:val="00D7601B"/>
    <w:rsid w:val="00D7692B"/>
    <w:rsid w:val="00D76C2A"/>
    <w:rsid w:val="00D773B8"/>
    <w:rsid w:val="00D77453"/>
    <w:rsid w:val="00D77DE2"/>
    <w:rsid w:val="00D77DF0"/>
    <w:rsid w:val="00D80849"/>
    <w:rsid w:val="00D80925"/>
    <w:rsid w:val="00D809BD"/>
    <w:rsid w:val="00D8173A"/>
    <w:rsid w:val="00D8239F"/>
    <w:rsid w:val="00D832AC"/>
    <w:rsid w:val="00D832C5"/>
    <w:rsid w:val="00D834D9"/>
    <w:rsid w:val="00D83B0B"/>
    <w:rsid w:val="00D841B2"/>
    <w:rsid w:val="00D842DF"/>
    <w:rsid w:val="00D843A3"/>
    <w:rsid w:val="00D84766"/>
    <w:rsid w:val="00D855A7"/>
    <w:rsid w:val="00D85DFA"/>
    <w:rsid w:val="00D85F0E"/>
    <w:rsid w:val="00D87F0E"/>
    <w:rsid w:val="00D9012D"/>
    <w:rsid w:val="00D90214"/>
    <w:rsid w:val="00D91739"/>
    <w:rsid w:val="00D9185D"/>
    <w:rsid w:val="00D92C3C"/>
    <w:rsid w:val="00D93AA8"/>
    <w:rsid w:val="00D93F21"/>
    <w:rsid w:val="00D94057"/>
    <w:rsid w:val="00D94A7C"/>
    <w:rsid w:val="00D95450"/>
    <w:rsid w:val="00D957C7"/>
    <w:rsid w:val="00D95896"/>
    <w:rsid w:val="00D96BD8"/>
    <w:rsid w:val="00D97C75"/>
    <w:rsid w:val="00DA03B6"/>
    <w:rsid w:val="00DA0957"/>
    <w:rsid w:val="00DA097D"/>
    <w:rsid w:val="00DA1F06"/>
    <w:rsid w:val="00DA2321"/>
    <w:rsid w:val="00DA2753"/>
    <w:rsid w:val="00DA3FD2"/>
    <w:rsid w:val="00DA4881"/>
    <w:rsid w:val="00DA49EF"/>
    <w:rsid w:val="00DA4D92"/>
    <w:rsid w:val="00DA508F"/>
    <w:rsid w:val="00DA54FD"/>
    <w:rsid w:val="00DA5F54"/>
    <w:rsid w:val="00DA6121"/>
    <w:rsid w:val="00DA6C9A"/>
    <w:rsid w:val="00DA6FC2"/>
    <w:rsid w:val="00DB0713"/>
    <w:rsid w:val="00DB07E6"/>
    <w:rsid w:val="00DB12AA"/>
    <w:rsid w:val="00DB1F9D"/>
    <w:rsid w:val="00DB24CD"/>
    <w:rsid w:val="00DB2983"/>
    <w:rsid w:val="00DB2A70"/>
    <w:rsid w:val="00DB2B03"/>
    <w:rsid w:val="00DB3287"/>
    <w:rsid w:val="00DB451B"/>
    <w:rsid w:val="00DB4BF3"/>
    <w:rsid w:val="00DB6778"/>
    <w:rsid w:val="00DB6B53"/>
    <w:rsid w:val="00DB6B78"/>
    <w:rsid w:val="00DB6BE1"/>
    <w:rsid w:val="00DB78F3"/>
    <w:rsid w:val="00DB78F7"/>
    <w:rsid w:val="00DB7C70"/>
    <w:rsid w:val="00DC086E"/>
    <w:rsid w:val="00DC08B1"/>
    <w:rsid w:val="00DC1257"/>
    <w:rsid w:val="00DC140A"/>
    <w:rsid w:val="00DC1B5E"/>
    <w:rsid w:val="00DC1DC2"/>
    <w:rsid w:val="00DC2A68"/>
    <w:rsid w:val="00DC3DC0"/>
    <w:rsid w:val="00DC50E9"/>
    <w:rsid w:val="00DC5B2B"/>
    <w:rsid w:val="00DC5C8C"/>
    <w:rsid w:val="00DC7723"/>
    <w:rsid w:val="00DC7943"/>
    <w:rsid w:val="00DD008C"/>
    <w:rsid w:val="00DD0447"/>
    <w:rsid w:val="00DD12CF"/>
    <w:rsid w:val="00DD2B33"/>
    <w:rsid w:val="00DD310E"/>
    <w:rsid w:val="00DD318D"/>
    <w:rsid w:val="00DD36FC"/>
    <w:rsid w:val="00DD403A"/>
    <w:rsid w:val="00DD4BB2"/>
    <w:rsid w:val="00DD504E"/>
    <w:rsid w:val="00DD6039"/>
    <w:rsid w:val="00DD6189"/>
    <w:rsid w:val="00DD7883"/>
    <w:rsid w:val="00DD7E2E"/>
    <w:rsid w:val="00DD7E3C"/>
    <w:rsid w:val="00DD7E8F"/>
    <w:rsid w:val="00DE0006"/>
    <w:rsid w:val="00DE03F5"/>
    <w:rsid w:val="00DE047B"/>
    <w:rsid w:val="00DE04E5"/>
    <w:rsid w:val="00DE0E1B"/>
    <w:rsid w:val="00DE112F"/>
    <w:rsid w:val="00DE2076"/>
    <w:rsid w:val="00DE2847"/>
    <w:rsid w:val="00DE41F4"/>
    <w:rsid w:val="00DE44AC"/>
    <w:rsid w:val="00DE48B2"/>
    <w:rsid w:val="00DE4E6F"/>
    <w:rsid w:val="00DE600F"/>
    <w:rsid w:val="00DE6059"/>
    <w:rsid w:val="00DE6791"/>
    <w:rsid w:val="00DE7236"/>
    <w:rsid w:val="00DF093C"/>
    <w:rsid w:val="00DF1010"/>
    <w:rsid w:val="00DF111D"/>
    <w:rsid w:val="00DF2E12"/>
    <w:rsid w:val="00DF364C"/>
    <w:rsid w:val="00DF37C7"/>
    <w:rsid w:val="00DF3DD7"/>
    <w:rsid w:val="00DF514A"/>
    <w:rsid w:val="00DF5C20"/>
    <w:rsid w:val="00DF6690"/>
    <w:rsid w:val="00DF6804"/>
    <w:rsid w:val="00DF6D21"/>
    <w:rsid w:val="00DF7966"/>
    <w:rsid w:val="00DF79ED"/>
    <w:rsid w:val="00E0009F"/>
    <w:rsid w:val="00E00B0B"/>
    <w:rsid w:val="00E00EBC"/>
    <w:rsid w:val="00E0112F"/>
    <w:rsid w:val="00E014DE"/>
    <w:rsid w:val="00E018F3"/>
    <w:rsid w:val="00E024CD"/>
    <w:rsid w:val="00E02B03"/>
    <w:rsid w:val="00E0336F"/>
    <w:rsid w:val="00E03500"/>
    <w:rsid w:val="00E0358D"/>
    <w:rsid w:val="00E03869"/>
    <w:rsid w:val="00E03ADA"/>
    <w:rsid w:val="00E03C43"/>
    <w:rsid w:val="00E03CF5"/>
    <w:rsid w:val="00E04035"/>
    <w:rsid w:val="00E04323"/>
    <w:rsid w:val="00E05136"/>
    <w:rsid w:val="00E0556D"/>
    <w:rsid w:val="00E06F22"/>
    <w:rsid w:val="00E070A2"/>
    <w:rsid w:val="00E07803"/>
    <w:rsid w:val="00E1077D"/>
    <w:rsid w:val="00E10A86"/>
    <w:rsid w:val="00E10FFA"/>
    <w:rsid w:val="00E1173D"/>
    <w:rsid w:val="00E117E1"/>
    <w:rsid w:val="00E11A97"/>
    <w:rsid w:val="00E12062"/>
    <w:rsid w:val="00E12533"/>
    <w:rsid w:val="00E12C92"/>
    <w:rsid w:val="00E13F0E"/>
    <w:rsid w:val="00E14AF9"/>
    <w:rsid w:val="00E14F4A"/>
    <w:rsid w:val="00E15086"/>
    <w:rsid w:val="00E15813"/>
    <w:rsid w:val="00E15A91"/>
    <w:rsid w:val="00E16274"/>
    <w:rsid w:val="00E1639B"/>
    <w:rsid w:val="00E164CE"/>
    <w:rsid w:val="00E16A4B"/>
    <w:rsid w:val="00E17ACE"/>
    <w:rsid w:val="00E17C99"/>
    <w:rsid w:val="00E205D7"/>
    <w:rsid w:val="00E206B6"/>
    <w:rsid w:val="00E2139C"/>
    <w:rsid w:val="00E216E0"/>
    <w:rsid w:val="00E221BD"/>
    <w:rsid w:val="00E22C0D"/>
    <w:rsid w:val="00E22DD5"/>
    <w:rsid w:val="00E22F30"/>
    <w:rsid w:val="00E23B00"/>
    <w:rsid w:val="00E23EB7"/>
    <w:rsid w:val="00E242B6"/>
    <w:rsid w:val="00E2481B"/>
    <w:rsid w:val="00E24F26"/>
    <w:rsid w:val="00E25885"/>
    <w:rsid w:val="00E25DA2"/>
    <w:rsid w:val="00E261C7"/>
    <w:rsid w:val="00E2656A"/>
    <w:rsid w:val="00E2679C"/>
    <w:rsid w:val="00E27D13"/>
    <w:rsid w:val="00E30623"/>
    <w:rsid w:val="00E30A9C"/>
    <w:rsid w:val="00E3160F"/>
    <w:rsid w:val="00E3178F"/>
    <w:rsid w:val="00E32008"/>
    <w:rsid w:val="00E32D85"/>
    <w:rsid w:val="00E32F65"/>
    <w:rsid w:val="00E338BA"/>
    <w:rsid w:val="00E33C73"/>
    <w:rsid w:val="00E347A4"/>
    <w:rsid w:val="00E34D3F"/>
    <w:rsid w:val="00E35A00"/>
    <w:rsid w:val="00E37C07"/>
    <w:rsid w:val="00E37D11"/>
    <w:rsid w:val="00E37FD0"/>
    <w:rsid w:val="00E4041B"/>
    <w:rsid w:val="00E4092A"/>
    <w:rsid w:val="00E40D0B"/>
    <w:rsid w:val="00E4123B"/>
    <w:rsid w:val="00E412D0"/>
    <w:rsid w:val="00E41D4D"/>
    <w:rsid w:val="00E42035"/>
    <w:rsid w:val="00E42247"/>
    <w:rsid w:val="00E42C4D"/>
    <w:rsid w:val="00E43878"/>
    <w:rsid w:val="00E444DD"/>
    <w:rsid w:val="00E44C33"/>
    <w:rsid w:val="00E46D77"/>
    <w:rsid w:val="00E46FBF"/>
    <w:rsid w:val="00E4730A"/>
    <w:rsid w:val="00E47F1A"/>
    <w:rsid w:val="00E50C8F"/>
    <w:rsid w:val="00E52413"/>
    <w:rsid w:val="00E52EAC"/>
    <w:rsid w:val="00E53795"/>
    <w:rsid w:val="00E5380C"/>
    <w:rsid w:val="00E53BA6"/>
    <w:rsid w:val="00E54A5E"/>
    <w:rsid w:val="00E54DBB"/>
    <w:rsid w:val="00E54FB8"/>
    <w:rsid w:val="00E557C6"/>
    <w:rsid w:val="00E56322"/>
    <w:rsid w:val="00E565AE"/>
    <w:rsid w:val="00E57086"/>
    <w:rsid w:val="00E5715F"/>
    <w:rsid w:val="00E57A41"/>
    <w:rsid w:val="00E57B75"/>
    <w:rsid w:val="00E60982"/>
    <w:rsid w:val="00E60AD1"/>
    <w:rsid w:val="00E60D40"/>
    <w:rsid w:val="00E60F36"/>
    <w:rsid w:val="00E615C3"/>
    <w:rsid w:val="00E616AE"/>
    <w:rsid w:val="00E61F6C"/>
    <w:rsid w:val="00E6229B"/>
    <w:rsid w:val="00E62395"/>
    <w:rsid w:val="00E62C62"/>
    <w:rsid w:val="00E634B1"/>
    <w:rsid w:val="00E637A2"/>
    <w:rsid w:val="00E6402B"/>
    <w:rsid w:val="00E64BA1"/>
    <w:rsid w:val="00E65306"/>
    <w:rsid w:val="00E654C1"/>
    <w:rsid w:val="00E65D91"/>
    <w:rsid w:val="00E65D97"/>
    <w:rsid w:val="00E6609D"/>
    <w:rsid w:val="00E664F0"/>
    <w:rsid w:val="00E66885"/>
    <w:rsid w:val="00E66FC4"/>
    <w:rsid w:val="00E67D64"/>
    <w:rsid w:val="00E70E7F"/>
    <w:rsid w:val="00E70EEF"/>
    <w:rsid w:val="00E71519"/>
    <w:rsid w:val="00E71696"/>
    <w:rsid w:val="00E7262D"/>
    <w:rsid w:val="00E72A5A"/>
    <w:rsid w:val="00E72BDE"/>
    <w:rsid w:val="00E73354"/>
    <w:rsid w:val="00E734E4"/>
    <w:rsid w:val="00E7358F"/>
    <w:rsid w:val="00E74A32"/>
    <w:rsid w:val="00E7555D"/>
    <w:rsid w:val="00E75C62"/>
    <w:rsid w:val="00E76399"/>
    <w:rsid w:val="00E766D4"/>
    <w:rsid w:val="00E76FEF"/>
    <w:rsid w:val="00E77CC0"/>
    <w:rsid w:val="00E802F3"/>
    <w:rsid w:val="00E80A59"/>
    <w:rsid w:val="00E80BF4"/>
    <w:rsid w:val="00E80F61"/>
    <w:rsid w:val="00E80FCD"/>
    <w:rsid w:val="00E8184F"/>
    <w:rsid w:val="00E81F47"/>
    <w:rsid w:val="00E8370B"/>
    <w:rsid w:val="00E83CD4"/>
    <w:rsid w:val="00E840DB"/>
    <w:rsid w:val="00E854CC"/>
    <w:rsid w:val="00E862D2"/>
    <w:rsid w:val="00E8647E"/>
    <w:rsid w:val="00E86ED1"/>
    <w:rsid w:val="00E90757"/>
    <w:rsid w:val="00E90807"/>
    <w:rsid w:val="00E90C34"/>
    <w:rsid w:val="00E9113E"/>
    <w:rsid w:val="00E91C65"/>
    <w:rsid w:val="00E9242D"/>
    <w:rsid w:val="00E92AC4"/>
    <w:rsid w:val="00E94951"/>
    <w:rsid w:val="00E94C6A"/>
    <w:rsid w:val="00E94D14"/>
    <w:rsid w:val="00E95681"/>
    <w:rsid w:val="00E9593E"/>
    <w:rsid w:val="00E9607F"/>
    <w:rsid w:val="00E96416"/>
    <w:rsid w:val="00E96BA5"/>
    <w:rsid w:val="00E97397"/>
    <w:rsid w:val="00E97877"/>
    <w:rsid w:val="00E97F14"/>
    <w:rsid w:val="00EA0356"/>
    <w:rsid w:val="00EA0D74"/>
    <w:rsid w:val="00EA1124"/>
    <w:rsid w:val="00EA2112"/>
    <w:rsid w:val="00EA21F9"/>
    <w:rsid w:val="00EA233A"/>
    <w:rsid w:val="00EA326D"/>
    <w:rsid w:val="00EA4E93"/>
    <w:rsid w:val="00EA553D"/>
    <w:rsid w:val="00EA577B"/>
    <w:rsid w:val="00EA5F63"/>
    <w:rsid w:val="00EA6055"/>
    <w:rsid w:val="00EA64E7"/>
    <w:rsid w:val="00EA6FA4"/>
    <w:rsid w:val="00EA6FD5"/>
    <w:rsid w:val="00EA71E2"/>
    <w:rsid w:val="00EA75FA"/>
    <w:rsid w:val="00EB027F"/>
    <w:rsid w:val="00EB06F6"/>
    <w:rsid w:val="00EB170B"/>
    <w:rsid w:val="00EB2273"/>
    <w:rsid w:val="00EB269F"/>
    <w:rsid w:val="00EB2F26"/>
    <w:rsid w:val="00EB328D"/>
    <w:rsid w:val="00EB38B7"/>
    <w:rsid w:val="00EB393A"/>
    <w:rsid w:val="00EB3E0A"/>
    <w:rsid w:val="00EB4110"/>
    <w:rsid w:val="00EB4123"/>
    <w:rsid w:val="00EB5255"/>
    <w:rsid w:val="00EB588D"/>
    <w:rsid w:val="00EB5A2D"/>
    <w:rsid w:val="00EB5A37"/>
    <w:rsid w:val="00EB5C47"/>
    <w:rsid w:val="00EB5DF7"/>
    <w:rsid w:val="00EB5F53"/>
    <w:rsid w:val="00EB62CF"/>
    <w:rsid w:val="00EB6985"/>
    <w:rsid w:val="00EB6CEF"/>
    <w:rsid w:val="00EB7F7B"/>
    <w:rsid w:val="00EC0298"/>
    <w:rsid w:val="00EC05C4"/>
    <w:rsid w:val="00EC11D2"/>
    <w:rsid w:val="00EC15A3"/>
    <w:rsid w:val="00EC1E43"/>
    <w:rsid w:val="00EC2668"/>
    <w:rsid w:val="00EC32E1"/>
    <w:rsid w:val="00EC3503"/>
    <w:rsid w:val="00EC4283"/>
    <w:rsid w:val="00EC42D8"/>
    <w:rsid w:val="00EC4972"/>
    <w:rsid w:val="00EC596D"/>
    <w:rsid w:val="00EC59DE"/>
    <w:rsid w:val="00EC5E53"/>
    <w:rsid w:val="00ED058C"/>
    <w:rsid w:val="00ED0639"/>
    <w:rsid w:val="00ED0D15"/>
    <w:rsid w:val="00ED0E2F"/>
    <w:rsid w:val="00ED1979"/>
    <w:rsid w:val="00ED1D51"/>
    <w:rsid w:val="00ED1DBA"/>
    <w:rsid w:val="00ED4143"/>
    <w:rsid w:val="00ED41C6"/>
    <w:rsid w:val="00ED4689"/>
    <w:rsid w:val="00ED5423"/>
    <w:rsid w:val="00ED6736"/>
    <w:rsid w:val="00ED766B"/>
    <w:rsid w:val="00EE0767"/>
    <w:rsid w:val="00EE1720"/>
    <w:rsid w:val="00EE1867"/>
    <w:rsid w:val="00EE1977"/>
    <w:rsid w:val="00EE24F3"/>
    <w:rsid w:val="00EE3A06"/>
    <w:rsid w:val="00EE4835"/>
    <w:rsid w:val="00EE4D25"/>
    <w:rsid w:val="00EE5B4D"/>
    <w:rsid w:val="00EE5C93"/>
    <w:rsid w:val="00EE5EAA"/>
    <w:rsid w:val="00EE6A0B"/>
    <w:rsid w:val="00EE732C"/>
    <w:rsid w:val="00EE7F05"/>
    <w:rsid w:val="00EF01F2"/>
    <w:rsid w:val="00EF02F4"/>
    <w:rsid w:val="00EF0D1B"/>
    <w:rsid w:val="00EF10A2"/>
    <w:rsid w:val="00EF10F9"/>
    <w:rsid w:val="00EF11D7"/>
    <w:rsid w:val="00EF1B1E"/>
    <w:rsid w:val="00EF1DA8"/>
    <w:rsid w:val="00EF225F"/>
    <w:rsid w:val="00EF2F47"/>
    <w:rsid w:val="00EF38D3"/>
    <w:rsid w:val="00EF3C73"/>
    <w:rsid w:val="00EF4755"/>
    <w:rsid w:val="00EF4895"/>
    <w:rsid w:val="00EF499B"/>
    <w:rsid w:val="00EF4FC6"/>
    <w:rsid w:val="00EF4FF3"/>
    <w:rsid w:val="00EF51DC"/>
    <w:rsid w:val="00EF5E8E"/>
    <w:rsid w:val="00EF6B94"/>
    <w:rsid w:val="00EF7135"/>
    <w:rsid w:val="00EF7950"/>
    <w:rsid w:val="00EF7E96"/>
    <w:rsid w:val="00F004AF"/>
    <w:rsid w:val="00F00511"/>
    <w:rsid w:val="00F01015"/>
    <w:rsid w:val="00F01A39"/>
    <w:rsid w:val="00F01C43"/>
    <w:rsid w:val="00F01F6D"/>
    <w:rsid w:val="00F022B4"/>
    <w:rsid w:val="00F025A7"/>
    <w:rsid w:val="00F026B8"/>
    <w:rsid w:val="00F027DB"/>
    <w:rsid w:val="00F031CB"/>
    <w:rsid w:val="00F037E4"/>
    <w:rsid w:val="00F03E3C"/>
    <w:rsid w:val="00F045F7"/>
    <w:rsid w:val="00F046C4"/>
    <w:rsid w:val="00F059D6"/>
    <w:rsid w:val="00F0606A"/>
    <w:rsid w:val="00F0608D"/>
    <w:rsid w:val="00F06780"/>
    <w:rsid w:val="00F0678C"/>
    <w:rsid w:val="00F06E3A"/>
    <w:rsid w:val="00F07091"/>
    <w:rsid w:val="00F073CC"/>
    <w:rsid w:val="00F073D7"/>
    <w:rsid w:val="00F10059"/>
    <w:rsid w:val="00F101E6"/>
    <w:rsid w:val="00F10343"/>
    <w:rsid w:val="00F10B98"/>
    <w:rsid w:val="00F11048"/>
    <w:rsid w:val="00F1149B"/>
    <w:rsid w:val="00F11D39"/>
    <w:rsid w:val="00F131A5"/>
    <w:rsid w:val="00F137C2"/>
    <w:rsid w:val="00F139BD"/>
    <w:rsid w:val="00F14022"/>
    <w:rsid w:val="00F1464E"/>
    <w:rsid w:val="00F14A7A"/>
    <w:rsid w:val="00F15DC0"/>
    <w:rsid w:val="00F1624D"/>
    <w:rsid w:val="00F17322"/>
    <w:rsid w:val="00F1781F"/>
    <w:rsid w:val="00F17A62"/>
    <w:rsid w:val="00F17E02"/>
    <w:rsid w:val="00F2055E"/>
    <w:rsid w:val="00F22985"/>
    <w:rsid w:val="00F23A28"/>
    <w:rsid w:val="00F241C6"/>
    <w:rsid w:val="00F24248"/>
    <w:rsid w:val="00F24474"/>
    <w:rsid w:val="00F25A2C"/>
    <w:rsid w:val="00F25B41"/>
    <w:rsid w:val="00F260B3"/>
    <w:rsid w:val="00F26BAC"/>
    <w:rsid w:val="00F27441"/>
    <w:rsid w:val="00F307D4"/>
    <w:rsid w:val="00F309E1"/>
    <w:rsid w:val="00F30D49"/>
    <w:rsid w:val="00F31BAF"/>
    <w:rsid w:val="00F31EC6"/>
    <w:rsid w:val="00F31F5A"/>
    <w:rsid w:val="00F32034"/>
    <w:rsid w:val="00F32C78"/>
    <w:rsid w:val="00F337DF"/>
    <w:rsid w:val="00F3383E"/>
    <w:rsid w:val="00F345B4"/>
    <w:rsid w:val="00F34AF1"/>
    <w:rsid w:val="00F35121"/>
    <w:rsid w:val="00F35911"/>
    <w:rsid w:val="00F35A0C"/>
    <w:rsid w:val="00F35BC9"/>
    <w:rsid w:val="00F36949"/>
    <w:rsid w:val="00F36FC0"/>
    <w:rsid w:val="00F37549"/>
    <w:rsid w:val="00F40A9D"/>
    <w:rsid w:val="00F41EAA"/>
    <w:rsid w:val="00F4256F"/>
    <w:rsid w:val="00F431B9"/>
    <w:rsid w:val="00F431F2"/>
    <w:rsid w:val="00F4327C"/>
    <w:rsid w:val="00F4389D"/>
    <w:rsid w:val="00F43D68"/>
    <w:rsid w:val="00F43F06"/>
    <w:rsid w:val="00F4411E"/>
    <w:rsid w:val="00F4441E"/>
    <w:rsid w:val="00F445CC"/>
    <w:rsid w:val="00F447E2"/>
    <w:rsid w:val="00F44C8A"/>
    <w:rsid w:val="00F453AB"/>
    <w:rsid w:val="00F465A7"/>
    <w:rsid w:val="00F46720"/>
    <w:rsid w:val="00F46DF1"/>
    <w:rsid w:val="00F4790C"/>
    <w:rsid w:val="00F4799C"/>
    <w:rsid w:val="00F50232"/>
    <w:rsid w:val="00F50681"/>
    <w:rsid w:val="00F50B7C"/>
    <w:rsid w:val="00F524F4"/>
    <w:rsid w:val="00F52618"/>
    <w:rsid w:val="00F52683"/>
    <w:rsid w:val="00F5273C"/>
    <w:rsid w:val="00F52CFE"/>
    <w:rsid w:val="00F52E00"/>
    <w:rsid w:val="00F54518"/>
    <w:rsid w:val="00F54744"/>
    <w:rsid w:val="00F55024"/>
    <w:rsid w:val="00F550E6"/>
    <w:rsid w:val="00F55521"/>
    <w:rsid w:val="00F55DB7"/>
    <w:rsid w:val="00F56519"/>
    <w:rsid w:val="00F573E7"/>
    <w:rsid w:val="00F57B4A"/>
    <w:rsid w:val="00F57EC9"/>
    <w:rsid w:val="00F601F6"/>
    <w:rsid w:val="00F6024F"/>
    <w:rsid w:val="00F60440"/>
    <w:rsid w:val="00F609DB"/>
    <w:rsid w:val="00F60C91"/>
    <w:rsid w:val="00F6271B"/>
    <w:rsid w:val="00F632BD"/>
    <w:rsid w:val="00F63770"/>
    <w:rsid w:val="00F64567"/>
    <w:rsid w:val="00F653C3"/>
    <w:rsid w:val="00F65B1A"/>
    <w:rsid w:val="00F6643F"/>
    <w:rsid w:val="00F66684"/>
    <w:rsid w:val="00F67547"/>
    <w:rsid w:val="00F70F3E"/>
    <w:rsid w:val="00F71987"/>
    <w:rsid w:val="00F71CA4"/>
    <w:rsid w:val="00F71D6D"/>
    <w:rsid w:val="00F72144"/>
    <w:rsid w:val="00F72786"/>
    <w:rsid w:val="00F7279F"/>
    <w:rsid w:val="00F72962"/>
    <w:rsid w:val="00F72E73"/>
    <w:rsid w:val="00F73F79"/>
    <w:rsid w:val="00F73F7C"/>
    <w:rsid w:val="00F74345"/>
    <w:rsid w:val="00F74E0D"/>
    <w:rsid w:val="00F77470"/>
    <w:rsid w:val="00F8008E"/>
    <w:rsid w:val="00F80423"/>
    <w:rsid w:val="00F807A1"/>
    <w:rsid w:val="00F807B8"/>
    <w:rsid w:val="00F807DC"/>
    <w:rsid w:val="00F80A0A"/>
    <w:rsid w:val="00F811FD"/>
    <w:rsid w:val="00F81850"/>
    <w:rsid w:val="00F8218A"/>
    <w:rsid w:val="00F829E1"/>
    <w:rsid w:val="00F82B19"/>
    <w:rsid w:val="00F83374"/>
    <w:rsid w:val="00F836CC"/>
    <w:rsid w:val="00F83703"/>
    <w:rsid w:val="00F83ED6"/>
    <w:rsid w:val="00F84B20"/>
    <w:rsid w:val="00F84C59"/>
    <w:rsid w:val="00F85A95"/>
    <w:rsid w:val="00F86810"/>
    <w:rsid w:val="00F86C67"/>
    <w:rsid w:val="00F86E8F"/>
    <w:rsid w:val="00F873EE"/>
    <w:rsid w:val="00F87A62"/>
    <w:rsid w:val="00F87D17"/>
    <w:rsid w:val="00F902BB"/>
    <w:rsid w:val="00F903C5"/>
    <w:rsid w:val="00F90884"/>
    <w:rsid w:val="00F918A5"/>
    <w:rsid w:val="00F9212D"/>
    <w:rsid w:val="00F924EA"/>
    <w:rsid w:val="00F92D07"/>
    <w:rsid w:val="00F93C03"/>
    <w:rsid w:val="00F93E04"/>
    <w:rsid w:val="00F954C5"/>
    <w:rsid w:val="00F963D1"/>
    <w:rsid w:val="00F965DA"/>
    <w:rsid w:val="00F9684D"/>
    <w:rsid w:val="00F968A9"/>
    <w:rsid w:val="00F9715B"/>
    <w:rsid w:val="00F97780"/>
    <w:rsid w:val="00F97869"/>
    <w:rsid w:val="00FA062C"/>
    <w:rsid w:val="00FA0822"/>
    <w:rsid w:val="00FA0910"/>
    <w:rsid w:val="00FA098B"/>
    <w:rsid w:val="00FA232F"/>
    <w:rsid w:val="00FA2412"/>
    <w:rsid w:val="00FA2505"/>
    <w:rsid w:val="00FA275C"/>
    <w:rsid w:val="00FA29A4"/>
    <w:rsid w:val="00FA2E5D"/>
    <w:rsid w:val="00FA2EDA"/>
    <w:rsid w:val="00FA3C26"/>
    <w:rsid w:val="00FA3FDD"/>
    <w:rsid w:val="00FA406A"/>
    <w:rsid w:val="00FA45EE"/>
    <w:rsid w:val="00FA46CE"/>
    <w:rsid w:val="00FA4B84"/>
    <w:rsid w:val="00FA4C69"/>
    <w:rsid w:val="00FA537B"/>
    <w:rsid w:val="00FA5738"/>
    <w:rsid w:val="00FA59AB"/>
    <w:rsid w:val="00FA5DDB"/>
    <w:rsid w:val="00FA6B10"/>
    <w:rsid w:val="00FA6C0B"/>
    <w:rsid w:val="00FA6D2D"/>
    <w:rsid w:val="00FA718B"/>
    <w:rsid w:val="00FA7649"/>
    <w:rsid w:val="00FA783A"/>
    <w:rsid w:val="00FA7AA0"/>
    <w:rsid w:val="00FB03B6"/>
    <w:rsid w:val="00FB0BA0"/>
    <w:rsid w:val="00FB0BB4"/>
    <w:rsid w:val="00FB12EF"/>
    <w:rsid w:val="00FB27DE"/>
    <w:rsid w:val="00FB36B3"/>
    <w:rsid w:val="00FB3FA3"/>
    <w:rsid w:val="00FB4547"/>
    <w:rsid w:val="00FB503A"/>
    <w:rsid w:val="00FB516C"/>
    <w:rsid w:val="00FB52B4"/>
    <w:rsid w:val="00FB5419"/>
    <w:rsid w:val="00FB5BAE"/>
    <w:rsid w:val="00FB5D4E"/>
    <w:rsid w:val="00FB681A"/>
    <w:rsid w:val="00FB79FB"/>
    <w:rsid w:val="00FB7AC1"/>
    <w:rsid w:val="00FB7BFB"/>
    <w:rsid w:val="00FC0452"/>
    <w:rsid w:val="00FC0854"/>
    <w:rsid w:val="00FC0A95"/>
    <w:rsid w:val="00FC162C"/>
    <w:rsid w:val="00FC2304"/>
    <w:rsid w:val="00FC271D"/>
    <w:rsid w:val="00FC2A3A"/>
    <w:rsid w:val="00FC33F1"/>
    <w:rsid w:val="00FC3509"/>
    <w:rsid w:val="00FC3925"/>
    <w:rsid w:val="00FC3A33"/>
    <w:rsid w:val="00FC46E5"/>
    <w:rsid w:val="00FC4AB0"/>
    <w:rsid w:val="00FC4FFB"/>
    <w:rsid w:val="00FC5021"/>
    <w:rsid w:val="00FC5356"/>
    <w:rsid w:val="00FC6948"/>
    <w:rsid w:val="00FC6B11"/>
    <w:rsid w:val="00FC6B28"/>
    <w:rsid w:val="00FD0236"/>
    <w:rsid w:val="00FD03E1"/>
    <w:rsid w:val="00FD1702"/>
    <w:rsid w:val="00FD18F4"/>
    <w:rsid w:val="00FD193C"/>
    <w:rsid w:val="00FD1C9B"/>
    <w:rsid w:val="00FD1E61"/>
    <w:rsid w:val="00FD2BD0"/>
    <w:rsid w:val="00FD2F9E"/>
    <w:rsid w:val="00FD33CC"/>
    <w:rsid w:val="00FD4241"/>
    <w:rsid w:val="00FD54DB"/>
    <w:rsid w:val="00FD5BA4"/>
    <w:rsid w:val="00FD5D8A"/>
    <w:rsid w:val="00FD600A"/>
    <w:rsid w:val="00FD619F"/>
    <w:rsid w:val="00FD6A4E"/>
    <w:rsid w:val="00FD6BDC"/>
    <w:rsid w:val="00FD6FA1"/>
    <w:rsid w:val="00FD702E"/>
    <w:rsid w:val="00FD71AB"/>
    <w:rsid w:val="00FD73D7"/>
    <w:rsid w:val="00FD78C2"/>
    <w:rsid w:val="00FD7E5A"/>
    <w:rsid w:val="00FD7E8A"/>
    <w:rsid w:val="00FD7F5C"/>
    <w:rsid w:val="00FE0044"/>
    <w:rsid w:val="00FE045C"/>
    <w:rsid w:val="00FE046E"/>
    <w:rsid w:val="00FE09CB"/>
    <w:rsid w:val="00FE25C1"/>
    <w:rsid w:val="00FE2650"/>
    <w:rsid w:val="00FE2B45"/>
    <w:rsid w:val="00FE2C38"/>
    <w:rsid w:val="00FE2FF9"/>
    <w:rsid w:val="00FE3369"/>
    <w:rsid w:val="00FE350B"/>
    <w:rsid w:val="00FE3D8B"/>
    <w:rsid w:val="00FE40AD"/>
    <w:rsid w:val="00FE4349"/>
    <w:rsid w:val="00FE4A22"/>
    <w:rsid w:val="00FE4CF4"/>
    <w:rsid w:val="00FE5590"/>
    <w:rsid w:val="00FE6136"/>
    <w:rsid w:val="00FE6496"/>
    <w:rsid w:val="00FE6E59"/>
    <w:rsid w:val="00FE7380"/>
    <w:rsid w:val="00FE73A9"/>
    <w:rsid w:val="00FE79DB"/>
    <w:rsid w:val="00FF0969"/>
    <w:rsid w:val="00FF1247"/>
    <w:rsid w:val="00FF17F1"/>
    <w:rsid w:val="00FF1CC6"/>
    <w:rsid w:val="00FF28AB"/>
    <w:rsid w:val="00FF2D37"/>
    <w:rsid w:val="00FF36BD"/>
    <w:rsid w:val="00FF5609"/>
    <w:rsid w:val="00FF62F5"/>
    <w:rsid w:val="00FF6A2A"/>
    <w:rsid w:val="00FF6DBD"/>
    <w:rsid w:val="00FF6FF8"/>
    <w:rsid w:val="00FF708A"/>
    <w:rsid w:val="00FF71FF"/>
    <w:rsid w:val="00FF7608"/>
    <w:rsid w:val="00FF779D"/>
    <w:rsid w:val="01042CD0"/>
    <w:rsid w:val="0108114D"/>
    <w:rsid w:val="010C0502"/>
    <w:rsid w:val="010E4F6E"/>
    <w:rsid w:val="01117330"/>
    <w:rsid w:val="011D1F5D"/>
    <w:rsid w:val="01201F55"/>
    <w:rsid w:val="01203FAE"/>
    <w:rsid w:val="01207B0A"/>
    <w:rsid w:val="01221B03"/>
    <w:rsid w:val="012313A8"/>
    <w:rsid w:val="01257C00"/>
    <w:rsid w:val="01290F7E"/>
    <w:rsid w:val="012B4A44"/>
    <w:rsid w:val="012C2953"/>
    <w:rsid w:val="012D0479"/>
    <w:rsid w:val="012E7893"/>
    <w:rsid w:val="012F2443"/>
    <w:rsid w:val="01312D03"/>
    <w:rsid w:val="01325A8F"/>
    <w:rsid w:val="01341807"/>
    <w:rsid w:val="013438C9"/>
    <w:rsid w:val="01361A05"/>
    <w:rsid w:val="01363832"/>
    <w:rsid w:val="01384751"/>
    <w:rsid w:val="01390BCC"/>
    <w:rsid w:val="013A1699"/>
    <w:rsid w:val="014001AC"/>
    <w:rsid w:val="01431A4A"/>
    <w:rsid w:val="014337F8"/>
    <w:rsid w:val="01447C0F"/>
    <w:rsid w:val="014C4DA3"/>
    <w:rsid w:val="0152776C"/>
    <w:rsid w:val="01582BE3"/>
    <w:rsid w:val="015974C0"/>
    <w:rsid w:val="015D1E09"/>
    <w:rsid w:val="015F33CC"/>
    <w:rsid w:val="01626497"/>
    <w:rsid w:val="016320EC"/>
    <w:rsid w:val="01633E9B"/>
    <w:rsid w:val="016519C1"/>
    <w:rsid w:val="01657CDA"/>
    <w:rsid w:val="01671BDD"/>
    <w:rsid w:val="01672D40"/>
    <w:rsid w:val="01695955"/>
    <w:rsid w:val="016966E0"/>
    <w:rsid w:val="016A6FD7"/>
    <w:rsid w:val="016B11A7"/>
    <w:rsid w:val="016B70CC"/>
    <w:rsid w:val="016C0FA1"/>
    <w:rsid w:val="016D4D19"/>
    <w:rsid w:val="017240DE"/>
    <w:rsid w:val="01725A01"/>
    <w:rsid w:val="017A32D2"/>
    <w:rsid w:val="017B3FF0"/>
    <w:rsid w:val="017D1035"/>
    <w:rsid w:val="017E2971"/>
    <w:rsid w:val="017E4839"/>
    <w:rsid w:val="017E5FA0"/>
    <w:rsid w:val="01802C9E"/>
    <w:rsid w:val="01804A4C"/>
    <w:rsid w:val="01821B74"/>
    <w:rsid w:val="01827350"/>
    <w:rsid w:val="0187402D"/>
    <w:rsid w:val="018C1643"/>
    <w:rsid w:val="018E1EA2"/>
    <w:rsid w:val="01921D23"/>
    <w:rsid w:val="0192652E"/>
    <w:rsid w:val="0196601E"/>
    <w:rsid w:val="019708E7"/>
    <w:rsid w:val="01987FE8"/>
    <w:rsid w:val="019978BC"/>
    <w:rsid w:val="01A050EF"/>
    <w:rsid w:val="01AA3877"/>
    <w:rsid w:val="01AD5116"/>
    <w:rsid w:val="01AE5267"/>
    <w:rsid w:val="01AF5332"/>
    <w:rsid w:val="01B02834"/>
    <w:rsid w:val="01B464A4"/>
    <w:rsid w:val="01B94FB4"/>
    <w:rsid w:val="01BE66C3"/>
    <w:rsid w:val="01C0753F"/>
    <w:rsid w:val="01C205FE"/>
    <w:rsid w:val="01C34939"/>
    <w:rsid w:val="01C419B3"/>
    <w:rsid w:val="01C71945"/>
    <w:rsid w:val="01CA5BE2"/>
    <w:rsid w:val="01CC7C92"/>
    <w:rsid w:val="01CF64F1"/>
    <w:rsid w:val="01D22B07"/>
    <w:rsid w:val="01D37272"/>
    <w:rsid w:val="01D46B46"/>
    <w:rsid w:val="01D54BFB"/>
    <w:rsid w:val="01D803E5"/>
    <w:rsid w:val="01D926AE"/>
    <w:rsid w:val="01DF3A84"/>
    <w:rsid w:val="01E5599D"/>
    <w:rsid w:val="01EA636A"/>
    <w:rsid w:val="01EE5E5A"/>
    <w:rsid w:val="01EE75D4"/>
    <w:rsid w:val="01F01BD2"/>
    <w:rsid w:val="01F22DC1"/>
    <w:rsid w:val="01F64D0F"/>
    <w:rsid w:val="01FB40D3"/>
    <w:rsid w:val="01FD445E"/>
    <w:rsid w:val="01FD7EBC"/>
    <w:rsid w:val="01FF218C"/>
    <w:rsid w:val="02003F90"/>
    <w:rsid w:val="0200793B"/>
    <w:rsid w:val="02022957"/>
    <w:rsid w:val="02026FF4"/>
    <w:rsid w:val="02075BD6"/>
    <w:rsid w:val="0207642D"/>
    <w:rsid w:val="02076F1C"/>
    <w:rsid w:val="020A2568"/>
    <w:rsid w:val="020B07BA"/>
    <w:rsid w:val="0215534B"/>
    <w:rsid w:val="022071A1"/>
    <w:rsid w:val="02225B04"/>
    <w:rsid w:val="02247ACE"/>
    <w:rsid w:val="022A16E3"/>
    <w:rsid w:val="022A2346"/>
    <w:rsid w:val="022E6257"/>
    <w:rsid w:val="02301FCF"/>
    <w:rsid w:val="023B0973"/>
    <w:rsid w:val="023B3DA9"/>
    <w:rsid w:val="023B4401"/>
    <w:rsid w:val="023C2195"/>
    <w:rsid w:val="024737BC"/>
    <w:rsid w:val="02474DE6"/>
    <w:rsid w:val="02480376"/>
    <w:rsid w:val="024A6146"/>
    <w:rsid w:val="024C492F"/>
    <w:rsid w:val="024C61BE"/>
    <w:rsid w:val="025435F0"/>
    <w:rsid w:val="02557C87"/>
    <w:rsid w:val="02590796"/>
    <w:rsid w:val="025D08EA"/>
    <w:rsid w:val="025E0D89"/>
    <w:rsid w:val="026003DA"/>
    <w:rsid w:val="0265792B"/>
    <w:rsid w:val="02664AA4"/>
    <w:rsid w:val="02666776"/>
    <w:rsid w:val="026954E1"/>
    <w:rsid w:val="02697903"/>
    <w:rsid w:val="02777BFD"/>
    <w:rsid w:val="02781BC8"/>
    <w:rsid w:val="02862195"/>
    <w:rsid w:val="02880483"/>
    <w:rsid w:val="028D07AE"/>
    <w:rsid w:val="02900CBF"/>
    <w:rsid w:val="02913ED0"/>
    <w:rsid w:val="02923124"/>
    <w:rsid w:val="02993D6B"/>
    <w:rsid w:val="02AB0D0E"/>
    <w:rsid w:val="02AC47F6"/>
    <w:rsid w:val="02AE07B4"/>
    <w:rsid w:val="02AE2989"/>
    <w:rsid w:val="02AE7397"/>
    <w:rsid w:val="02B018F6"/>
    <w:rsid w:val="02B62DA2"/>
    <w:rsid w:val="02B80216"/>
    <w:rsid w:val="02C1356F"/>
    <w:rsid w:val="02C6420C"/>
    <w:rsid w:val="02CB619B"/>
    <w:rsid w:val="02CB7221"/>
    <w:rsid w:val="02CC480C"/>
    <w:rsid w:val="02CD5334"/>
    <w:rsid w:val="02CF25BC"/>
    <w:rsid w:val="02D45050"/>
    <w:rsid w:val="02D5292F"/>
    <w:rsid w:val="02DA018C"/>
    <w:rsid w:val="02DA7D7D"/>
    <w:rsid w:val="02DB33B5"/>
    <w:rsid w:val="02DF23B3"/>
    <w:rsid w:val="02E05818"/>
    <w:rsid w:val="02E1227F"/>
    <w:rsid w:val="02E35293"/>
    <w:rsid w:val="02E42DB9"/>
    <w:rsid w:val="02E7552A"/>
    <w:rsid w:val="02F94AB6"/>
    <w:rsid w:val="02F96569"/>
    <w:rsid w:val="03027722"/>
    <w:rsid w:val="0303250F"/>
    <w:rsid w:val="03062D2F"/>
    <w:rsid w:val="03077138"/>
    <w:rsid w:val="030C7B11"/>
    <w:rsid w:val="030D0562"/>
    <w:rsid w:val="03154571"/>
    <w:rsid w:val="03196F07"/>
    <w:rsid w:val="031F387B"/>
    <w:rsid w:val="03241F4C"/>
    <w:rsid w:val="03255B77"/>
    <w:rsid w:val="032A2EC2"/>
    <w:rsid w:val="032A4C70"/>
    <w:rsid w:val="032C4E8C"/>
    <w:rsid w:val="03304250"/>
    <w:rsid w:val="0334789D"/>
    <w:rsid w:val="03367AB9"/>
    <w:rsid w:val="033B349F"/>
    <w:rsid w:val="034026E5"/>
    <w:rsid w:val="03407271"/>
    <w:rsid w:val="03411FB9"/>
    <w:rsid w:val="034251F7"/>
    <w:rsid w:val="03425562"/>
    <w:rsid w:val="03430C16"/>
    <w:rsid w:val="0343247A"/>
    <w:rsid w:val="03433F84"/>
    <w:rsid w:val="034675D0"/>
    <w:rsid w:val="03472ED2"/>
    <w:rsid w:val="03480883"/>
    <w:rsid w:val="0348159A"/>
    <w:rsid w:val="034D5E63"/>
    <w:rsid w:val="034E1C04"/>
    <w:rsid w:val="035148F2"/>
    <w:rsid w:val="035246AA"/>
    <w:rsid w:val="03546191"/>
    <w:rsid w:val="03561F09"/>
    <w:rsid w:val="035D6C01"/>
    <w:rsid w:val="03600692"/>
    <w:rsid w:val="0365214C"/>
    <w:rsid w:val="03655CA8"/>
    <w:rsid w:val="03667C72"/>
    <w:rsid w:val="03691D81"/>
    <w:rsid w:val="036D1000"/>
    <w:rsid w:val="037C7321"/>
    <w:rsid w:val="037E4FBC"/>
    <w:rsid w:val="03802AE2"/>
    <w:rsid w:val="038334D8"/>
    <w:rsid w:val="03892C16"/>
    <w:rsid w:val="038A1BB2"/>
    <w:rsid w:val="038A1BDD"/>
    <w:rsid w:val="038A3960"/>
    <w:rsid w:val="038B6410"/>
    <w:rsid w:val="038C592B"/>
    <w:rsid w:val="038C76D9"/>
    <w:rsid w:val="038D1478"/>
    <w:rsid w:val="038D3451"/>
    <w:rsid w:val="038D51FF"/>
    <w:rsid w:val="038F265D"/>
    <w:rsid w:val="03920CAB"/>
    <w:rsid w:val="03933BE9"/>
    <w:rsid w:val="039461D9"/>
    <w:rsid w:val="0397607D"/>
    <w:rsid w:val="03984668"/>
    <w:rsid w:val="03994C0F"/>
    <w:rsid w:val="039B5B6E"/>
    <w:rsid w:val="039B791C"/>
    <w:rsid w:val="039E4A4F"/>
    <w:rsid w:val="03A67BA5"/>
    <w:rsid w:val="03A762C0"/>
    <w:rsid w:val="03A859A0"/>
    <w:rsid w:val="03AC1B29"/>
    <w:rsid w:val="03AC7D7B"/>
    <w:rsid w:val="03AF786B"/>
    <w:rsid w:val="03B60854"/>
    <w:rsid w:val="03B629A7"/>
    <w:rsid w:val="03B70C87"/>
    <w:rsid w:val="03B804CE"/>
    <w:rsid w:val="03BE185C"/>
    <w:rsid w:val="03C33A72"/>
    <w:rsid w:val="03C50E3C"/>
    <w:rsid w:val="03CA6453"/>
    <w:rsid w:val="03CC21CB"/>
    <w:rsid w:val="03CD4D90"/>
    <w:rsid w:val="03D1158F"/>
    <w:rsid w:val="03D33559"/>
    <w:rsid w:val="03D42E2E"/>
    <w:rsid w:val="03D64DF8"/>
    <w:rsid w:val="03D80B70"/>
    <w:rsid w:val="03DB240E"/>
    <w:rsid w:val="03DB41BC"/>
    <w:rsid w:val="03DB6EB3"/>
    <w:rsid w:val="03DF7EE2"/>
    <w:rsid w:val="03E012B8"/>
    <w:rsid w:val="03E638AC"/>
    <w:rsid w:val="03E65F01"/>
    <w:rsid w:val="03EA7B21"/>
    <w:rsid w:val="03ED2496"/>
    <w:rsid w:val="03EF2C98"/>
    <w:rsid w:val="03F47798"/>
    <w:rsid w:val="03F64109"/>
    <w:rsid w:val="03FA6D38"/>
    <w:rsid w:val="03FB485E"/>
    <w:rsid w:val="03FB660C"/>
    <w:rsid w:val="03FD2384"/>
    <w:rsid w:val="04014C1B"/>
    <w:rsid w:val="04082AD7"/>
    <w:rsid w:val="04090D29"/>
    <w:rsid w:val="040A342B"/>
    <w:rsid w:val="040E1314"/>
    <w:rsid w:val="040E27E3"/>
    <w:rsid w:val="040E4592"/>
    <w:rsid w:val="040F607C"/>
    <w:rsid w:val="04127E4F"/>
    <w:rsid w:val="04141034"/>
    <w:rsid w:val="04150212"/>
    <w:rsid w:val="0415210F"/>
    <w:rsid w:val="04163446"/>
    <w:rsid w:val="04166B3C"/>
    <w:rsid w:val="04190023"/>
    <w:rsid w:val="041A2BF4"/>
    <w:rsid w:val="041A421B"/>
    <w:rsid w:val="041B0FFD"/>
    <w:rsid w:val="041B489B"/>
    <w:rsid w:val="041F679F"/>
    <w:rsid w:val="04274B96"/>
    <w:rsid w:val="042C0F82"/>
    <w:rsid w:val="042E48C3"/>
    <w:rsid w:val="04394F62"/>
    <w:rsid w:val="043A7135"/>
    <w:rsid w:val="043C596C"/>
    <w:rsid w:val="043D6C25"/>
    <w:rsid w:val="04406CDA"/>
    <w:rsid w:val="04423B6F"/>
    <w:rsid w:val="04461F7D"/>
    <w:rsid w:val="0449381C"/>
    <w:rsid w:val="044C0C16"/>
    <w:rsid w:val="04514153"/>
    <w:rsid w:val="045226B8"/>
    <w:rsid w:val="045301F6"/>
    <w:rsid w:val="04536561"/>
    <w:rsid w:val="045A3333"/>
    <w:rsid w:val="045B70AB"/>
    <w:rsid w:val="045C213B"/>
    <w:rsid w:val="045F7637"/>
    <w:rsid w:val="04610599"/>
    <w:rsid w:val="04610B65"/>
    <w:rsid w:val="04616968"/>
    <w:rsid w:val="04682F69"/>
    <w:rsid w:val="046B3792"/>
    <w:rsid w:val="046C750A"/>
    <w:rsid w:val="046D54C6"/>
    <w:rsid w:val="04722D72"/>
    <w:rsid w:val="04784101"/>
    <w:rsid w:val="047B6F77"/>
    <w:rsid w:val="047C774D"/>
    <w:rsid w:val="047E3CCA"/>
    <w:rsid w:val="048031D6"/>
    <w:rsid w:val="048605CC"/>
    <w:rsid w:val="048F7622"/>
    <w:rsid w:val="04912ACD"/>
    <w:rsid w:val="0495080F"/>
    <w:rsid w:val="04983FD8"/>
    <w:rsid w:val="049901AD"/>
    <w:rsid w:val="049C1B9D"/>
    <w:rsid w:val="049F168E"/>
    <w:rsid w:val="049F343C"/>
    <w:rsid w:val="049F51EA"/>
    <w:rsid w:val="04A942BA"/>
    <w:rsid w:val="04A96068"/>
    <w:rsid w:val="04AD7ABA"/>
    <w:rsid w:val="04AE18D1"/>
    <w:rsid w:val="04B736E8"/>
    <w:rsid w:val="04B944C7"/>
    <w:rsid w:val="04BC2F25"/>
    <w:rsid w:val="04BD38C2"/>
    <w:rsid w:val="04C04528"/>
    <w:rsid w:val="04C11604"/>
    <w:rsid w:val="04C9495C"/>
    <w:rsid w:val="04CA24D6"/>
    <w:rsid w:val="04CD089D"/>
    <w:rsid w:val="04D8099E"/>
    <w:rsid w:val="04D94B9F"/>
    <w:rsid w:val="04DD5D12"/>
    <w:rsid w:val="04DE1E0B"/>
    <w:rsid w:val="04E15802"/>
    <w:rsid w:val="04E452F2"/>
    <w:rsid w:val="04E77F67"/>
    <w:rsid w:val="04E946B7"/>
    <w:rsid w:val="04ED23F9"/>
    <w:rsid w:val="04EE1E79"/>
    <w:rsid w:val="04EF5DCF"/>
    <w:rsid w:val="04F031C4"/>
    <w:rsid w:val="04F64013"/>
    <w:rsid w:val="04FA2D68"/>
    <w:rsid w:val="04FF212C"/>
    <w:rsid w:val="05037796"/>
    <w:rsid w:val="05085485"/>
    <w:rsid w:val="05096B07"/>
    <w:rsid w:val="051017B6"/>
    <w:rsid w:val="0512539C"/>
    <w:rsid w:val="051840C8"/>
    <w:rsid w:val="05237BC9"/>
    <w:rsid w:val="052971A9"/>
    <w:rsid w:val="052E6A0C"/>
    <w:rsid w:val="052F5C5F"/>
    <w:rsid w:val="05340028"/>
    <w:rsid w:val="05393890"/>
    <w:rsid w:val="053A5AE4"/>
    <w:rsid w:val="053E0EA6"/>
    <w:rsid w:val="053E4A03"/>
    <w:rsid w:val="05412745"/>
    <w:rsid w:val="05445D91"/>
    <w:rsid w:val="054D1E6D"/>
    <w:rsid w:val="05533CBE"/>
    <w:rsid w:val="05561024"/>
    <w:rsid w:val="055A53F6"/>
    <w:rsid w:val="055B3806"/>
    <w:rsid w:val="055B47FF"/>
    <w:rsid w:val="055B5021"/>
    <w:rsid w:val="056621AB"/>
    <w:rsid w:val="056A3A4A"/>
    <w:rsid w:val="056A5EC4"/>
    <w:rsid w:val="056F1060"/>
    <w:rsid w:val="057523EE"/>
    <w:rsid w:val="05761F9D"/>
    <w:rsid w:val="05790131"/>
    <w:rsid w:val="05791EDF"/>
    <w:rsid w:val="05795B12"/>
    <w:rsid w:val="057C1CC2"/>
    <w:rsid w:val="057D34D3"/>
    <w:rsid w:val="057E5747"/>
    <w:rsid w:val="057F6DC9"/>
    <w:rsid w:val="058201CC"/>
    <w:rsid w:val="058658C8"/>
    <w:rsid w:val="05870CE2"/>
    <w:rsid w:val="058B39C0"/>
    <w:rsid w:val="058F525E"/>
    <w:rsid w:val="05922FA0"/>
    <w:rsid w:val="05951A15"/>
    <w:rsid w:val="059960DD"/>
    <w:rsid w:val="059B00A7"/>
    <w:rsid w:val="059B1E55"/>
    <w:rsid w:val="059E1945"/>
    <w:rsid w:val="05A01219"/>
    <w:rsid w:val="05A14F91"/>
    <w:rsid w:val="05A43768"/>
    <w:rsid w:val="05A84572"/>
    <w:rsid w:val="05B178CA"/>
    <w:rsid w:val="05B31869"/>
    <w:rsid w:val="05B428B2"/>
    <w:rsid w:val="05B42F17"/>
    <w:rsid w:val="05B55CB7"/>
    <w:rsid w:val="05B81D48"/>
    <w:rsid w:val="05BF56A4"/>
    <w:rsid w:val="05BF78F5"/>
    <w:rsid w:val="05C14A88"/>
    <w:rsid w:val="05C26DA0"/>
    <w:rsid w:val="05C310BF"/>
    <w:rsid w:val="05C52B50"/>
    <w:rsid w:val="05C869C2"/>
    <w:rsid w:val="05C8750C"/>
    <w:rsid w:val="05CA41EF"/>
    <w:rsid w:val="05CA50E7"/>
    <w:rsid w:val="05D56CE0"/>
    <w:rsid w:val="05D67331"/>
    <w:rsid w:val="05D80FC6"/>
    <w:rsid w:val="05DE071C"/>
    <w:rsid w:val="05E34AD4"/>
    <w:rsid w:val="05E41A4E"/>
    <w:rsid w:val="05E732EC"/>
    <w:rsid w:val="05E836EF"/>
    <w:rsid w:val="05EF03F3"/>
    <w:rsid w:val="05F22FFD"/>
    <w:rsid w:val="05F31C91"/>
    <w:rsid w:val="05F70902"/>
    <w:rsid w:val="05F83EAE"/>
    <w:rsid w:val="05FB5C4F"/>
    <w:rsid w:val="05FC6C80"/>
    <w:rsid w:val="06035C4C"/>
    <w:rsid w:val="060422D9"/>
    <w:rsid w:val="06053772"/>
    <w:rsid w:val="06071298"/>
    <w:rsid w:val="060F45F1"/>
    <w:rsid w:val="060F639F"/>
    <w:rsid w:val="061106F5"/>
    <w:rsid w:val="061340E1"/>
    <w:rsid w:val="0616772D"/>
    <w:rsid w:val="0619721E"/>
    <w:rsid w:val="061D286A"/>
    <w:rsid w:val="061F2A86"/>
    <w:rsid w:val="06222576"/>
    <w:rsid w:val="06255FDE"/>
    <w:rsid w:val="06274B5B"/>
    <w:rsid w:val="062A142B"/>
    <w:rsid w:val="062D71EF"/>
    <w:rsid w:val="062F44FD"/>
    <w:rsid w:val="06355981"/>
    <w:rsid w:val="063A5B78"/>
    <w:rsid w:val="063B6C23"/>
    <w:rsid w:val="063E7D85"/>
    <w:rsid w:val="0642298D"/>
    <w:rsid w:val="064416AA"/>
    <w:rsid w:val="064A658A"/>
    <w:rsid w:val="064B2778"/>
    <w:rsid w:val="064D5098"/>
    <w:rsid w:val="06506D73"/>
    <w:rsid w:val="065169B7"/>
    <w:rsid w:val="06540256"/>
    <w:rsid w:val="06562220"/>
    <w:rsid w:val="065739A5"/>
    <w:rsid w:val="06581AF4"/>
    <w:rsid w:val="065B5A88"/>
    <w:rsid w:val="065D35AE"/>
    <w:rsid w:val="065E2E82"/>
    <w:rsid w:val="06615801"/>
    <w:rsid w:val="06691F53"/>
    <w:rsid w:val="06695AAF"/>
    <w:rsid w:val="067526A6"/>
    <w:rsid w:val="0676641E"/>
    <w:rsid w:val="06767993"/>
    <w:rsid w:val="067F4BD4"/>
    <w:rsid w:val="068154EF"/>
    <w:rsid w:val="06883BEE"/>
    <w:rsid w:val="068B2795"/>
    <w:rsid w:val="068C79F0"/>
    <w:rsid w:val="068E324C"/>
    <w:rsid w:val="068E5516"/>
    <w:rsid w:val="06910EAC"/>
    <w:rsid w:val="069114AA"/>
    <w:rsid w:val="06936FD0"/>
    <w:rsid w:val="06953AB3"/>
    <w:rsid w:val="06A173BE"/>
    <w:rsid w:val="06A27213"/>
    <w:rsid w:val="06A91817"/>
    <w:rsid w:val="06AA135C"/>
    <w:rsid w:val="06AA1A32"/>
    <w:rsid w:val="06AC0685"/>
    <w:rsid w:val="06AC63B9"/>
    <w:rsid w:val="06AD639E"/>
    <w:rsid w:val="06B01930"/>
    <w:rsid w:val="06B37672"/>
    <w:rsid w:val="06B43D0A"/>
    <w:rsid w:val="06B56F46"/>
    <w:rsid w:val="06B65283"/>
    <w:rsid w:val="06B70F10"/>
    <w:rsid w:val="06B71C12"/>
    <w:rsid w:val="06B92D8C"/>
    <w:rsid w:val="06BD0B7D"/>
    <w:rsid w:val="06C17A84"/>
    <w:rsid w:val="06C23411"/>
    <w:rsid w:val="06C67278"/>
    <w:rsid w:val="06C74ECC"/>
    <w:rsid w:val="06C86EDF"/>
    <w:rsid w:val="06CD24E2"/>
    <w:rsid w:val="06CF0127"/>
    <w:rsid w:val="06D10F0F"/>
    <w:rsid w:val="06D118A6"/>
    <w:rsid w:val="06D4158C"/>
    <w:rsid w:val="06D82C35"/>
    <w:rsid w:val="06DC0977"/>
    <w:rsid w:val="06DD2D0D"/>
    <w:rsid w:val="06DE0A81"/>
    <w:rsid w:val="06DF0467"/>
    <w:rsid w:val="06DF5D71"/>
    <w:rsid w:val="06E0210E"/>
    <w:rsid w:val="06E24909"/>
    <w:rsid w:val="06EC5B17"/>
    <w:rsid w:val="06F021D3"/>
    <w:rsid w:val="06F061D0"/>
    <w:rsid w:val="06F37CAA"/>
    <w:rsid w:val="06F52D12"/>
    <w:rsid w:val="06F9132D"/>
    <w:rsid w:val="06FA0DFD"/>
    <w:rsid w:val="06FD08ED"/>
    <w:rsid w:val="06FD1FC1"/>
    <w:rsid w:val="06FE55E6"/>
    <w:rsid w:val="06FF01C2"/>
    <w:rsid w:val="06FF2B5E"/>
    <w:rsid w:val="070048A9"/>
    <w:rsid w:val="07027CB2"/>
    <w:rsid w:val="070677A2"/>
    <w:rsid w:val="070954E4"/>
    <w:rsid w:val="070B6B66"/>
    <w:rsid w:val="070C28DE"/>
    <w:rsid w:val="070C39C0"/>
    <w:rsid w:val="070E32F3"/>
    <w:rsid w:val="070E6657"/>
    <w:rsid w:val="07117EF5"/>
    <w:rsid w:val="071719AF"/>
    <w:rsid w:val="071F0864"/>
    <w:rsid w:val="071F767B"/>
    <w:rsid w:val="0720506B"/>
    <w:rsid w:val="07267E44"/>
    <w:rsid w:val="072916E2"/>
    <w:rsid w:val="07293586"/>
    <w:rsid w:val="07295285"/>
    <w:rsid w:val="072B0FB7"/>
    <w:rsid w:val="072C6ABF"/>
    <w:rsid w:val="072E0AA7"/>
    <w:rsid w:val="072E57F1"/>
    <w:rsid w:val="072E6CF9"/>
    <w:rsid w:val="07320597"/>
    <w:rsid w:val="0737494B"/>
    <w:rsid w:val="073A569E"/>
    <w:rsid w:val="073F24FD"/>
    <w:rsid w:val="073F4A62"/>
    <w:rsid w:val="07413D40"/>
    <w:rsid w:val="07465DF0"/>
    <w:rsid w:val="07487DBA"/>
    <w:rsid w:val="07493558"/>
    <w:rsid w:val="07493C2F"/>
    <w:rsid w:val="074A2213"/>
    <w:rsid w:val="074B5D51"/>
    <w:rsid w:val="074D4734"/>
    <w:rsid w:val="074E34A0"/>
    <w:rsid w:val="074F7CC3"/>
    <w:rsid w:val="0750333E"/>
    <w:rsid w:val="07504EC1"/>
    <w:rsid w:val="07523E38"/>
    <w:rsid w:val="075524D7"/>
    <w:rsid w:val="075852F4"/>
    <w:rsid w:val="075869D1"/>
    <w:rsid w:val="075F5104"/>
    <w:rsid w:val="07636392"/>
    <w:rsid w:val="0765096C"/>
    <w:rsid w:val="076A5F83"/>
    <w:rsid w:val="076B2DCE"/>
    <w:rsid w:val="076C2B3D"/>
    <w:rsid w:val="077010BF"/>
    <w:rsid w:val="07702E6D"/>
    <w:rsid w:val="07770C56"/>
    <w:rsid w:val="0777244E"/>
    <w:rsid w:val="077741FC"/>
    <w:rsid w:val="07794418"/>
    <w:rsid w:val="07797F74"/>
    <w:rsid w:val="07815AB8"/>
    <w:rsid w:val="078466BB"/>
    <w:rsid w:val="078A28AE"/>
    <w:rsid w:val="078B5092"/>
    <w:rsid w:val="078F36DC"/>
    <w:rsid w:val="078F37D7"/>
    <w:rsid w:val="07921036"/>
    <w:rsid w:val="079923C4"/>
    <w:rsid w:val="079D605A"/>
    <w:rsid w:val="079F302D"/>
    <w:rsid w:val="07A12019"/>
    <w:rsid w:val="07A1571D"/>
    <w:rsid w:val="07A174CB"/>
    <w:rsid w:val="07A57739"/>
    <w:rsid w:val="07AF4ECA"/>
    <w:rsid w:val="07B01F6B"/>
    <w:rsid w:val="07B33862"/>
    <w:rsid w:val="07B45450"/>
    <w:rsid w:val="07B7439B"/>
    <w:rsid w:val="07B92A66"/>
    <w:rsid w:val="07BA62B0"/>
    <w:rsid w:val="07BD199F"/>
    <w:rsid w:val="07BD796A"/>
    <w:rsid w:val="07BE62CF"/>
    <w:rsid w:val="07C1191B"/>
    <w:rsid w:val="07C239F7"/>
    <w:rsid w:val="07C66F31"/>
    <w:rsid w:val="07C75005"/>
    <w:rsid w:val="07C9793D"/>
    <w:rsid w:val="07CA36B7"/>
    <w:rsid w:val="07CA6A21"/>
    <w:rsid w:val="07CC710E"/>
    <w:rsid w:val="07CF5DE6"/>
    <w:rsid w:val="07D009B9"/>
    <w:rsid w:val="07D13981"/>
    <w:rsid w:val="07D30A7B"/>
    <w:rsid w:val="07DA2F78"/>
    <w:rsid w:val="07DB0C2F"/>
    <w:rsid w:val="07DB29DD"/>
    <w:rsid w:val="07DB2C0D"/>
    <w:rsid w:val="07DC6755"/>
    <w:rsid w:val="07E0425F"/>
    <w:rsid w:val="07E51AAD"/>
    <w:rsid w:val="07E8334B"/>
    <w:rsid w:val="07EA0E72"/>
    <w:rsid w:val="07EC2E3C"/>
    <w:rsid w:val="07EF0236"/>
    <w:rsid w:val="07F77D7D"/>
    <w:rsid w:val="07FB4E2D"/>
    <w:rsid w:val="08000695"/>
    <w:rsid w:val="08033848"/>
    <w:rsid w:val="08041BB4"/>
    <w:rsid w:val="0808084B"/>
    <w:rsid w:val="080976BA"/>
    <w:rsid w:val="080F08D8"/>
    <w:rsid w:val="08114650"/>
    <w:rsid w:val="08162CBC"/>
    <w:rsid w:val="081D2FF5"/>
    <w:rsid w:val="082223BA"/>
    <w:rsid w:val="08236E3D"/>
    <w:rsid w:val="082371A9"/>
    <w:rsid w:val="082C3238"/>
    <w:rsid w:val="082C4FE6"/>
    <w:rsid w:val="082E5202"/>
    <w:rsid w:val="082E6EF7"/>
    <w:rsid w:val="082F0F7A"/>
    <w:rsid w:val="08314CF2"/>
    <w:rsid w:val="0832500B"/>
    <w:rsid w:val="08397703"/>
    <w:rsid w:val="083D7CC9"/>
    <w:rsid w:val="084073BC"/>
    <w:rsid w:val="0842480A"/>
    <w:rsid w:val="084E22E7"/>
    <w:rsid w:val="084E7652"/>
    <w:rsid w:val="08514A4D"/>
    <w:rsid w:val="08536A17"/>
    <w:rsid w:val="0854159B"/>
    <w:rsid w:val="0858227F"/>
    <w:rsid w:val="0858301A"/>
    <w:rsid w:val="085B58CB"/>
    <w:rsid w:val="085D4452"/>
    <w:rsid w:val="085D7EFB"/>
    <w:rsid w:val="08634780"/>
    <w:rsid w:val="08640C24"/>
    <w:rsid w:val="08670714"/>
    <w:rsid w:val="0869623A"/>
    <w:rsid w:val="086A3D60"/>
    <w:rsid w:val="086E58DD"/>
    <w:rsid w:val="08743B31"/>
    <w:rsid w:val="0879029B"/>
    <w:rsid w:val="08795696"/>
    <w:rsid w:val="087A5175"/>
    <w:rsid w:val="087B5F6E"/>
    <w:rsid w:val="087C2D8F"/>
    <w:rsid w:val="08803584"/>
    <w:rsid w:val="08805332"/>
    <w:rsid w:val="08836BD0"/>
    <w:rsid w:val="08876128"/>
    <w:rsid w:val="088875E7"/>
    <w:rsid w:val="0889068B"/>
    <w:rsid w:val="08922406"/>
    <w:rsid w:val="0895702F"/>
    <w:rsid w:val="089963F4"/>
    <w:rsid w:val="089D4136"/>
    <w:rsid w:val="08A07782"/>
    <w:rsid w:val="08A07B8A"/>
    <w:rsid w:val="08A52C48"/>
    <w:rsid w:val="08A74FB5"/>
    <w:rsid w:val="08A76D63"/>
    <w:rsid w:val="08A90D2D"/>
    <w:rsid w:val="08AC54A4"/>
    <w:rsid w:val="08AE00F1"/>
    <w:rsid w:val="08B103EE"/>
    <w:rsid w:val="08B825DD"/>
    <w:rsid w:val="08BD33F4"/>
    <w:rsid w:val="08BF5E5A"/>
    <w:rsid w:val="08C416C3"/>
    <w:rsid w:val="08C52597"/>
    <w:rsid w:val="08C96CD9"/>
    <w:rsid w:val="08CE2541"/>
    <w:rsid w:val="08D13DE0"/>
    <w:rsid w:val="08D23DD5"/>
    <w:rsid w:val="08D85501"/>
    <w:rsid w:val="08DA5690"/>
    <w:rsid w:val="08DC58E8"/>
    <w:rsid w:val="08E0158A"/>
    <w:rsid w:val="08E4407A"/>
    <w:rsid w:val="08E65ADD"/>
    <w:rsid w:val="08EA43A8"/>
    <w:rsid w:val="08EA450E"/>
    <w:rsid w:val="08EE580E"/>
    <w:rsid w:val="08F0070A"/>
    <w:rsid w:val="08F326DF"/>
    <w:rsid w:val="08F744B4"/>
    <w:rsid w:val="08F8136C"/>
    <w:rsid w:val="08FC1410"/>
    <w:rsid w:val="08FF7E1C"/>
    <w:rsid w:val="09003B9B"/>
    <w:rsid w:val="090137FA"/>
    <w:rsid w:val="09016173"/>
    <w:rsid w:val="090441B5"/>
    <w:rsid w:val="09063A89"/>
    <w:rsid w:val="090650D7"/>
    <w:rsid w:val="09082084"/>
    <w:rsid w:val="090B10A0"/>
    <w:rsid w:val="090B4360"/>
    <w:rsid w:val="090B49DF"/>
    <w:rsid w:val="090C50BD"/>
    <w:rsid w:val="090D12BC"/>
    <w:rsid w:val="0911242E"/>
    <w:rsid w:val="091A6484"/>
    <w:rsid w:val="091D5CDA"/>
    <w:rsid w:val="091E58E7"/>
    <w:rsid w:val="09202B8C"/>
    <w:rsid w:val="092108C3"/>
    <w:rsid w:val="09216B15"/>
    <w:rsid w:val="092217DD"/>
    <w:rsid w:val="092232E8"/>
    <w:rsid w:val="09251AC9"/>
    <w:rsid w:val="09297778"/>
    <w:rsid w:val="092B34F0"/>
    <w:rsid w:val="092B7077"/>
    <w:rsid w:val="092E1A43"/>
    <w:rsid w:val="09306D58"/>
    <w:rsid w:val="09332B79"/>
    <w:rsid w:val="093A7294"/>
    <w:rsid w:val="093B131A"/>
    <w:rsid w:val="094032D2"/>
    <w:rsid w:val="094620D8"/>
    <w:rsid w:val="0947404D"/>
    <w:rsid w:val="094E4CCC"/>
    <w:rsid w:val="095073FA"/>
    <w:rsid w:val="095728C0"/>
    <w:rsid w:val="09577D3C"/>
    <w:rsid w:val="09594501"/>
    <w:rsid w:val="095E1B17"/>
    <w:rsid w:val="095F50ED"/>
    <w:rsid w:val="095F763D"/>
    <w:rsid w:val="09615163"/>
    <w:rsid w:val="09637D54"/>
    <w:rsid w:val="096609CC"/>
    <w:rsid w:val="096667DB"/>
    <w:rsid w:val="096A04BC"/>
    <w:rsid w:val="096B4234"/>
    <w:rsid w:val="096B5FE2"/>
    <w:rsid w:val="096E162E"/>
    <w:rsid w:val="097035F9"/>
    <w:rsid w:val="09775988"/>
    <w:rsid w:val="09776735"/>
    <w:rsid w:val="097924AD"/>
    <w:rsid w:val="09795283"/>
    <w:rsid w:val="097A24A5"/>
    <w:rsid w:val="097B4C27"/>
    <w:rsid w:val="09811FCF"/>
    <w:rsid w:val="09812F1E"/>
    <w:rsid w:val="098175B4"/>
    <w:rsid w:val="098350DA"/>
    <w:rsid w:val="098A46BA"/>
    <w:rsid w:val="098A7951"/>
    <w:rsid w:val="098B21E0"/>
    <w:rsid w:val="098B5F5E"/>
    <w:rsid w:val="09905A49"/>
    <w:rsid w:val="099557CE"/>
    <w:rsid w:val="09963123"/>
    <w:rsid w:val="09970B85"/>
    <w:rsid w:val="09973AFD"/>
    <w:rsid w:val="099C2AD0"/>
    <w:rsid w:val="099E253A"/>
    <w:rsid w:val="09A3752A"/>
    <w:rsid w:val="09A87CBD"/>
    <w:rsid w:val="09AA04A0"/>
    <w:rsid w:val="09AD251A"/>
    <w:rsid w:val="09AD66F7"/>
    <w:rsid w:val="09B2776D"/>
    <w:rsid w:val="09B554AF"/>
    <w:rsid w:val="09B70962"/>
    <w:rsid w:val="09BF1E8A"/>
    <w:rsid w:val="09C120A6"/>
    <w:rsid w:val="09C37BCC"/>
    <w:rsid w:val="09C83435"/>
    <w:rsid w:val="09CD27F9"/>
    <w:rsid w:val="09CD3C8B"/>
    <w:rsid w:val="09CD45A7"/>
    <w:rsid w:val="09D1361A"/>
    <w:rsid w:val="09D37A01"/>
    <w:rsid w:val="09D45935"/>
    <w:rsid w:val="09D60B3B"/>
    <w:rsid w:val="09DA3F01"/>
    <w:rsid w:val="09DB3BBB"/>
    <w:rsid w:val="09DE7E5F"/>
    <w:rsid w:val="09E12241"/>
    <w:rsid w:val="09EB076B"/>
    <w:rsid w:val="09ED2E9B"/>
    <w:rsid w:val="09F204B1"/>
    <w:rsid w:val="09F41F7C"/>
    <w:rsid w:val="09F506BC"/>
    <w:rsid w:val="09F52B06"/>
    <w:rsid w:val="09F558AC"/>
    <w:rsid w:val="09F67AC4"/>
    <w:rsid w:val="09FC6C3A"/>
    <w:rsid w:val="0A035CDE"/>
    <w:rsid w:val="0A0605FC"/>
    <w:rsid w:val="0A0755FA"/>
    <w:rsid w:val="0A083831"/>
    <w:rsid w:val="0A092ADA"/>
    <w:rsid w:val="0A0A57FB"/>
    <w:rsid w:val="0A0C438A"/>
    <w:rsid w:val="0A0E2DF1"/>
    <w:rsid w:val="0A0E459B"/>
    <w:rsid w:val="0A1026E6"/>
    <w:rsid w:val="0A111A1C"/>
    <w:rsid w:val="0A116B8A"/>
    <w:rsid w:val="0A1356F4"/>
    <w:rsid w:val="0A140428"/>
    <w:rsid w:val="0A14667A"/>
    <w:rsid w:val="0A165F4E"/>
    <w:rsid w:val="0A1A2947"/>
    <w:rsid w:val="0A226664"/>
    <w:rsid w:val="0A2368BD"/>
    <w:rsid w:val="0A252635"/>
    <w:rsid w:val="0A256191"/>
    <w:rsid w:val="0A263993"/>
    <w:rsid w:val="0A2756D7"/>
    <w:rsid w:val="0A287A2F"/>
    <w:rsid w:val="0A2A7C4B"/>
    <w:rsid w:val="0A2C39C3"/>
    <w:rsid w:val="0A2C751F"/>
    <w:rsid w:val="0A2D14EA"/>
    <w:rsid w:val="0A2D3AC2"/>
    <w:rsid w:val="0A2F212A"/>
    <w:rsid w:val="0A2F5262"/>
    <w:rsid w:val="0A300FF7"/>
    <w:rsid w:val="0A305844"/>
    <w:rsid w:val="0A353D9E"/>
    <w:rsid w:val="0A36214C"/>
    <w:rsid w:val="0A374116"/>
    <w:rsid w:val="0A3D472E"/>
    <w:rsid w:val="0A403400"/>
    <w:rsid w:val="0A456833"/>
    <w:rsid w:val="0A4A5BF8"/>
    <w:rsid w:val="0A4D56E8"/>
    <w:rsid w:val="0A4E393A"/>
    <w:rsid w:val="0A4E56B3"/>
    <w:rsid w:val="0A4F1714"/>
    <w:rsid w:val="0A4F76B2"/>
    <w:rsid w:val="0A51342A"/>
    <w:rsid w:val="0A513888"/>
    <w:rsid w:val="0A51425D"/>
    <w:rsid w:val="0A540824"/>
    <w:rsid w:val="0A570314"/>
    <w:rsid w:val="0A575654"/>
    <w:rsid w:val="0A5F7F8F"/>
    <w:rsid w:val="0A6273E5"/>
    <w:rsid w:val="0A6D18E6"/>
    <w:rsid w:val="0A6F0705"/>
    <w:rsid w:val="0A700476"/>
    <w:rsid w:val="0A764C3F"/>
    <w:rsid w:val="0A76671F"/>
    <w:rsid w:val="0A7669ED"/>
    <w:rsid w:val="0A7809B7"/>
    <w:rsid w:val="0A79028B"/>
    <w:rsid w:val="0A7A14EC"/>
    <w:rsid w:val="0A7D4664"/>
    <w:rsid w:val="0A7D5FCD"/>
    <w:rsid w:val="0A7E3051"/>
    <w:rsid w:val="0A7F7F97"/>
    <w:rsid w:val="0A856C30"/>
    <w:rsid w:val="0A895365"/>
    <w:rsid w:val="0A8A6AF0"/>
    <w:rsid w:val="0A8E2DE3"/>
    <w:rsid w:val="0A8F3B95"/>
    <w:rsid w:val="0A9A26C8"/>
    <w:rsid w:val="0AA03A6A"/>
    <w:rsid w:val="0AA4745A"/>
    <w:rsid w:val="0AA74DF8"/>
    <w:rsid w:val="0AA755DF"/>
    <w:rsid w:val="0AA96DC2"/>
    <w:rsid w:val="0AAA2F31"/>
    <w:rsid w:val="0AAB4C3F"/>
    <w:rsid w:val="0AAC35CD"/>
    <w:rsid w:val="0AAD0CA0"/>
    <w:rsid w:val="0AAE1DC2"/>
    <w:rsid w:val="0AB063A2"/>
    <w:rsid w:val="0AB13EC9"/>
    <w:rsid w:val="0AB17A25"/>
    <w:rsid w:val="0AB35FA2"/>
    <w:rsid w:val="0AB45767"/>
    <w:rsid w:val="0AB83AA5"/>
    <w:rsid w:val="0ABA0FCF"/>
    <w:rsid w:val="0ABA2D7D"/>
    <w:rsid w:val="0ABB2844"/>
    <w:rsid w:val="0ABB6AF5"/>
    <w:rsid w:val="0ABC5BC4"/>
    <w:rsid w:val="0ABD0ABF"/>
    <w:rsid w:val="0AC459AA"/>
    <w:rsid w:val="0AC53267"/>
    <w:rsid w:val="0AC7549A"/>
    <w:rsid w:val="0AC75BC2"/>
    <w:rsid w:val="0AC84167"/>
    <w:rsid w:val="0ACB4F8A"/>
    <w:rsid w:val="0AD23ADB"/>
    <w:rsid w:val="0AD32091"/>
    <w:rsid w:val="0AD33E3F"/>
    <w:rsid w:val="0AD656DD"/>
    <w:rsid w:val="0AD876A7"/>
    <w:rsid w:val="0ADA341F"/>
    <w:rsid w:val="0ADE7FCB"/>
    <w:rsid w:val="0AE0030A"/>
    <w:rsid w:val="0AE03629"/>
    <w:rsid w:val="0AE20526"/>
    <w:rsid w:val="0AE5475F"/>
    <w:rsid w:val="0AE722C1"/>
    <w:rsid w:val="0AEC7FF8"/>
    <w:rsid w:val="0AED6133"/>
    <w:rsid w:val="0AEE0C79"/>
    <w:rsid w:val="0AEE6B75"/>
    <w:rsid w:val="0AF05081"/>
    <w:rsid w:val="0AF12517"/>
    <w:rsid w:val="0AF65D7F"/>
    <w:rsid w:val="0AF70675"/>
    <w:rsid w:val="0AF838A6"/>
    <w:rsid w:val="0AFA761E"/>
    <w:rsid w:val="0AFB22B5"/>
    <w:rsid w:val="0B020FA1"/>
    <w:rsid w:val="0B0C635A"/>
    <w:rsid w:val="0B0C7351"/>
    <w:rsid w:val="0B0D45F9"/>
    <w:rsid w:val="0B0E30C9"/>
    <w:rsid w:val="0B0E42E3"/>
    <w:rsid w:val="0B106E41"/>
    <w:rsid w:val="0B1168A5"/>
    <w:rsid w:val="0B120D44"/>
    <w:rsid w:val="0B161F7E"/>
    <w:rsid w:val="0B1E3145"/>
    <w:rsid w:val="0B1F0E32"/>
    <w:rsid w:val="0B1F63F1"/>
    <w:rsid w:val="0B2016C1"/>
    <w:rsid w:val="0B204BAA"/>
    <w:rsid w:val="0B2367DA"/>
    <w:rsid w:val="0B25095B"/>
    <w:rsid w:val="0B2522D8"/>
    <w:rsid w:val="0B2662C4"/>
    <w:rsid w:val="0B297F03"/>
    <w:rsid w:val="0B2A0C0A"/>
    <w:rsid w:val="0B3568A8"/>
    <w:rsid w:val="0B3626D0"/>
    <w:rsid w:val="0B386935"/>
    <w:rsid w:val="0B3A00B3"/>
    <w:rsid w:val="0B3A2110"/>
    <w:rsid w:val="0B3D750A"/>
    <w:rsid w:val="0B4357EB"/>
    <w:rsid w:val="0B4821A6"/>
    <w:rsid w:val="0B505490"/>
    <w:rsid w:val="0B50664A"/>
    <w:rsid w:val="0B57681E"/>
    <w:rsid w:val="0B5C2086"/>
    <w:rsid w:val="0B5C5BE2"/>
    <w:rsid w:val="0B5F1B77"/>
    <w:rsid w:val="0B5F56D3"/>
    <w:rsid w:val="0B6131F9"/>
    <w:rsid w:val="0B6751C7"/>
    <w:rsid w:val="0B6A2548"/>
    <w:rsid w:val="0B6B0CBD"/>
    <w:rsid w:val="0B6D684F"/>
    <w:rsid w:val="0B73117E"/>
    <w:rsid w:val="0B732F2C"/>
    <w:rsid w:val="0B742082"/>
    <w:rsid w:val="0B763970"/>
    <w:rsid w:val="0B7A69B0"/>
    <w:rsid w:val="0B7D1FFD"/>
    <w:rsid w:val="0B7F5D75"/>
    <w:rsid w:val="0B81225D"/>
    <w:rsid w:val="0B834121"/>
    <w:rsid w:val="0B8561A2"/>
    <w:rsid w:val="0B8B471A"/>
    <w:rsid w:val="0B8B64C8"/>
    <w:rsid w:val="0B8D0851"/>
    <w:rsid w:val="0B8E5FB8"/>
    <w:rsid w:val="0B901D30"/>
    <w:rsid w:val="0B91608F"/>
    <w:rsid w:val="0B9273F9"/>
    <w:rsid w:val="0B94187A"/>
    <w:rsid w:val="0B957346"/>
    <w:rsid w:val="0B9B2716"/>
    <w:rsid w:val="0B9B379E"/>
    <w:rsid w:val="0BA15CEB"/>
    <w:rsid w:val="0BA96923"/>
    <w:rsid w:val="0BAA5B77"/>
    <w:rsid w:val="0BAB6B6A"/>
    <w:rsid w:val="0BAD5B4C"/>
    <w:rsid w:val="0BB04180"/>
    <w:rsid w:val="0BB27EF8"/>
    <w:rsid w:val="0BB35A1E"/>
    <w:rsid w:val="0BB377CC"/>
    <w:rsid w:val="0BB772BD"/>
    <w:rsid w:val="0BBA0B5B"/>
    <w:rsid w:val="0BBC0D77"/>
    <w:rsid w:val="0BBF6171"/>
    <w:rsid w:val="0BC220E8"/>
    <w:rsid w:val="0BC41A42"/>
    <w:rsid w:val="0BC73640"/>
    <w:rsid w:val="0BCB2D68"/>
    <w:rsid w:val="0BCC35FC"/>
    <w:rsid w:val="0BD27BF6"/>
    <w:rsid w:val="0BD465DB"/>
    <w:rsid w:val="0BD51E39"/>
    <w:rsid w:val="0BD52526"/>
    <w:rsid w:val="0BD87766"/>
    <w:rsid w:val="0BDA2FAB"/>
    <w:rsid w:val="0BDF2B65"/>
    <w:rsid w:val="0BE20898"/>
    <w:rsid w:val="0BE90522"/>
    <w:rsid w:val="0BE91440"/>
    <w:rsid w:val="0BEB285A"/>
    <w:rsid w:val="0BEC2BDA"/>
    <w:rsid w:val="0BED13C8"/>
    <w:rsid w:val="0BEF2EFA"/>
    <w:rsid w:val="0BEF6A57"/>
    <w:rsid w:val="0BF00A21"/>
    <w:rsid w:val="0BF202F5"/>
    <w:rsid w:val="0BF45906"/>
    <w:rsid w:val="0BFE4EEC"/>
    <w:rsid w:val="0BFE6C9A"/>
    <w:rsid w:val="0BFF571F"/>
    <w:rsid w:val="0C000C64"/>
    <w:rsid w:val="0C022F4C"/>
    <w:rsid w:val="0C083FBC"/>
    <w:rsid w:val="0C0A2A54"/>
    <w:rsid w:val="0C0E410A"/>
    <w:rsid w:val="0C112E71"/>
    <w:rsid w:val="0C120997"/>
    <w:rsid w:val="0C142961"/>
    <w:rsid w:val="0C177D5B"/>
    <w:rsid w:val="0C19464F"/>
    <w:rsid w:val="0C1B20EA"/>
    <w:rsid w:val="0C1B6630"/>
    <w:rsid w:val="0C1D6572"/>
    <w:rsid w:val="0C1E0271"/>
    <w:rsid w:val="0C1E10EA"/>
    <w:rsid w:val="0C1F2AF1"/>
    <w:rsid w:val="0C1F456F"/>
    <w:rsid w:val="0C201306"/>
    <w:rsid w:val="0C2A0BF5"/>
    <w:rsid w:val="0C2B1A59"/>
    <w:rsid w:val="0C2B3807"/>
    <w:rsid w:val="0C300E1D"/>
    <w:rsid w:val="0C337593"/>
    <w:rsid w:val="0C342F6F"/>
    <w:rsid w:val="0C3721AC"/>
    <w:rsid w:val="0C394176"/>
    <w:rsid w:val="0C3B3C7D"/>
    <w:rsid w:val="0C3D3146"/>
    <w:rsid w:val="0C3D45A5"/>
    <w:rsid w:val="0C3E55C0"/>
    <w:rsid w:val="0C3E6914"/>
    <w:rsid w:val="0C403756"/>
    <w:rsid w:val="0C41302A"/>
    <w:rsid w:val="0C4274CE"/>
    <w:rsid w:val="0C460641"/>
    <w:rsid w:val="0C463D77"/>
    <w:rsid w:val="0C472848"/>
    <w:rsid w:val="0C490B1F"/>
    <w:rsid w:val="0C4A375E"/>
    <w:rsid w:val="0C4D7C21"/>
    <w:rsid w:val="0C4F6BDA"/>
    <w:rsid w:val="0C51597A"/>
    <w:rsid w:val="0C570294"/>
    <w:rsid w:val="0C5728BC"/>
    <w:rsid w:val="0C5B233E"/>
    <w:rsid w:val="0C5B757D"/>
    <w:rsid w:val="0C673DCB"/>
    <w:rsid w:val="0C6B7D9C"/>
    <w:rsid w:val="0C6D1992"/>
    <w:rsid w:val="0C6F2896"/>
    <w:rsid w:val="0C711231"/>
    <w:rsid w:val="0C71552C"/>
    <w:rsid w:val="0C743400"/>
    <w:rsid w:val="0C7A7DCD"/>
    <w:rsid w:val="0C7C7FF7"/>
    <w:rsid w:val="0C7E427E"/>
    <w:rsid w:val="0C851169"/>
    <w:rsid w:val="0C863C88"/>
    <w:rsid w:val="0C874EE1"/>
    <w:rsid w:val="0C896A04"/>
    <w:rsid w:val="0C910D8D"/>
    <w:rsid w:val="0C943AA2"/>
    <w:rsid w:val="0C945F8F"/>
    <w:rsid w:val="0C9615C8"/>
    <w:rsid w:val="0C963376"/>
    <w:rsid w:val="0C974BFF"/>
    <w:rsid w:val="0CA02447"/>
    <w:rsid w:val="0CA041F5"/>
    <w:rsid w:val="0CA05B8A"/>
    <w:rsid w:val="0CA05FA3"/>
    <w:rsid w:val="0CA06937"/>
    <w:rsid w:val="0CA2749F"/>
    <w:rsid w:val="0CA75583"/>
    <w:rsid w:val="0CA830A9"/>
    <w:rsid w:val="0CA962B7"/>
    <w:rsid w:val="0CAB2EAE"/>
    <w:rsid w:val="0CAB4505"/>
    <w:rsid w:val="0CAD246E"/>
    <w:rsid w:val="0CAD6CBA"/>
    <w:rsid w:val="0CB46C6B"/>
    <w:rsid w:val="0CB734C2"/>
    <w:rsid w:val="0CB97065"/>
    <w:rsid w:val="0CBB4B8B"/>
    <w:rsid w:val="0CBE2103"/>
    <w:rsid w:val="0CBE28CD"/>
    <w:rsid w:val="0CBE3ADF"/>
    <w:rsid w:val="0CC06645"/>
    <w:rsid w:val="0CC46135"/>
    <w:rsid w:val="0CC6648D"/>
    <w:rsid w:val="0CC931E9"/>
    <w:rsid w:val="0CCA634C"/>
    <w:rsid w:val="0CCA74C4"/>
    <w:rsid w:val="0CCB5BAD"/>
    <w:rsid w:val="0CCB6B37"/>
    <w:rsid w:val="0CCE588D"/>
    <w:rsid w:val="0CD345CA"/>
    <w:rsid w:val="0CDD0FA5"/>
    <w:rsid w:val="0CDE3A47"/>
    <w:rsid w:val="0CE95A3D"/>
    <w:rsid w:val="0CEA36C2"/>
    <w:rsid w:val="0CEC74C9"/>
    <w:rsid w:val="0CEE4F60"/>
    <w:rsid w:val="0CF12CA2"/>
    <w:rsid w:val="0CF32131"/>
    <w:rsid w:val="0CF613D9"/>
    <w:rsid w:val="0CFB58CF"/>
    <w:rsid w:val="0CFF0F1B"/>
    <w:rsid w:val="0CFF53BF"/>
    <w:rsid w:val="0CFF66CC"/>
    <w:rsid w:val="0D0A1317"/>
    <w:rsid w:val="0D0C188A"/>
    <w:rsid w:val="0D14139C"/>
    <w:rsid w:val="0D161E61"/>
    <w:rsid w:val="0D164A0E"/>
    <w:rsid w:val="0D1745B3"/>
    <w:rsid w:val="0D1B1BBB"/>
    <w:rsid w:val="0D1B387B"/>
    <w:rsid w:val="0D241B28"/>
    <w:rsid w:val="0D2B7F62"/>
    <w:rsid w:val="0D2C37C9"/>
    <w:rsid w:val="0D2C5A88"/>
    <w:rsid w:val="0D2C7836"/>
    <w:rsid w:val="0D314E4D"/>
    <w:rsid w:val="0D350DE1"/>
    <w:rsid w:val="0D363F3D"/>
    <w:rsid w:val="0D366907"/>
    <w:rsid w:val="0D38267F"/>
    <w:rsid w:val="0D3B3F1D"/>
    <w:rsid w:val="0D3D5EE8"/>
    <w:rsid w:val="0D3F07C8"/>
    <w:rsid w:val="0D4032E2"/>
    <w:rsid w:val="0D4252AC"/>
    <w:rsid w:val="0D442DD2"/>
    <w:rsid w:val="0D4728C2"/>
    <w:rsid w:val="0D4E21F9"/>
    <w:rsid w:val="0D5154EF"/>
    <w:rsid w:val="0D570D57"/>
    <w:rsid w:val="0D585E47"/>
    <w:rsid w:val="0D5A03EC"/>
    <w:rsid w:val="0D5A43A4"/>
    <w:rsid w:val="0D5D3E94"/>
    <w:rsid w:val="0D611BD6"/>
    <w:rsid w:val="0D613984"/>
    <w:rsid w:val="0D621C7D"/>
    <w:rsid w:val="0D635451"/>
    <w:rsid w:val="0D645222"/>
    <w:rsid w:val="0D660F9A"/>
    <w:rsid w:val="0D662D48"/>
    <w:rsid w:val="0D6671EC"/>
    <w:rsid w:val="0D674D12"/>
    <w:rsid w:val="0D6E21C2"/>
    <w:rsid w:val="0D6E51A3"/>
    <w:rsid w:val="0D6E7E4F"/>
    <w:rsid w:val="0D701E19"/>
    <w:rsid w:val="0D775AA1"/>
    <w:rsid w:val="0D7A146F"/>
    <w:rsid w:val="0D7A17DA"/>
    <w:rsid w:val="0D7C256C"/>
    <w:rsid w:val="0D7D4634"/>
    <w:rsid w:val="0D815336"/>
    <w:rsid w:val="0D821B4C"/>
    <w:rsid w:val="0D8256A8"/>
    <w:rsid w:val="0D847289"/>
    <w:rsid w:val="0D8633EB"/>
    <w:rsid w:val="0D87687F"/>
    <w:rsid w:val="0D8A245E"/>
    <w:rsid w:val="0D8B7595"/>
    <w:rsid w:val="0D8D55CF"/>
    <w:rsid w:val="0D8D61C7"/>
    <w:rsid w:val="0D961154"/>
    <w:rsid w:val="0D9773A6"/>
    <w:rsid w:val="0D993821"/>
    <w:rsid w:val="0DA33F9D"/>
    <w:rsid w:val="0DA73361"/>
    <w:rsid w:val="0DAD0977"/>
    <w:rsid w:val="0DAD6BC9"/>
    <w:rsid w:val="0DB015BF"/>
    <w:rsid w:val="0DB02216"/>
    <w:rsid w:val="0DB066B9"/>
    <w:rsid w:val="0DB22432"/>
    <w:rsid w:val="0DB77A48"/>
    <w:rsid w:val="0DB85422"/>
    <w:rsid w:val="0DBC6E0C"/>
    <w:rsid w:val="0DBE0DD6"/>
    <w:rsid w:val="0DBF4B4E"/>
    <w:rsid w:val="0DC3421D"/>
    <w:rsid w:val="0DC45CC1"/>
    <w:rsid w:val="0DC83A03"/>
    <w:rsid w:val="0DC877EB"/>
    <w:rsid w:val="0DC9777B"/>
    <w:rsid w:val="0DCC386E"/>
    <w:rsid w:val="0DCD2DC7"/>
    <w:rsid w:val="0DCD4B64"/>
    <w:rsid w:val="0DD00B0A"/>
    <w:rsid w:val="0DDC300B"/>
    <w:rsid w:val="0DE01F1A"/>
    <w:rsid w:val="0DE10795"/>
    <w:rsid w:val="0DE6032D"/>
    <w:rsid w:val="0DE85E53"/>
    <w:rsid w:val="0DEE39B4"/>
    <w:rsid w:val="0DF30354"/>
    <w:rsid w:val="0DF465A6"/>
    <w:rsid w:val="0DF742E8"/>
    <w:rsid w:val="0DF93BBD"/>
    <w:rsid w:val="0E03312C"/>
    <w:rsid w:val="0E0367E9"/>
    <w:rsid w:val="0E0407B3"/>
    <w:rsid w:val="0E06452B"/>
    <w:rsid w:val="0E0662D9"/>
    <w:rsid w:val="0E0A5DCA"/>
    <w:rsid w:val="0E122ED0"/>
    <w:rsid w:val="0E1603DD"/>
    <w:rsid w:val="0E1651AA"/>
    <w:rsid w:val="0E1A314B"/>
    <w:rsid w:val="0E1F1149"/>
    <w:rsid w:val="0E213113"/>
    <w:rsid w:val="0E21650D"/>
    <w:rsid w:val="0E270EE5"/>
    <w:rsid w:val="0E29465B"/>
    <w:rsid w:val="0E294B7B"/>
    <w:rsid w:val="0E2A1FC8"/>
    <w:rsid w:val="0E2B3F92"/>
    <w:rsid w:val="0E2D1AB8"/>
    <w:rsid w:val="0E305629"/>
    <w:rsid w:val="0E316003"/>
    <w:rsid w:val="0E331A39"/>
    <w:rsid w:val="0E3C7F4D"/>
    <w:rsid w:val="0E403A8B"/>
    <w:rsid w:val="0E433DCE"/>
    <w:rsid w:val="0E45220C"/>
    <w:rsid w:val="0E462B7A"/>
    <w:rsid w:val="0E49753B"/>
    <w:rsid w:val="0E4C6DDF"/>
    <w:rsid w:val="0E4E5C66"/>
    <w:rsid w:val="0E4F1A2E"/>
    <w:rsid w:val="0E5057A7"/>
    <w:rsid w:val="0E511C4A"/>
    <w:rsid w:val="0E5238ED"/>
    <w:rsid w:val="0E526D1E"/>
    <w:rsid w:val="0E534B9F"/>
    <w:rsid w:val="0E552CDA"/>
    <w:rsid w:val="0E552DBD"/>
    <w:rsid w:val="0E593927"/>
    <w:rsid w:val="0E5A44C6"/>
    <w:rsid w:val="0E5D2BF2"/>
    <w:rsid w:val="0E6059EA"/>
    <w:rsid w:val="0E6548C0"/>
    <w:rsid w:val="0E675CD8"/>
    <w:rsid w:val="0E686F94"/>
    <w:rsid w:val="0E6F20D1"/>
    <w:rsid w:val="0E6F3E7F"/>
    <w:rsid w:val="0E73034D"/>
    <w:rsid w:val="0E7771D7"/>
    <w:rsid w:val="0E794CFD"/>
    <w:rsid w:val="0E7B0A75"/>
    <w:rsid w:val="0E7E2314"/>
    <w:rsid w:val="0E8A6F0A"/>
    <w:rsid w:val="0E8F62CF"/>
    <w:rsid w:val="0E9061BF"/>
    <w:rsid w:val="0E924011"/>
    <w:rsid w:val="0E96765D"/>
    <w:rsid w:val="0E9D572D"/>
    <w:rsid w:val="0EA12418"/>
    <w:rsid w:val="0EA53D44"/>
    <w:rsid w:val="0EA67017"/>
    <w:rsid w:val="0EA75E01"/>
    <w:rsid w:val="0EAB22DF"/>
    <w:rsid w:val="0EAE0E4B"/>
    <w:rsid w:val="0EAF24CD"/>
    <w:rsid w:val="0EAF2A15"/>
    <w:rsid w:val="0EB319AA"/>
    <w:rsid w:val="0EB3582B"/>
    <w:rsid w:val="0EB36461"/>
    <w:rsid w:val="0EBD5965"/>
    <w:rsid w:val="0EC30C8F"/>
    <w:rsid w:val="0EC40054"/>
    <w:rsid w:val="0EC63CAC"/>
    <w:rsid w:val="0EC853E9"/>
    <w:rsid w:val="0EC87A33"/>
    <w:rsid w:val="0ECB7F63"/>
    <w:rsid w:val="0ECF57B3"/>
    <w:rsid w:val="0ED32660"/>
    <w:rsid w:val="0ED46862"/>
    <w:rsid w:val="0ED6529C"/>
    <w:rsid w:val="0ED72849"/>
    <w:rsid w:val="0ED94142"/>
    <w:rsid w:val="0EDC4568"/>
    <w:rsid w:val="0EE037F8"/>
    <w:rsid w:val="0EE16A6A"/>
    <w:rsid w:val="0EE24DFF"/>
    <w:rsid w:val="0EE26D46"/>
    <w:rsid w:val="0EE7610B"/>
    <w:rsid w:val="0EEA1757"/>
    <w:rsid w:val="0EED1247"/>
    <w:rsid w:val="0EF82781"/>
    <w:rsid w:val="0EF83E74"/>
    <w:rsid w:val="0EFA4090"/>
    <w:rsid w:val="0EFD592E"/>
    <w:rsid w:val="0F0673BF"/>
    <w:rsid w:val="0F095358"/>
    <w:rsid w:val="0F0F11BE"/>
    <w:rsid w:val="0F0F7410"/>
    <w:rsid w:val="0F106A88"/>
    <w:rsid w:val="0F113188"/>
    <w:rsid w:val="0F13775A"/>
    <w:rsid w:val="0F140720"/>
    <w:rsid w:val="0F1862C4"/>
    <w:rsid w:val="0F230706"/>
    <w:rsid w:val="0F234C69"/>
    <w:rsid w:val="0F255E8D"/>
    <w:rsid w:val="0F260D7E"/>
    <w:rsid w:val="0F277D6F"/>
    <w:rsid w:val="0F2F5EE9"/>
    <w:rsid w:val="0F3020DD"/>
    <w:rsid w:val="0F307AB2"/>
    <w:rsid w:val="0F3B3395"/>
    <w:rsid w:val="0F3B750B"/>
    <w:rsid w:val="0F3C00EC"/>
    <w:rsid w:val="0F3D3F7D"/>
    <w:rsid w:val="0F3F5F47"/>
    <w:rsid w:val="0F451083"/>
    <w:rsid w:val="0F4B3A9A"/>
    <w:rsid w:val="0F4E7F7D"/>
    <w:rsid w:val="0F522D71"/>
    <w:rsid w:val="0F52658A"/>
    <w:rsid w:val="0F5372FC"/>
    <w:rsid w:val="0F5512C6"/>
    <w:rsid w:val="0F5534E6"/>
    <w:rsid w:val="0F557518"/>
    <w:rsid w:val="0F5D017B"/>
    <w:rsid w:val="0F5D461F"/>
    <w:rsid w:val="0F5D69AE"/>
    <w:rsid w:val="0F5F45FE"/>
    <w:rsid w:val="0F657D11"/>
    <w:rsid w:val="0F670FFA"/>
    <w:rsid w:val="0F68332B"/>
    <w:rsid w:val="0F6A7266"/>
    <w:rsid w:val="0F6E05DA"/>
    <w:rsid w:val="0F6F1CEA"/>
    <w:rsid w:val="0F73799F"/>
    <w:rsid w:val="0F751969"/>
    <w:rsid w:val="0F784FB5"/>
    <w:rsid w:val="0F7A2ADB"/>
    <w:rsid w:val="0F7B4AA5"/>
    <w:rsid w:val="0F7D01F2"/>
    <w:rsid w:val="0F7D5F98"/>
    <w:rsid w:val="0F8B4D0B"/>
    <w:rsid w:val="0F8D2DA2"/>
    <w:rsid w:val="0F8E6586"/>
    <w:rsid w:val="0F93288F"/>
    <w:rsid w:val="0F955B67"/>
    <w:rsid w:val="0F98145F"/>
    <w:rsid w:val="0F9A112B"/>
    <w:rsid w:val="0F9C1270"/>
    <w:rsid w:val="0FAB7998"/>
    <w:rsid w:val="0FAE4E7B"/>
    <w:rsid w:val="0FB12275"/>
    <w:rsid w:val="0FB35FED"/>
    <w:rsid w:val="0FB474F6"/>
    <w:rsid w:val="0FB8027B"/>
    <w:rsid w:val="0FB87AA7"/>
    <w:rsid w:val="0FBA381F"/>
    <w:rsid w:val="0FBD50BE"/>
    <w:rsid w:val="0FBF0E36"/>
    <w:rsid w:val="0FBF6BD6"/>
    <w:rsid w:val="0FC1559D"/>
    <w:rsid w:val="0FC6075F"/>
    <w:rsid w:val="0FC65D20"/>
    <w:rsid w:val="0FC83564"/>
    <w:rsid w:val="0FC954E5"/>
    <w:rsid w:val="0FCA3F11"/>
    <w:rsid w:val="0FCB1589"/>
    <w:rsid w:val="0FCD5301"/>
    <w:rsid w:val="0FD26F25"/>
    <w:rsid w:val="0FD83CA6"/>
    <w:rsid w:val="0FDE750E"/>
    <w:rsid w:val="0FDF6DE2"/>
    <w:rsid w:val="0FE32D76"/>
    <w:rsid w:val="0FE97C61"/>
    <w:rsid w:val="0FEE51C5"/>
    <w:rsid w:val="0FF24D67"/>
    <w:rsid w:val="0FFC213A"/>
    <w:rsid w:val="0FFE26FE"/>
    <w:rsid w:val="0FFF1232"/>
    <w:rsid w:val="10043F3E"/>
    <w:rsid w:val="10054A19"/>
    <w:rsid w:val="10086339"/>
    <w:rsid w:val="100D394F"/>
    <w:rsid w:val="100E1475"/>
    <w:rsid w:val="10101691"/>
    <w:rsid w:val="101175B4"/>
    <w:rsid w:val="10120F66"/>
    <w:rsid w:val="1016361E"/>
    <w:rsid w:val="101741BD"/>
    <w:rsid w:val="101A62D4"/>
    <w:rsid w:val="101C1DE4"/>
    <w:rsid w:val="101E7BF6"/>
    <w:rsid w:val="10240C99"/>
    <w:rsid w:val="10246EEB"/>
    <w:rsid w:val="102654BF"/>
    <w:rsid w:val="102B0279"/>
    <w:rsid w:val="102E2215"/>
    <w:rsid w:val="102F7D69"/>
    <w:rsid w:val="10316966"/>
    <w:rsid w:val="103412D0"/>
    <w:rsid w:val="104135F9"/>
    <w:rsid w:val="10437371"/>
    <w:rsid w:val="10453C82"/>
    <w:rsid w:val="10480E2B"/>
    <w:rsid w:val="1049590D"/>
    <w:rsid w:val="104A29F1"/>
    <w:rsid w:val="104E5D16"/>
    <w:rsid w:val="10550ADA"/>
    <w:rsid w:val="1057106E"/>
    <w:rsid w:val="105A3633"/>
    <w:rsid w:val="105B677D"/>
    <w:rsid w:val="105C0433"/>
    <w:rsid w:val="106169ED"/>
    <w:rsid w:val="10641BBC"/>
    <w:rsid w:val="10686DD7"/>
    <w:rsid w:val="106D2F64"/>
    <w:rsid w:val="10726B00"/>
    <w:rsid w:val="10786DDB"/>
    <w:rsid w:val="107B032D"/>
    <w:rsid w:val="107D1AA2"/>
    <w:rsid w:val="108160EB"/>
    <w:rsid w:val="10831E63"/>
    <w:rsid w:val="10860A2F"/>
    <w:rsid w:val="108837EA"/>
    <w:rsid w:val="10885DA0"/>
    <w:rsid w:val="108A4FA0"/>
    <w:rsid w:val="108B685B"/>
    <w:rsid w:val="108C0BF0"/>
    <w:rsid w:val="108C51BC"/>
    <w:rsid w:val="108C6F6A"/>
    <w:rsid w:val="108D53D8"/>
    <w:rsid w:val="108F6A5A"/>
    <w:rsid w:val="10915F18"/>
    <w:rsid w:val="10945E1E"/>
    <w:rsid w:val="10967DE9"/>
    <w:rsid w:val="1097590F"/>
    <w:rsid w:val="109951E3"/>
    <w:rsid w:val="109B71AD"/>
    <w:rsid w:val="109E0A4B"/>
    <w:rsid w:val="10A0388D"/>
    <w:rsid w:val="10A13C93"/>
    <w:rsid w:val="10A65870"/>
    <w:rsid w:val="10AD7440"/>
    <w:rsid w:val="10AF2496"/>
    <w:rsid w:val="10B459E4"/>
    <w:rsid w:val="10B63710"/>
    <w:rsid w:val="10B65D95"/>
    <w:rsid w:val="10BB47E2"/>
    <w:rsid w:val="10BF67B2"/>
    <w:rsid w:val="10C66FE1"/>
    <w:rsid w:val="10C81F6C"/>
    <w:rsid w:val="10CA1840"/>
    <w:rsid w:val="10CD7582"/>
    <w:rsid w:val="10CF6478"/>
    <w:rsid w:val="10D10E21"/>
    <w:rsid w:val="10D12BCF"/>
    <w:rsid w:val="10D26327"/>
    <w:rsid w:val="10D32C41"/>
    <w:rsid w:val="10D425EB"/>
    <w:rsid w:val="10D60C48"/>
    <w:rsid w:val="10D821AF"/>
    <w:rsid w:val="10D83E1C"/>
    <w:rsid w:val="10D91A83"/>
    <w:rsid w:val="10DB3A4D"/>
    <w:rsid w:val="10DE52EC"/>
    <w:rsid w:val="10E24DDC"/>
    <w:rsid w:val="10E32902"/>
    <w:rsid w:val="10E4178E"/>
    <w:rsid w:val="10E42DD5"/>
    <w:rsid w:val="10E45A56"/>
    <w:rsid w:val="10E50428"/>
    <w:rsid w:val="10E70644"/>
    <w:rsid w:val="10EC17B7"/>
    <w:rsid w:val="10EC4BB8"/>
    <w:rsid w:val="10EE19D3"/>
    <w:rsid w:val="10F10820"/>
    <w:rsid w:val="10F13271"/>
    <w:rsid w:val="10F62635"/>
    <w:rsid w:val="10F819E6"/>
    <w:rsid w:val="10F93ED3"/>
    <w:rsid w:val="10FA0A8C"/>
    <w:rsid w:val="10FA47CF"/>
    <w:rsid w:val="10FB37AB"/>
    <w:rsid w:val="10FB7C4C"/>
    <w:rsid w:val="10FE14EA"/>
    <w:rsid w:val="11020FDA"/>
    <w:rsid w:val="11036B00"/>
    <w:rsid w:val="11037CFB"/>
    <w:rsid w:val="110912E2"/>
    <w:rsid w:val="1109680C"/>
    <w:rsid w:val="110A4333"/>
    <w:rsid w:val="1110283E"/>
    <w:rsid w:val="1111334E"/>
    <w:rsid w:val="11150F0E"/>
    <w:rsid w:val="111629CD"/>
    <w:rsid w:val="11164A85"/>
    <w:rsid w:val="11166833"/>
    <w:rsid w:val="11194576"/>
    <w:rsid w:val="111B02EE"/>
    <w:rsid w:val="111C2F7A"/>
    <w:rsid w:val="111F7DDE"/>
    <w:rsid w:val="112076B2"/>
    <w:rsid w:val="1122167C"/>
    <w:rsid w:val="112478D7"/>
    <w:rsid w:val="11252F1A"/>
    <w:rsid w:val="112631E6"/>
    <w:rsid w:val="11266BAE"/>
    <w:rsid w:val="11282876"/>
    <w:rsid w:val="112A22DF"/>
    <w:rsid w:val="112A3B0C"/>
    <w:rsid w:val="112C6057"/>
    <w:rsid w:val="11317039"/>
    <w:rsid w:val="11317B11"/>
    <w:rsid w:val="113917C7"/>
    <w:rsid w:val="113A2365"/>
    <w:rsid w:val="113B0BDA"/>
    <w:rsid w:val="113D5F75"/>
    <w:rsid w:val="113F4EFE"/>
    <w:rsid w:val="11401B02"/>
    <w:rsid w:val="11441C25"/>
    <w:rsid w:val="11447845"/>
    <w:rsid w:val="114535BD"/>
    <w:rsid w:val="1145536B"/>
    <w:rsid w:val="11460975"/>
    <w:rsid w:val="1146710A"/>
    <w:rsid w:val="11494E5B"/>
    <w:rsid w:val="11496C09"/>
    <w:rsid w:val="114A2981"/>
    <w:rsid w:val="114C494B"/>
    <w:rsid w:val="114C5476"/>
    <w:rsid w:val="114C551F"/>
    <w:rsid w:val="114F196C"/>
    <w:rsid w:val="11545714"/>
    <w:rsid w:val="11551A52"/>
    <w:rsid w:val="11580041"/>
    <w:rsid w:val="1158509E"/>
    <w:rsid w:val="11586E4C"/>
    <w:rsid w:val="115B275C"/>
    <w:rsid w:val="115E01DA"/>
    <w:rsid w:val="11665CA1"/>
    <w:rsid w:val="11672179"/>
    <w:rsid w:val="11673155"/>
    <w:rsid w:val="11673533"/>
    <w:rsid w:val="116C0AA4"/>
    <w:rsid w:val="116F5A66"/>
    <w:rsid w:val="11731ED8"/>
    <w:rsid w:val="11744B2C"/>
    <w:rsid w:val="117479FE"/>
    <w:rsid w:val="11763776"/>
    <w:rsid w:val="11785740"/>
    <w:rsid w:val="117F262B"/>
    <w:rsid w:val="118112C6"/>
    <w:rsid w:val="11873B72"/>
    <w:rsid w:val="11895290"/>
    <w:rsid w:val="118B1C93"/>
    <w:rsid w:val="1192785D"/>
    <w:rsid w:val="11936342"/>
    <w:rsid w:val="11975CCC"/>
    <w:rsid w:val="119836EC"/>
    <w:rsid w:val="11991213"/>
    <w:rsid w:val="119A7465"/>
    <w:rsid w:val="119B4F8B"/>
    <w:rsid w:val="119D51A7"/>
    <w:rsid w:val="119F2CCD"/>
    <w:rsid w:val="11A023A5"/>
    <w:rsid w:val="11A1183F"/>
    <w:rsid w:val="11A16A45"/>
    <w:rsid w:val="11A402E3"/>
    <w:rsid w:val="11A414DF"/>
    <w:rsid w:val="11AC31FB"/>
    <w:rsid w:val="11AE50A3"/>
    <w:rsid w:val="11AF3F8B"/>
    <w:rsid w:val="11AF7CCD"/>
    <w:rsid w:val="11B118CB"/>
    <w:rsid w:val="11B5604C"/>
    <w:rsid w:val="11B86BF5"/>
    <w:rsid w:val="11BB2254"/>
    <w:rsid w:val="11BB27B8"/>
    <w:rsid w:val="11BF6ECB"/>
    <w:rsid w:val="11C10E95"/>
    <w:rsid w:val="11C224D4"/>
    <w:rsid w:val="11C269BB"/>
    <w:rsid w:val="11C42733"/>
    <w:rsid w:val="11C91AF8"/>
    <w:rsid w:val="11CB3AC2"/>
    <w:rsid w:val="11CB6EA4"/>
    <w:rsid w:val="11CC3396"/>
    <w:rsid w:val="11CE35B2"/>
    <w:rsid w:val="11D02E86"/>
    <w:rsid w:val="11D34725"/>
    <w:rsid w:val="11D46774"/>
    <w:rsid w:val="11D72467"/>
    <w:rsid w:val="11DC229F"/>
    <w:rsid w:val="11DF756D"/>
    <w:rsid w:val="11DF7CCB"/>
    <w:rsid w:val="11E20E0C"/>
    <w:rsid w:val="11E365EE"/>
    <w:rsid w:val="11E84674"/>
    <w:rsid w:val="11E85CAC"/>
    <w:rsid w:val="11EB4164"/>
    <w:rsid w:val="11EC57E6"/>
    <w:rsid w:val="11ED5EAE"/>
    <w:rsid w:val="11EE5A02"/>
    <w:rsid w:val="11F16D5E"/>
    <w:rsid w:val="11F209BB"/>
    <w:rsid w:val="11F254F3"/>
    <w:rsid w:val="11F272A1"/>
    <w:rsid w:val="11F33019"/>
    <w:rsid w:val="11F50B3F"/>
    <w:rsid w:val="11F644D8"/>
    <w:rsid w:val="11FD6A42"/>
    <w:rsid w:val="11FF2F15"/>
    <w:rsid w:val="11FF551A"/>
    <w:rsid w:val="12046FD4"/>
    <w:rsid w:val="120668A8"/>
    <w:rsid w:val="12081C36"/>
    <w:rsid w:val="1218482D"/>
    <w:rsid w:val="121976AB"/>
    <w:rsid w:val="121A2353"/>
    <w:rsid w:val="121D4093"/>
    <w:rsid w:val="121E4E07"/>
    <w:rsid w:val="121E62E8"/>
    <w:rsid w:val="12211934"/>
    <w:rsid w:val="12227CBE"/>
    <w:rsid w:val="12255C4E"/>
    <w:rsid w:val="122B4561"/>
    <w:rsid w:val="122E5DFF"/>
    <w:rsid w:val="12302D61"/>
    <w:rsid w:val="12325A4F"/>
    <w:rsid w:val="12331667"/>
    <w:rsid w:val="123A29F6"/>
    <w:rsid w:val="123C01CE"/>
    <w:rsid w:val="123C676E"/>
    <w:rsid w:val="123D6042"/>
    <w:rsid w:val="123E4294"/>
    <w:rsid w:val="123F1DBA"/>
    <w:rsid w:val="12492C39"/>
    <w:rsid w:val="124B311E"/>
    <w:rsid w:val="124D44D7"/>
    <w:rsid w:val="124E6F34"/>
    <w:rsid w:val="124F4967"/>
    <w:rsid w:val="12521AED"/>
    <w:rsid w:val="12524C6B"/>
    <w:rsid w:val="125910CE"/>
    <w:rsid w:val="125B2B25"/>
    <w:rsid w:val="125C296C"/>
    <w:rsid w:val="125D0B1A"/>
    <w:rsid w:val="125E66E4"/>
    <w:rsid w:val="125E7F23"/>
    <w:rsid w:val="125F7176"/>
    <w:rsid w:val="12616ED1"/>
    <w:rsid w:val="12641821"/>
    <w:rsid w:val="12650EA1"/>
    <w:rsid w:val="126637EB"/>
    <w:rsid w:val="12692C77"/>
    <w:rsid w:val="12696E37"/>
    <w:rsid w:val="126B2BAF"/>
    <w:rsid w:val="126B7053"/>
    <w:rsid w:val="126D4B79"/>
    <w:rsid w:val="126D6927"/>
    <w:rsid w:val="127415E0"/>
    <w:rsid w:val="12745F08"/>
    <w:rsid w:val="12751C80"/>
    <w:rsid w:val="127B49BD"/>
    <w:rsid w:val="12807CE9"/>
    <w:rsid w:val="12850115"/>
    <w:rsid w:val="128802B2"/>
    <w:rsid w:val="12880467"/>
    <w:rsid w:val="1288550F"/>
    <w:rsid w:val="12891287"/>
    <w:rsid w:val="128B71FD"/>
    <w:rsid w:val="129077DE"/>
    <w:rsid w:val="12911773"/>
    <w:rsid w:val="12930F4F"/>
    <w:rsid w:val="129640D0"/>
    <w:rsid w:val="129A0566"/>
    <w:rsid w:val="129B3B83"/>
    <w:rsid w:val="129E0C5B"/>
    <w:rsid w:val="12A3059B"/>
    <w:rsid w:val="12A6533A"/>
    <w:rsid w:val="12B04A66"/>
    <w:rsid w:val="12B24C82"/>
    <w:rsid w:val="12B46E52"/>
    <w:rsid w:val="12B5207C"/>
    <w:rsid w:val="12BA4BDF"/>
    <w:rsid w:val="12BA7692"/>
    <w:rsid w:val="12BE45CE"/>
    <w:rsid w:val="12C14EC5"/>
    <w:rsid w:val="12C16C73"/>
    <w:rsid w:val="12C80001"/>
    <w:rsid w:val="12C8390D"/>
    <w:rsid w:val="12CA1FCB"/>
    <w:rsid w:val="12CB4BA9"/>
    <w:rsid w:val="12CF313E"/>
    <w:rsid w:val="12D2305F"/>
    <w:rsid w:val="12D33028"/>
    <w:rsid w:val="12D544CC"/>
    <w:rsid w:val="12D76496"/>
    <w:rsid w:val="12D93FBD"/>
    <w:rsid w:val="12DE5B33"/>
    <w:rsid w:val="12DF406E"/>
    <w:rsid w:val="12E0534B"/>
    <w:rsid w:val="12E64874"/>
    <w:rsid w:val="12E806A4"/>
    <w:rsid w:val="12EB0137"/>
    <w:rsid w:val="12EC5FA1"/>
    <w:rsid w:val="12EE0C10"/>
    <w:rsid w:val="12F2104A"/>
    <w:rsid w:val="12F937FC"/>
    <w:rsid w:val="12FC2ECD"/>
    <w:rsid w:val="12FD414F"/>
    <w:rsid w:val="13017C0B"/>
    <w:rsid w:val="130354DD"/>
    <w:rsid w:val="13052EFF"/>
    <w:rsid w:val="130C6140"/>
    <w:rsid w:val="130D2DA4"/>
    <w:rsid w:val="130E06F3"/>
    <w:rsid w:val="130F5C30"/>
    <w:rsid w:val="130F79DE"/>
    <w:rsid w:val="13185A75"/>
    <w:rsid w:val="131E5E73"/>
    <w:rsid w:val="131E7C21"/>
    <w:rsid w:val="132C67E2"/>
    <w:rsid w:val="132F0080"/>
    <w:rsid w:val="132F065A"/>
    <w:rsid w:val="132F1E2E"/>
    <w:rsid w:val="132F6B1C"/>
    <w:rsid w:val="13313DF9"/>
    <w:rsid w:val="13316A1C"/>
    <w:rsid w:val="1332191F"/>
    <w:rsid w:val="1336381C"/>
    <w:rsid w:val="13385187"/>
    <w:rsid w:val="1338673E"/>
    <w:rsid w:val="1340228E"/>
    <w:rsid w:val="13484121"/>
    <w:rsid w:val="13503262"/>
    <w:rsid w:val="13531FC1"/>
    <w:rsid w:val="13547AE7"/>
    <w:rsid w:val="1355718A"/>
    <w:rsid w:val="135A557B"/>
    <w:rsid w:val="135B70C7"/>
    <w:rsid w:val="135E2714"/>
    <w:rsid w:val="135F61B2"/>
    <w:rsid w:val="1363203D"/>
    <w:rsid w:val="13675A6C"/>
    <w:rsid w:val="1367781A"/>
    <w:rsid w:val="13685340"/>
    <w:rsid w:val="13712447"/>
    <w:rsid w:val="1373302C"/>
    <w:rsid w:val="137837D5"/>
    <w:rsid w:val="137B5074"/>
    <w:rsid w:val="137D2B9A"/>
    <w:rsid w:val="137F4B64"/>
    <w:rsid w:val="13806B2E"/>
    <w:rsid w:val="13825809"/>
    <w:rsid w:val="13826402"/>
    <w:rsid w:val="13853D9C"/>
    <w:rsid w:val="139364DD"/>
    <w:rsid w:val="13951726"/>
    <w:rsid w:val="13954387"/>
    <w:rsid w:val="13966A26"/>
    <w:rsid w:val="1396715A"/>
    <w:rsid w:val="139D4FEA"/>
    <w:rsid w:val="139F5990"/>
    <w:rsid w:val="139F632B"/>
    <w:rsid w:val="139F6FB4"/>
    <w:rsid w:val="13A10F7E"/>
    <w:rsid w:val="13AC16D1"/>
    <w:rsid w:val="13B011C1"/>
    <w:rsid w:val="13B3480E"/>
    <w:rsid w:val="13B36682"/>
    <w:rsid w:val="13B567D8"/>
    <w:rsid w:val="13B81E24"/>
    <w:rsid w:val="13B95843"/>
    <w:rsid w:val="13BF304A"/>
    <w:rsid w:val="13C06F2A"/>
    <w:rsid w:val="13C94031"/>
    <w:rsid w:val="13C9591D"/>
    <w:rsid w:val="13CA1A3A"/>
    <w:rsid w:val="13CB5FFB"/>
    <w:rsid w:val="13CF52DF"/>
    <w:rsid w:val="13D34EB0"/>
    <w:rsid w:val="13D36C5E"/>
    <w:rsid w:val="13D7569A"/>
    <w:rsid w:val="13D84274"/>
    <w:rsid w:val="13D859C6"/>
    <w:rsid w:val="13D96576"/>
    <w:rsid w:val="13DA623E"/>
    <w:rsid w:val="13DA7FEC"/>
    <w:rsid w:val="13DD188A"/>
    <w:rsid w:val="13DD5D2E"/>
    <w:rsid w:val="13E348F5"/>
    <w:rsid w:val="13E470BD"/>
    <w:rsid w:val="13E744B7"/>
    <w:rsid w:val="13EA4016"/>
    <w:rsid w:val="13EB21F9"/>
    <w:rsid w:val="13F37300"/>
    <w:rsid w:val="13F6266A"/>
    <w:rsid w:val="14092680"/>
    <w:rsid w:val="140E413A"/>
    <w:rsid w:val="14131BE4"/>
    <w:rsid w:val="14164D9C"/>
    <w:rsid w:val="14171240"/>
    <w:rsid w:val="141B2394"/>
    <w:rsid w:val="141C0B09"/>
    <w:rsid w:val="141D25CF"/>
    <w:rsid w:val="141D612B"/>
    <w:rsid w:val="141E0463"/>
    <w:rsid w:val="14200646"/>
    <w:rsid w:val="14221993"/>
    <w:rsid w:val="14223741"/>
    <w:rsid w:val="14292D22"/>
    <w:rsid w:val="143017A1"/>
    <w:rsid w:val="14302302"/>
    <w:rsid w:val="1430615F"/>
    <w:rsid w:val="14325868"/>
    <w:rsid w:val="14353FC2"/>
    <w:rsid w:val="143716DF"/>
    <w:rsid w:val="14396509"/>
    <w:rsid w:val="143A06A2"/>
    <w:rsid w:val="143C4803"/>
    <w:rsid w:val="143D057B"/>
    <w:rsid w:val="143D2059"/>
    <w:rsid w:val="143E60BA"/>
    <w:rsid w:val="143F60A1"/>
    <w:rsid w:val="14441F2C"/>
    <w:rsid w:val="14451E20"/>
    <w:rsid w:val="144A465D"/>
    <w:rsid w:val="144A5A37"/>
    <w:rsid w:val="144C6C7C"/>
    <w:rsid w:val="144E2788"/>
    <w:rsid w:val="14522278"/>
    <w:rsid w:val="145237D2"/>
    <w:rsid w:val="14546C59"/>
    <w:rsid w:val="14592A92"/>
    <w:rsid w:val="14593607"/>
    <w:rsid w:val="145B10EE"/>
    <w:rsid w:val="145B75D5"/>
    <w:rsid w:val="14641FAC"/>
    <w:rsid w:val="146D70B2"/>
    <w:rsid w:val="146F2E2A"/>
    <w:rsid w:val="1470712F"/>
    <w:rsid w:val="147158AD"/>
    <w:rsid w:val="147E12BF"/>
    <w:rsid w:val="147E2072"/>
    <w:rsid w:val="148443FC"/>
    <w:rsid w:val="14861111"/>
    <w:rsid w:val="14885C9A"/>
    <w:rsid w:val="148D505F"/>
    <w:rsid w:val="148F527B"/>
    <w:rsid w:val="149072E8"/>
    <w:rsid w:val="14922266"/>
    <w:rsid w:val="14942891"/>
    <w:rsid w:val="1494463F"/>
    <w:rsid w:val="14977C8B"/>
    <w:rsid w:val="14997EA7"/>
    <w:rsid w:val="14A33DD8"/>
    <w:rsid w:val="14A56265"/>
    <w:rsid w:val="14A625C4"/>
    <w:rsid w:val="14A80541"/>
    <w:rsid w:val="14A81E98"/>
    <w:rsid w:val="14A84A18"/>
    <w:rsid w:val="14AA3E63"/>
    <w:rsid w:val="14AD3953"/>
    <w:rsid w:val="14B051F1"/>
    <w:rsid w:val="14B44CE1"/>
    <w:rsid w:val="14B80288"/>
    <w:rsid w:val="14BF2D1A"/>
    <w:rsid w:val="14C03686"/>
    <w:rsid w:val="14C111AC"/>
    <w:rsid w:val="14C27361"/>
    <w:rsid w:val="14C52A4A"/>
    <w:rsid w:val="14C91E0F"/>
    <w:rsid w:val="14CD18FF"/>
    <w:rsid w:val="14CD5DA3"/>
    <w:rsid w:val="14CD6FB5"/>
    <w:rsid w:val="14D40EDF"/>
    <w:rsid w:val="14D50627"/>
    <w:rsid w:val="14DD2C3C"/>
    <w:rsid w:val="14DD7852"/>
    <w:rsid w:val="14E135FC"/>
    <w:rsid w:val="14E153AA"/>
    <w:rsid w:val="14E629C1"/>
    <w:rsid w:val="14E76E65"/>
    <w:rsid w:val="14EA775D"/>
    <w:rsid w:val="14EF7AC7"/>
    <w:rsid w:val="14F41582"/>
    <w:rsid w:val="14F432D4"/>
    <w:rsid w:val="14F74BCE"/>
    <w:rsid w:val="14F757F3"/>
    <w:rsid w:val="14F873D6"/>
    <w:rsid w:val="14F94098"/>
    <w:rsid w:val="14FD12F7"/>
    <w:rsid w:val="14FE41AE"/>
    <w:rsid w:val="14FF25AD"/>
    <w:rsid w:val="15015721"/>
    <w:rsid w:val="15023C9F"/>
    <w:rsid w:val="15064E11"/>
    <w:rsid w:val="15085FE9"/>
    <w:rsid w:val="150955A7"/>
    <w:rsid w:val="150C47E7"/>
    <w:rsid w:val="150D43F1"/>
    <w:rsid w:val="150F3CC6"/>
    <w:rsid w:val="150F5DEE"/>
    <w:rsid w:val="15113EE2"/>
    <w:rsid w:val="15127C5A"/>
    <w:rsid w:val="15137188"/>
    <w:rsid w:val="151412DC"/>
    <w:rsid w:val="151614F8"/>
    <w:rsid w:val="151B539B"/>
    <w:rsid w:val="15211C4B"/>
    <w:rsid w:val="152139F9"/>
    <w:rsid w:val="15225F60"/>
    <w:rsid w:val="15233C15"/>
    <w:rsid w:val="152359C3"/>
    <w:rsid w:val="15247B8E"/>
    <w:rsid w:val="15264D8E"/>
    <w:rsid w:val="15284D87"/>
    <w:rsid w:val="152A4FA3"/>
    <w:rsid w:val="152D1B5C"/>
    <w:rsid w:val="152D239E"/>
    <w:rsid w:val="152F4368"/>
    <w:rsid w:val="153151ED"/>
    <w:rsid w:val="15316332"/>
    <w:rsid w:val="153320AA"/>
    <w:rsid w:val="15344AB2"/>
    <w:rsid w:val="15347BD0"/>
    <w:rsid w:val="153876C0"/>
    <w:rsid w:val="15400323"/>
    <w:rsid w:val="154017BD"/>
    <w:rsid w:val="1542409B"/>
    <w:rsid w:val="15436065"/>
    <w:rsid w:val="154843B8"/>
    <w:rsid w:val="154A2F50"/>
    <w:rsid w:val="154C7F64"/>
    <w:rsid w:val="154D0C92"/>
    <w:rsid w:val="15523513"/>
    <w:rsid w:val="15571597"/>
    <w:rsid w:val="15581F72"/>
    <w:rsid w:val="155913E5"/>
    <w:rsid w:val="155B282E"/>
    <w:rsid w:val="155B515D"/>
    <w:rsid w:val="155D514E"/>
    <w:rsid w:val="15653784"/>
    <w:rsid w:val="156A35F2"/>
    <w:rsid w:val="156D6C3E"/>
    <w:rsid w:val="156E60BC"/>
    <w:rsid w:val="15704FA4"/>
    <w:rsid w:val="1574621E"/>
    <w:rsid w:val="15747FCD"/>
    <w:rsid w:val="15792CC0"/>
    <w:rsid w:val="157944DF"/>
    <w:rsid w:val="157955E3"/>
    <w:rsid w:val="157C06D7"/>
    <w:rsid w:val="157C59CB"/>
    <w:rsid w:val="15806B32"/>
    <w:rsid w:val="15815873"/>
    <w:rsid w:val="15836EB1"/>
    <w:rsid w:val="15875F52"/>
    <w:rsid w:val="1589441B"/>
    <w:rsid w:val="158A77F0"/>
    <w:rsid w:val="158F4E06"/>
    <w:rsid w:val="15913B9A"/>
    <w:rsid w:val="159266A5"/>
    <w:rsid w:val="159643E7"/>
    <w:rsid w:val="159878F7"/>
    <w:rsid w:val="159B3B44"/>
    <w:rsid w:val="159C0046"/>
    <w:rsid w:val="159E5049"/>
    <w:rsid w:val="15A20FDE"/>
    <w:rsid w:val="15A22D8C"/>
    <w:rsid w:val="15A30B9E"/>
    <w:rsid w:val="15A5287C"/>
    <w:rsid w:val="15AC04C5"/>
    <w:rsid w:val="15AE0920"/>
    <w:rsid w:val="15AE1730"/>
    <w:rsid w:val="15B14D7D"/>
    <w:rsid w:val="15B35F47"/>
    <w:rsid w:val="15B36D47"/>
    <w:rsid w:val="15B41FA8"/>
    <w:rsid w:val="15B64A89"/>
    <w:rsid w:val="15B66837"/>
    <w:rsid w:val="15BB209F"/>
    <w:rsid w:val="15BB3AEC"/>
    <w:rsid w:val="15BD7BC5"/>
    <w:rsid w:val="15BF393E"/>
    <w:rsid w:val="15C03212"/>
    <w:rsid w:val="15C26F8A"/>
    <w:rsid w:val="15C745A0"/>
    <w:rsid w:val="15C9016D"/>
    <w:rsid w:val="15D1541F"/>
    <w:rsid w:val="15D168FF"/>
    <w:rsid w:val="15D4540B"/>
    <w:rsid w:val="15DF495D"/>
    <w:rsid w:val="15DF5D8E"/>
    <w:rsid w:val="15E0299E"/>
    <w:rsid w:val="15E51DDF"/>
    <w:rsid w:val="15E524BF"/>
    <w:rsid w:val="15EF3F8E"/>
    <w:rsid w:val="15F1786F"/>
    <w:rsid w:val="15F3754D"/>
    <w:rsid w:val="15F42192"/>
    <w:rsid w:val="15F76442"/>
    <w:rsid w:val="15FD6214"/>
    <w:rsid w:val="15FD7FC2"/>
    <w:rsid w:val="15FE6A06"/>
    <w:rsid w:val="16016E6E"/>
    <w:rsid w:val="16077093"/>
    <w:rsid w:val="160878C5"/>
    <w:rsid w:val="16087E1D"/>
    <w:rsid w:val="160957B4"/>
    <w:rsid w:val="160A6A90"/>
    <w:rsid w:val="160E32FE"/>
    <w:rsid w:val="16111CBF"/>
    <w:rsid w:val="161377E5"/>
    <w:rsid w:val="16181C5D"/>
    <w:rsid w:val="161B77AA"/>
    <w:rsid w:val="16211DE1"/>
    <w:rsid w:val="16253698"/>
    <w:rsid w:val="16257519"/>
    <w:rsid w:val="1625781F"/>
    <w:rsid w:val="162639BD"/>
    <w:rsid w:val="1633712C"/>
    <w:rsid w:val="163A1216"/>
    <w:rsid w:val="163A2FC4"/>
    <w:rsid w:val="163A700E"/>
    <w:rsid w:val="163C4DDE"/>
    <w:rsid w:val="163D4862"/>
    <w:rsid w:val="164200CB"/>
    <w:rsid w:val="16445BF1"/>
    <w:rsid w:val="164976AB"/>
    <w:rsid w:val="16520125"/>
    <w:rsid w:val="16553D6F"/>
    <w:rsid w:val="16556050"/>
    <w:rsid w:val="16573C5D"/>
    <w:rsid w:val="165B4EA8"/>
    <w:rsid w:val="165B708B"/>
    <w:rsid w:val="165C17DB"/>
    <w:rsid w:val="166167A3"/>
    <w:rsid w:val="1663363A"/>
    <w:rsid w:val="16646293"/>
    <w:rsid w:val="16662644"/>
    <w:rsid w:val="16681976"/>
    <w:rsid w:val="166A5060"/>
    <w:rsid w:val="166C1802"/>
    <w:rsid w:val="166C5148"/>
    <w:rsid w:val="166E4A2F"/>
    <w:rsid w:val="167209B0"/>
    <w:rsid w:val="167356E5"/>
    <w:rsid w:val="16772F40"/>
    <w:rsid w:val="16777D74"/>
    <w:rsid w:val="167D1103"/>
    <w:rsid w:val="167F30CD"/>
    <w:rsid w:val="167F4E7B"/>
    <w:rsid w:val="1683189B"/>
    <w:rsid w:val="16841A81"/>
    <w:rsid w:val="16857E4E"/>
    <w:rsid w:val="16877BAC"/>
    <w:rsid w:val="16880F31"/>
    <w:rsid w:val="16897AA8"/>
    <w:rsid w:val="168A026F"/>
    <w:rsid w:val="169237EC"/>
    <w:rsid w:val="16930926"/>
    <w:rsid w:val="16932D25"/>
    <w:rsid w:val="16976668"/>
    <w:rsid w:val="169A5E79"/>
    <w:rsid w:val="169E79F7"/>
    <w:rsid w:val="16A16DEE"/>
    <w:rsid w:val="16A77A9F"/>
    <w:rsid w:val="16A97A81"/>
    <w:rsid w:val="16AB2AE8"/>
    <w:rsid w:val="16AB3EC2"/>
    <w:rsid w:val="16AC4C69"/>
    <w:rsid w:val="16AD2BE3"/>
    <w:rsid w:val="16AF07A6"/>
    <w:rsid w:val="16AF1C41"/>
    <w:rsid w:val="16B733A9"/>
    <w:rsid w:val="16B9038D"/>
    <w:rsid w:val="16BA726F"/>
    <w:rsid w:val="16BC1C2B"/>
    <w:rsid w:val="16C17241"/>
    <w:rsid w:val="16C84B2A"/>
    <w:rsid w:val="16C94348"/>
    <w:rsid w:val="16CA07EC"/>
    <w:rsid w:val="16CB5FEC"/>
    <w:rsid w:val="16D1492C"/>
    <w:rsid w:val="16D90B34"/>
    <w:rsid w:val="16DA6555"/>
    <w:rsid w:val="16DC22CD"/>
    <w:rsid w:val="16DE2FDD"/>
    <w:rsid w:val="16E36312"/>
    <w:rsid w:val="16E573D4"/>
    <w:rsid w:val="16E64EFA"/>
    <w:rsid w:val="16E8367D"/>
    <w:rsid w:val="16E9196E"/>
    <w:rsid w:val="16EA2C3C"/>
    <w:rsid w:val="16ED1DAE"/>
    <w:rsid w:val="16F41113"/>
    <w:rsid w:val="16F5338F"/>
    <w:rsid w:val="16F615E1"/>
    <w:rsid w:val="16F72C63"/>
    <w:rsid w:val="16F83C2A"/>
    <w:rsid w:val="16FA09A5"/>
    <w:rsid w:val="17001507"/>
    <w:rsid w:val="17005FBC"/>
    <w:rsid w:val="17034227"/>
    <w:rsid w:val="170768D4"/>
    <w:rsid w:val="170802DE"/>
    <w:rsid w:val="170831C7"/>
    <w:rsid w:val="17085049"/>
    <w:rsid w:val="17101F77"/>
    <w:rsid w:val="1716691C"/>
    <w:rsid w:val="17195B84"/>
    <w:rsid w:val="17215F32"/>
    <w:rsid w:val="17233E03"/>
    <w:rsid w:val="1726179A"/>
    <w:rsid w:val="17291027"/>
    <w:rsid w:val="172A128B"/>
    <w:rsid w:val="172C07B6"/>
    <w:rsid w:val="172E6E53"/>
    <w:rsid w:val="172F68A1"/>
    <w:rsid w:val="172F7BEF"/>
    <w:rsid w:val="17343EB7"/>
    <w:rsid w:val="1738302C"/>
    <w:rsid w:val="173A48D6"/>
    <w:rsid w:val="17400AAE"/>
    <w:rsid w:val="174100BC"/>
    <w:rsid w:val="17410382"/>
    <w:rsid w:val="1746510D"/>
    <w:rsid w:val="17491DFD"/>
    <w:rsid w:val="174A2A05"/>
    <w:rsid w:val="174D31CB"/>
    <w:rsid w:val="17573B63"/>
    <w:rsid w:val="17577348"/>
    <w:rsid w:val="1759485B"/>
    <w:rsid w:val="175B7522"/>
    <w:rsid w:val="175C02D7"/>
    <w:rsid w:val="175C6F6A"/>
    <w:rsid w:val="17604CAC"/>
    <w:rsid w:val="17667DE9"/>
    <w:rsid w:val="17681B26"/>
    <w:rsid w:val="176C3078"/>
    <w:rsid w:val="176D5E03"/>
    <w:rsid w:val="176F6C9D"/>
    <w:rsid w:val="17701D14"/>
    <w:rsid w:val="17716EB9"/>
    <w:rsid w:val="17735226"/>
    <w:rsid w:val="17773DA4"/>
    <w:rsid w:val="177A213A"/>
    <w:rsid w:val="177D585E"/>
    <w:rsid w:val="17884203"/>
    <w:rsid w:val="178A3A30"/>
    <w:rsid w:val="179130B8"/>
    <w:rsid w:val="17936E30"/>
    <w:rsid w:val="179901BE"/>
    <w:rsid w:val="179D1A5D"/>
    <w:rsid w:val="179D1CDD"/>
    <w:rsid w:val="179E3A27"/>
    <w:rsid w:val="17A32DEB"/>
    <w:rsid w:val="17A444A6"/>
    <w:rsid w:val="17A54DB5"/>
    <w:rsid w:val="17A70B2D"/>
    <w:rsid w:val="17AA5F28"/>
    <w:rsid w:val="17AC1CA0"/>
    <w:rsid w:val="17B77D96"/>
    <w:rsid w:val="17C02E5A"/>
    <w:rsid w:val="17C90AA4"/>
    <w:rsid w:val="17CC2342"/>
    <w:rsid w:val="17CE7E68"/>
    <w:rsid w:val="17D62037"/>
    <w:rsid w:val="17D9340C"/>
    <w:rsid w:val="17D9680D"/>
    <w:rsid w:val="17DF482A"/>
    <w:rsid w:val="17E01949"/>
    <w:rsid w:val="17E62463"/>
    <w:rsid w:val="17EB6C6C"/>
    <w:rsid w:val="17EC5FF2"/>
    <w:rsid w:val="17ED09A2"/>
    <w:rsid w:val="17EE44C9"/>
    <w:rsid w:val="17EE4D55"/>
    <w:rsid w:val="17EF1998"/>
    <w:rsid w:val="17F057AF"/>
    <w:rsid w:val="17F3167D"/>
    <w:rsid w:val="17F35B20"/>
    <w:rsid w:val="17F55403"/>
    <w:rsid w:val="17F84EE5"/>
    <w:rsid w:val="17F906B8"/>
    <w:rsid w:val="17FB6783"/>
    <w:rsid w:val="17FD693B"/>
    <w:rsid w:val="17FD699F"/>
    <w:rsid w:val="17FE514D"/>
    <w:rsid w:val="17FE54B8"/>
    <w:rsid w:val="17FF4DE1"/>
    <w:rsid w:val="1800023D"/>
    <w:rsid w:val="18022764"/>
    <w:rsid w:val="18023FB5"/>
    <w:rsid w:val="18027B12"/>
    <w:rsid w:val="18033286"/>
    <w:rsid w:val="18054661"/>
    <w:rsid w:val="18057327"/>
    <w:rsid w:val="18062CAC"/>
    <w:rsid w:val="180856D2"/>
    <w:rsid w:val="1808630A"/>
    <w:rsid w:val="18095344"/>
    <w:rsid w:val="180A2E6A"/>
    <w:rsid w:val="180B1118"/>
    <w:rsid w:val="180C273E"/>
    <w:rsid w:val="180D79FC"/>
    <w:rsid w:val="18100480"/>
    <w:rsid w:val="1810194F"/>
    <w:rsid w:val="181167B9"/>
    <w:rsid w:val="18133C2B"/>
    <w:rsid w:val="1816603C"/>
    <w:rsid w:val="18167A61"/>
    <w:rsid w:val="18173C77"/>
    <w:rsid w:val="18187335"/>
    <w:rsid w:val="181E5C5C"/>
    <w:rsid w:val="181F670A"/>
    <w:rsid w:val="18243F2C"/>
    <w:rsid w:val="18251A52"/>
    <w:rsid w:val="182C2DE0"/>
    <w:rsid w:val="182E0907"/>
    <w:rsid w:val="18307DB5"/>
    <w:rsid w:val="18363C5F"/>
    <w:rsid w:val="18371EB1"/>
    <w:rsid w:val="18381785"/>
    <w:rsid w:val="18382B97"/>
    <w:rsid w:val="183A72AB"/>
    <w:rsid w:val="183D0B4A"/>
    <w:rsid w:val="183F0D66"/>
    <w:rsid w:val="184243B2"/>
    <w:rsid w:val="184620F4"/>
    <w:rsid w:val="18495740"/>
    <w:rsid w:val="184C3483"/>
    <w:rsid w:val="185136BC"/>
    <w:rsid w:val="18534811"/>
    <w:rsid w:val="185365BF"/>
    <w:rsid w:val="18554919"/>
    <w:rsid w:val="18572447"/>
    <w:rsid w:val="185A16FC"/>
    <w:rsid w:val="185B3FC3"/>
    <w:rsid w:val="185C1918"/>
    <w:rsid w:val="186132B9"/>
    <w:rsid w:val="18625F4B"/>
    <w:rsid w:val="18664544"/>
    <w:rsid w:val="1867206B"/>
    <w:rsid w:val="1869541D"/>
    <w:rsid w:val="18695DE3"/>
    <w:rsid w:val="186E6D83"/>
    <w:rsid w:val="18714C97"/>
    <w:rsid w:val="18756535"/>
    <w:rsid w:val="187622AE"/>
    <w:rsid w:val="187942B3"/>
    <w:rsid w:val="187C78C4"/>
    <w:rsid w:val="187D1E98"/>
    <w:rsid w:val="187D363C"/>
    <w:rsid w:val="187F73B4"/>
    <w:rsid w:val="18813DFD"/>
    <w:rsid w:val="18826EA4"/>
    <w:rsid w:val="1886196B"/>
    <w:rsid w:val="1888270D"/>
    <w:rsid w:val="188B4F58"/>
    <w:rsid w:val="1890511D"/>
    <w:rsid w:val="189353A0"/>
    <w:rsid w:val="18935EA9"/>
    <w:rsid w:val="18980476"/>
    <w:rsid w:val="189866C8"/>
    <w:rsid w:val="189F624C"/>
    <w:rsid w:val="18AC2047"/>
    <w:rsid w:val="18AF5EEB"/>
    <w:rsid w:val="18B2778A"/>
    <w:rsid w:val="18B30D5A"/>
    <w:rsid w:val="18B467D6"/>
    <w:rsid w:val="18B46B4B"/>
    <w:rsid w:val="18B54B84"/>
    <w:rsid w:val="18B71157"/>
    <w:rsid w:val="18B72FDA"/>
    <w:rsid w:val="18B76B4E"/>
    <w:rsid w:val="18B770C7"/>
    <w:rsid w:val="18BC5F12"/>
    <w:rsid w:val="18BF3C55"/>
    <w:rsid w:val="18C1177B"/>
    <w:rsid w:val="18C75DFD"/>
    <w:rsid w:val="18CB25F9"/>
    <w:rsid w:val="18CE20EA"/>
    <w:rsid w:val="18D0034A"/>
    <w:rsid w:val="18E11E1D"/>
    <w:rsid w:val="18E90CD1"/>
    <w:rsid w:val="18EA6F23"/>
    <w:rsid w:val="18EB4A4A"/>
    <w:rsid w:val="18EE0096"/>
    <w:rsid w:val="18F02060"/>
    <w:rsid w:val="18F338FE"/>
    <w:rsid w:val="18F7519C"/>
    <w:rsid w:val="18FC75CC"/>
    <w:rsid w:val="19023E8D"/>
    <w:rsid w:val="19031D93"/>
    <w:rsid w:val="19037FE5"/>
    <w:rsid w:val="190433BB"/>
    <w:rsid w:val="1904793D"/>
    <w:rsid w:val="19067AD5"/>
    <w:rsid w:val="190B4AAB"/>
    <w:rsid w:val="190D1F22"/>
    <w:rsid w:val="19102007"/>
    <w:rsid w:val="191044B0"/>
    <w:rsid w:val="1911421C"/>
    <w:rsid w:val="1912647A"/>
    <w:rsid w:val="19173A91"/>
    <w:rsid w:val="191828D1"/>
    <w:rsid w:val="19202945"/>
    <w:rsid w:val="19244BA8"/>
    <w:rsid w:val="19264C23"/>
    <w:rsid w:val="1928509A"/>
    <w:rsid w:val="192B12EA"/>
    <w:rsid w:val="192D693B"/>
    <w:rsid w:val="192F0DDA"/>
    <w:rsid w:val="19305A9C"/>
    <w:rsid w:val="19314B52"/>
    <w:rsid w:val="1934019F"/>
    <w:rsid w:val="19362169"/>
    <w:rsid w:val="193957B5"/>
    <w:rsid w:val="193A0F3F"/>
    <w:rsid w:val="193A7AD1"/>
    <w:rsid w:val="193B20D5"/>
    <w:rsid w:val="193C52A5"/>
    <w:rsid w:val="193D1B75"/>
    <w:rsid w:val="193E7F56"/>
    <w:rsid w:val="19461C80"/>
    <w:rsid w:val="19496654"/>
    <w:rsid w:val="194F6D87"/>
    <w:rsid w:val="195425EF"/>
    <w:rsid w:val="19550115"/>
    <w:rsid w:val="195511EC"/>
    <w:rsid w:val="195922D1"/>
    <w:rsid w:val="195A5ECA"/>
    <w:rsid w:val="195B1BCF"/>
    <w:rsid w:val="195C14A3"/>
    <w:rsid w:val="195C39DC"/>
    <w:rsid w:val="19600179"/>
    <w:rsid w:val="19607A84"/>
    <w:rsid w:val="19622F5E"/>
    <w:rsid w:val="19680CDD"/>
    <w:rsid w:val="196A0064"/>
    <w:rsid w:val="196A1E12"/>
    <w:rsid w:val="196A3BC0"/>
    <w:rsid w:val="197131A1"/>
    <w:rsid w:val="19742C91"/>
    <w:rsid w:val="19763B91"/>
    <w:rsid w:val="19783A7F"/>
    <w:rsid w:val="197D69CC"/>
    <w:rsid w:val="197E58BE"/>
    <w:rsid w:val="19805192"/>
    <w:rsid w:val="19817951"/>
    <w:rsid w:val="19831126"/>
    <w:rsid w:val="19832ED4"/>
    <w:rsid w:val="19834C82"/>
    <w:rsid w:val="198509FA"/>
    <w:rsid w:val="19873C1D"/>
    <w:rsid w:val="198870EE"/>
    <w:rsid w:val="198A4742"/>
    <w:rsid w:val="199155F1"/>
    <w:rsid w:val="19947F54"/>
    <w:rsid w:val="199D21E8"/>
    <w:rsid w:val="19A22E07"/>
    <w:rsid w:val="19A76BC3"/>
    <w:rsid w:val="19AD1CFF"/>
    <w:rsid w:val="19BC78C6"/>
    <w:rsid w:val="19BD5342"/>
    <w:rsid w:val="19BD63E6"/>
    <w:rsid w:val="19BE0509"/>
    <w:rsid w:val="19C01A32"/>
    <w:rsid w:val="19CE17F2"/>
    <w:rsid w:val="19D35C15"/>
    <w:rsid w:val="19D63004"/>
    <w:rsid w:val="19D96F98"/>
    <w:rsid w:val="19DA7D05"/>
    <w:rsid w:val="19DB2D10"/>
    <w:rsid w:val="19E80BA9"/>
    <w:rsid w:val="19EC4BAE"/>
    <w:rsid w:val="19F05074"/>
    <w:rsid w:val="19F07FAC"/>
    <w:rsid w:val="19F3005A"/>
    <w:rsid w:val="19F416DC"/>
    <w:rsid w:val="19F6722A"/>
    <w:rsid w:val="19FB2A6A"/>
    <w:rsid w:val="1A041769"/>
    <w:rsid w:val="1A0D279E"/>
    <w:rsid w:val="1A1641BE"/>
    <w:rsid w:val="1A164FE1"/>
    <w:rsid w:val="1A1743EA"/>
    <w:rsid w:val="1A1C66C0"/>
    <w:rsid w:val="1A1F5E29"/>
    <w:rsid w:val="1A214E13"/>
    <w:rsid w:val="1A226249"/>
    <w:rsid w:val="1A265FD0"/>
    <w:rsid w:val="1A295829"/>
    <w:rsid w:val="1A2F6BB8"/>
    <w:rsid w:val="1A3366A8"/>
    <w:rsid w:val="1A3E56E2"/>
    <w:rsid w:val="1A3F2D6B"/>
    <w:rsid w:val="1A42393B"/>
    <w:rsid w:val="1A461FF8"/>
    <w:rsid w:val="1A46629A"/>
    <w:rsid w:val="1A491A28"/>
    <w:rsid w:val="1A4D4E09"/>
    <w:rsid w:val="1A4E34E2"/>
    <w:rsid w:val="1A512FD2"/>
    <w:rsid w:val="1A5166C9"/>
    <w:rsid w:val="1A54473F"/>
    <w:rsid w:val="1A580283"/>
    <w:rsid w:val="1A5959E3"/>
    <w:rsid w:val="1A5A3C35"/>
    <w:rsid w:val="1A5C33F7"/>
    <w:rsid w:val="1A620D3B"/>
    <w:rsid w:val="1A633C55"/>
    <w:rsid w:val="1A637E8D"/>
    <w:rsid w:val="1A692D3D"/>
    <w:rsid w:val="1A6C6448"/>
    <w:rsid w:val="1A6E5932"/>
    <w:rsid w:val="1A70326A"/>
    <w:rsid w:val="1A710F7F"/>
    <w:rsid w:val="1A716259"/>
    <w:rsid w:val="1A756CC1"/>
    <w:rsid w:val="1A790C41"/>
    <w:rsid w:val="1A7C1CC2"/>
    <w:rsid w:val="1A7C32B9"/>
    <w:rsid w:val="1A7C336C"/>
    <w:rsid w:val="1A7D5343"/>
    <w:rsid w:val="1A7E3C31"/>
    <w:rsid w:val="1A7E3F9C"/>
    <w:rsid w:val="1A7F5449"/>
    <w:rsid w:val="1A8962C8"/>
    <w:rsid w:val="1A8C6350"/>
    <w:rsid w:val="1A8C7B66"/>
    <w:rsid w:val="1A912D26"/>
    <w:rsid w:val="1A926A8B"/>
    <w:rsid w:val="1A935399"/>
    <w:rsid w:val="1A962E09"/>
    <w:rsid w:val="1A98650B"/>
    <w:rsid w:val="1A9A5B22"/>
    <w:rsid w:val="1A9A6727"/>
    <w:rsid w:val="1A9C1A15"/>
    <w:rsid w:val="1A9D354D"/>
    <w:rsid w:val="1A9F789A"/>
    <w:rsid w:val="1AA2382E"/>
    <w:rsid w:val="1AA50C28"/>
    <w:rsid w:val="1AA93212"/>
    <w:rsid w:val="1AAC404F"/>
    <w:rsid w:val="1AAD45DE"/>
    <w:rsid w:val="1AB07CF9"/>
    <w:rsid w:val="1AB1581F"/>
    <w:rsid w:val="1AB175CD"/>
    <w:rsid w:val="1AB570BD"/>
    <w:rsid w:val="1AB62E35"/>
    <w:rsid w:val="1AB943B7"/>
    <w:rsid w:val="1ABD6EA4"/>
    <w:rsid w:val="1AC1088C"/>
    <w:rsid w:val="1AC15A62"/>
    <w:rsid w:val="1AC26BD9"/>
    <w:rsid w:val="1AC35C7E"/>
    <w:rsid w:val="1AC45552"/>
    <w:rsid w:val="1AC50DC4"/>
    <w:rsid w:val="1ACC2C46"/>
    <w:rsid w:val="1AD05CA5"/>
    <w:rsid w:val="1AD10DB0"/>
    <w:rsid w:val="1AD11A1D"/>
    <w:rsid w:val="1AD339E7"/>
    <w:rsid w:val="1AD559B1"/>
    <w:rsid w:val="1AD5775F"/>
    <w:rsid w:val="1AD64441"/>
    <w:rsid w:val="1AD67034"/>
    <w:rsid w:val="1AD75285"/>
    <w:rsid w:val="1AD82DAC"/>
    <w:rsid w:val="1ADA2FC8"/>
    <w:rsid w:val="1ADA4F1E"/>
    <w:rsid w:val="1ADF05DE"/>
    <w:rsid w:val="1ADF2787"/>
    <w:rsid w:val="1ADF3326"/>
    <w:rsid w:val="1ADF413A"/>
    <w:rsid w:val="1AE34AB0"/>
    <w:rsid w:val="1AE45BF4"/>
    <w:rsid w:val="1AE71241"/>
    <w:rsid w:val="1AE95B6F"/>
    <w:rsid w:val="1AF06347"/>
    <w:rsid w:val="1AF16D95"/>
    <w:rsid w:val="1AF17B19"/>
    <w:rsid w:val="1AF23E6D"/>
    <w:rsid w:val="1AF851FC"/>
    <w:rsid w:val="1AF916A0"/>
    <w:rsid w:val="1AFA0F74"/>
    <w:rsid w:val="1AFA71C6"/>
    <w:rsid w:val="1AFC2F3E"/>
    <w:rsid w:val="1AFC4CEC"/>
    <w:rsid w:val="1B010432"/>
    <w:rsid w:val="1B0167A6"/>
    <w:rsid w:val="1B0342CC"/>
    <w:rsid w:val="1B043BA1"/>
    <w:rsid w:val="1B046F80"/>
    <w:rsid w:val="1B046FF5"/>
    <w:rsid w:val="1B097409"/>
    <w:rsid w:val="1B0D17E8"/>
    <w:rsid w:val="1B115287"/>
    <w:rsid w:val="1B150ED3"/>
    <w:rsid w:val="1B157B5C"/>
    <w:rsid w:val="1B1645FD"/>
    <w:rsid w:val="1B1D66B9"/>
    <w:rsid w:val="1B1E6490"/>
    <w:rsid w:val="1B207EA5"/>
    <w:rsid w:val="1B2A7AAB"/>
    <w:rsid w:val="1B2F7B4D"/>
    <w:rsid w:val="1B300E3A"/>
    <w:rsid w:val="1B324BB2"/>
    <w:rsid w:val="1B3267B5"/>
    <w:rsid w:val="1B3426D8"/>
    <w:rsid w:val="1B360421"/>
    <w:rsid w:val="1B3A3153"/>
    <w:rsid w:val="1B3A586A"/>
    <w:rsid w:val="1B3B1964"/>
    <w:rsid w:val="1B3C0639"/>
    <w:rsid w:val="1B3E5984"/>
    <w:rsid w:val="1B40161D"/>
    <w:rsid w:val="1B414DF5"/>
    <w:rsid w:val="1B441859"/>
    <w:rsid w:val="1B446693"/>
    <w:rsid w:val="1B48577A"/>
    <w:rsid w:val="1B4D5548"/>
    <w:rsid w:val="1B5C1C2F"/>
    <w:rsid w:val="1B5E115F"/>
    <w:rsid w:val="1B5E59A7"/>
    <w:rsid w:val="1B650AE3"/>
    <w:rsid w:val="1B6606B1"/>
    <w:rsid w:val="1B6E7498"/>
    <w:rsid w:val="1B71262E"/>
    <w:rsid w:val="1B7900EB"/>
    <w:rsid w:val="1B792316"/>
    <w:rsid w:val="1B7F1217"/>
    <w:rsid w:val="1B811858"/>
    <w:rsid w:val="1B8229A5"/>
    <w:rsid w:val="1B8276EF"/>
    <w:rsid w:val="1B8A578C"/>
    <w:rsid w:val="1B8C2514"/>
    <w:rsid w:val="1B8D003A"/>
    <w:rsid w:val="1B8E7535"/>
    <w:rsid w:val="1B917B2A"/>
    <w:rsid w:val="1B9815EE"/>
    <w:rsid w:val="1B9C174D"/>
    <w:rsid w:val="1BA00E6D"/>
    <w:rsid w:val="1BA0299A"/>
    <w:rsid w:val="1BA05BE1"/>
    <w:rsid w:val="1BA3160C"/>
    <w:rsid w:val="1BA36333"/>
    <w:rsid w:val="1BAB226E"/>
    <w:rsid w:val="1BAD248A"/>
    <w:rsid w:val="1BAD4238"/>
    <w:rsid w:val="1BAE5F23"/>
    <w:rsid w:val="1BAF532C"/>
    <w:rsid w:val="1BB2184F"/>
    <w:rsid w:val="1BB43819"/>
    <w:rsid w:val="1BB5039E"/>
    <w:rsid w:val="1BB628EE"/>
    <w:rsid w:val="1BBA2694"/>
    <w:rsid w:val="1BC021BE"/>
    <w:rsid w:val="1BC33A5C"/>
    <w:rsid w:val="1BC354AC"/>
    <w:rsid w:val="1BC8278A"/>
    <w:rsid w:val="1BCA4DEA"/>
    <w:rsid w:val="1BCA6B98"/>
    <w:rsid w:val="1BCE2BAE"/>
    <w:rsid w:val="1BD01CD5"/>
    <w:rsid w:val="1BD45C69"/>
    <w:rsid w:val="1BD85778"/>
    <w:rsid w:val="1BD9327F"/>
    <w:rsid w:val="1BD9534F"/>
    <w:rsid w:val="1BDA101D"/>
    <w:rsid w:val="1BDE0896"/>
    <w:rsid w:val="1BDF7F8A"/>
    <w:rsid w:val="1BE67576"/>
    <w:rsid w:val="1BE7544B"/>
    <w:rsid w:val="1BEA200D"/>
    <w:rsid w:val="1BEC194D"/>
    <w:rsid w:val="1BEC4D61"/>
    <w:rsid w:val="1BEF51BC"/>
    <w:rsid w:val="1BF63E31"/>
    <w:rsid w:val="1BFD6F6E"/>
    <w:rsid w:val="1BFE2CE6"/>
    <w:rsid w:val="1BFF185E"/>
    <w:rsid w:val="1C007D91"/>
    <w:rsid w:val="1C046692"/>
    <w:rsid w:val="1C071B9A"/>
    <w:rsid w:val="1C0B2A89"/>
    <w:rsid w:val="1C0C01EF"/>
    <w:rsid w:val="1C0C5403"/>
    <w:rsid w:val="1C0C71B1"/>
    <w:rsid w:val="1C154EDE"/>
    <w:rsid w:val="1C176997"/>
    <w:rsid w:val="1C1C4F1A"/>
    <w:rsid w:val="1C1D4DE7"/>
    <w:rsid w:val="1C1F5136"/>
    <w:rsid w:val="1C220782"/>
    <w:rsid w:val="1C250273"/>
    <w:rsid w:val="1C274BC0"/>
    <w:rsid w:val="1C2A5889"/>
    <w:rsid w:val="1C2D7127"/>
    <w:rsid w:val="1C370605"/>
    <w:rsid w:val="1C3753C4"/>
    <w:rsid w:val="1C383FBA"/>
    <w:rsid w:val="1C38518D"/>
    <w:rsid w:val="1C4032FE"/>
    <w:rsid w:val="1C4526C3"/>
    <w:rsid w:val="1C4529B6"/>
    <w:rsid w:val="1C4700FC"/>
    <w:rsid w:val="1C47643B"/>
    <w:rsid w:val="1C485D0F"/>
    <w:rsid w:val="1C4A5F2B"/>
    <w:rsid w:val="1C4C1CA3"/>
    <w:rsid w:val="1C4E77C9"/>
    <w:rsid w:val="1C547A87"/>
    <w:rsid w:val="1C550B58"/>
    <w:rsid w:val="1C552658"/>
    <w:rsid w:val="1C571B5F"/>
    <w:rsid w:val="1C597F1C"/>
    <w:rsid w:val="1C5C6219"/>
    <w:rsid w:val="1C5D0DA4"/>
    <w:rsid w:val="1C5E5533"/>
    <w:rsid w:val="1C5E7925"/>
    <w:rsid w:val="1C5E7E41"/>
    <w:rsid w:val="1C5F19D6"/>
    <w:rsid w:val="1C5F5D64"/>
    <w:rsid w:val="1C625023"/>
    <w:rsid w:val="1C640D9B"/>
    <w:rsid w:val="1C6B037B"/>
    <w:rsid w:val="1C6C40F3"/>
    <w:rsid w:val="1C735482"/>
    <w:rsid w:val="1C764D6E"/>
    <w:rsid w:val="1C784846"/>
    <w:rsid w:val="1C7E0123"/>
    <w:rsid w:val="1C7F15B3"/>
    <w:rsid w:val="1C84143D"/>
    <w:rsid w:val="1C896A53"/>
    <w:rsid w:val="1C8A6328"/>
    <w:rsid w:val="1C8C3BB7"/>
    <w:rsid w:val="1C99797D"/>
    <w:rsid w:val="1C9A2A0F"/>
    <w:rsid w:val="1C9F1B1E"/>
    <w:rsid w:val="1CA078F9"/>
    <w:rsid w:val="1CA25773"/>
    <w:rsid w:val="1CA27B15"/>
    <w:rsid w:val="1CA4563B"/>
    <w:rsid w:val="1CA732C5"/>
    <w:rsid w:val="1CA76EDA"/>
    <w:rsid w:val="1CAB4C1C"/>
    <w:rsid w:val="1CAE7EB9"/>
    <w:rsid w:val="1CB05D8E"/>
    <w:rsid w:val="1CB3762C"/>
    <w:rsid w:val="1CB76590"/>
    <w:rsid w:val="1CBF1617"/>
    <w:rsid w:val="1CBF2475"/>
    <w:rsid w:val="1CC47F67"/>
    <w:rsid w:val="1CC90A05"/>
    <w:rsid w:val="1CCA717A"/>
    <w:rsid w:val="1CD31A7D"/>
    <w:rsid w:val="1CD32A5C"/>
    <w:rsid w:val="1CD35F20"/>
    <w:rsid w:val="1CD36080"/>
    <w:rsid w:val="1CD75A11"/>
    <w:rsid w:val="1CD878D0"/>
    <w:rsid w:val="1CDD2051"/>
    <w:rsid w:val="1CEE2D89"/>
    <w:rsid w:val="1CEE68B6"/>
    <w:rsid w:val="1CF00880"/>
    <w:rsid w:val="1CF245F9"/>
    <w:rsid w:val="1CF30371"/>
    <w:rsid w:val="1CF368EC"/>
    <w:rsid w:val="1CF55E97"/>
    <w:rsid w:val="1CFD070F"/>
    <w:rsid w:val="1CFD2499"/>
    <w:rsid w:val="1CFD2F9D"/>
    <w:rsid w:val="1D051663"/>
    <w:rsid w:val="1D093DE4"/>
    <w:rsid w:val="1D0E51AB"/>
    <w:rsid w:val="1D0F0858"/>
    <w:rsid w:val="1D134F1F"/>
    <w:rsid w:val="1D144C6E"/>
    <w:rsid w:val="1D1670E3"/>
    <w:rsid w:val="1D182FE8"/>
    <w:rsid w:val="1D192221"/>
    <w:rsid w:val="1D1941FF"/>
    <w:rsid w:val="1D1A76AB"/>
    <w:rsid w:val="1D1B6401"/>
    <w:rsid w:val="1D1B68AA"/>
    <w:rsid w:val="1D1D0F4A"/>
    <w:rsid w:val="1D2212F0"/>
    <w:rsid w:val="1D2624F4"/>
    <w:rsid w:val="1D2759D6"/>
    <w:rsid w:val="1D291DE0"/>
    <w:rsid w:val="1D294B98"/>
    <w:rsid w:val="1D2A2D25"/>
    <w:rsid w:val="1D2C2922"/>
    <w:rsid w:val="1D2D5631"/>
    <w:rsid w:val="1D2D73DF"/>
    <w:rsid w:val="1D300C7D"/>
    <w:rsid w:val="1D316D67"/>
    <w:rsid w:val="1D352737"/>
    <w:rsid w:val="1D37431E"/>
    <w:rsid w:val="1D383FD6"/>
    <w:rsid w:val="1D3C1D18"/>
    <w:rsid w:val="1D3C5874"/>
    <w:rsid w:val="1D3F0551"/>
    <w:rsid w:val="1D41732E"/>
    <w:rsid w:val="1D4529C5"/>
    <w:rsid w:val="1D456032"/>
    <w:rsid w:val="1D465C3F"/>
    <w:rsid w:val="1D4772FD"/>
    <w:rsid w:val="1D4B3D09"/>
    <w:rsid w:val="1D4F555A"/>
    <w:rsid w:val="1D552DD9"/>
    <w:rsid w:val="1D556936"/>
    <w:rsid w:val="1D5744D2"/>
    <w:rsid w:val="1D5779C2"/>
    <w:rsid w:val="1D58430D"/>
    <w:rsid w:val="1D5A7F0F"/>
    <w:rsid w:val="1D5C5F16"/>
    <w:rsid w:val="1D5F6196"/>
    <w:rsid w:val="1D60643E"/>
    <w:rsid w:val="1D6132A5"/>
    <w:rsid w:val="1D632E00"/>
    <w:rsid w:val="1D632FD5"/>
    <w:rsid w:val="1D65301C"/>
    <w:rsid w:val="1D670577"/>
    <w:rsid w:val="1D69418F"/>
    <w:rsid w:val="1D6B6159"/>
    <w:rsid w:val="1D6D1B4E"/>
    <w:rsid w:val="1D6F3E9B"/>
    <w:rsid w:val="1D70551D"/>
    <w:rsid w:val="1D774AFE"/>
    <w:rsid w:val="1D7C7A9E"/>
    <w:rsid w:val="1D813BCE"/>
    <w:rsid w:val="1D8B67FB"/>
    <w:rsid w:val="1D8D1867"/>
    <w:rsid w:val="1D8E56D5"/>
    <w:rsid w:val="1D8F0099"/>
    <w:rsid w:val="1D903E12"/>
    <w:rsid w:val="1D921938"/>
    <w:rsid w:val="1D9317D5"/>
    <w:rsid w:val="1D986CFE"/>
    <w:rsid w:val="1D990F18"/>
    <w:rsid w:val="1D9C6312"/>
    <w:rsid w:val="1DA13929"/>
    <w:rsid w:val="1DA5166B"/>
    <w:rsid w:val="1DA62271"/>
    <w:rsid w:val="1DA67191"/>
    <w:rsid w:val="1DA769B6"/>
    <w:rsid w:val="1DA82F09"/>
    <w:rsid w:val="1DAA6C81"/>
    <w:rsid w:val="1DAB1B3B"/>
    <w:rsid w:val="1DAB47A7"/>
    <w:rsid w:val="1DAD0520"/>
    <w:rsid w:val="1DB16ABC"/>
    <w:rsid w:val="1DB21FDA"/>
    <w:rsid w:val="1DB25B36"/>
    <w:rsid w:val="1DB775F0"/>
    <w:rsid w:val="1DBA3972"/>
    <w:rsid w:val="1DC46AC4"/>
    <w:rsid w:val="1DC55230"/>
    <w:rsid w:val="1DC77C35"/>
    <w:rsid w:val="1DC83D3D"/>
    <w:rsid w:val="1DD04AF0"/>
    <w:rsid w:val="1DD66886"/>
    <w:rsid w:val="1DD957B9"/>
    <w:rsid w:val="1DDF7A40"/>
    <w:rsid w:val="1DE101C9"/>
    <w:rsid w:val="1DE47F51"/>
    <w:rsid w:val="1DE5415D"/>
    <w:rsid w:val="1DE657E0"/>
    <w:rsid w:val="1DEA3699"/>
    <w:rsid w:val="1DED3012"/>
    <w:rsid w:val="1DF14026"/>
    <w:rsid w:val="1DF20628"/>
    <w:rsid w:val="1DF26F67"/>
    <w:rsid w:val="1DF338C4"/>
    <w:rsid w:val="1DF919B7"/>
    <w:rsid w:val="1DFD40AC"/>
    <w:rsid w:val="1E002D45"/>
    <w:rsid w:val="1E032835"/>
    <w:rsid w:val="1E0740D4"/>
    <w:rsid w:val="1E0A5972"/>
    <w:rsid w:val="1E0A7720"/>
    <w:rsid w:val="1E1020A9"/>
    <w:rsid w:val="1E11423B"/>
    <w:rsid w:val="1E162569"/>
    <w:rsid w:val="1E1660C5"/>
    <w:rsid w:val="1E1B44E3"/>
    <w:rsid w:val="1E1F6FD4"/>
    <w:rsid w:val="1E1F7199"/>
    <w:rsid w:val="1E27505E"/>
    <w:rsid w:val="1E2A6014"/>
    <w:rsid w:val="1E2C7696"/>
    <w:rsid w:val="1E2E283D"/>
    <w:rsid w:val="1E310498"/>
    <w:rsid w:val="1E3A20C3"/>
    <w:rsid w:val="1E3C2FA6"/>
    <w:rsid w:val="1E3D3372"/>
    <w:rsid w:val="1E3E561C"/>
    <w:rsid w:val="1E426EBA"/>
    <w:rsid w:val="1E480248"/>
    <w:rsid w:val="1E4A39BB"/>
    <w:rsid w:val="1E4E1D03"/>
    <w:rsid w:val="1E5141B8"/>
    <w:rsid w:val="1E5170FD"/>
    <w:rsid w:val="1E543091"/>
    <w:rsid w:val="1E57070E"/>
    <w:rsid w:val="1E5B78B8"/>
    <w:rsid w:val="1E5C34F6"/>
    <w:rsid w:val="1E6474D6"/>
    <w:rsid w:val="1E684E22"/>
    <w:rsid w:val="1E686B6B"/>
    <w:rsid w:val="1E690DB1"/>
    <w:rsid w:val="1E73212A"/>
    <w:rsid w:val="1E74103D"/>
    <w:rsid w:val="1E761259"/>
    <w:rsid w:val="1E764DB5"/>
    <w:rsid w:val="1E7828DC"/>
    <w:rsid w:val="1E785E11"/>
    <w:rsid w:val="1E796654"/>
    <w:rsid w:val="1E7A43DA"/>
    <w:rsid w:val="1E7B3EA5"/>
    <w:rsid w:val="1E7D1998"/>
    <w:rsid w:val="1E7D7EF2"/>
    <w:rsid w:val="1E7F010E"/>
    <w:rsid w:val="1E86055A"/>
    <w:rsid w:val="1E8660E1"/>
    <w:rsid w:val="1E8E65A3"/>
    <w:rsid w:val="1E917345"/>
    <w:rsid w:val="1E94465C"/>
    <w:rsid w:val="1E982F7E"/>
    <w:rsid w:val="1E9B2A6E"/>
    <w:rsid w:val="1EA11BF9"/>
    <w:rsid w:val="1EA27958"/>
    <w:rsid w:val="1EAA2CB1"/>
    <w:rsid w:val="1EAB0F03"/>
    <w:rsid w:val="1EAF194E"/>
    <w:rsid w:val="1EB15DEE"/>
    <w:rsid w:val="1EBB6C6C"/>
    <w:rsid w:val="1EBE52E4"/>
    <w:rsid w:val="1EC2624D"/>
    <w:rsid w:val="1EC45B21"/>
    <w:rsid w:val="1ECA6EAF"/>
    <w:rsid w:val="1ECF44C6"/>
    <w:rsid w:val="1ED019E9"/>
    <w:rsid w:val="1ED61AE4"/>
    <w:rsid w:val="1ED815CC"/>
    <w:rsid w:val="1EDA542E"/>
    <w:rsid w:val="1EDB07A1"/>
    <w:rsid w:val="1EDB2E6A"/>
    <w:rsid w:val="1EDE624F"/>
    <w:rsid w:val="1EDF6D85"/>
    <w:rsid w:val="1EE241F9"/>
    <w:rsid w:val="1EEA12FF"/>
    <w:rsid w:val="1EEB2528"/>
    <w:rsid w:val="1EF02DBA"/>
    <w:rsid w:val="1EF26B32"/>
    <w:rsid w:val="1EF36406"/>
    <w:rsid w:val="1EF87EC0"/>
    <w:rsid w:val="1EFB5963"/>
    <w:rsid w:val="1EFC3F5B"/>
    <w:rsid w:val="1EFD3E2C"/>
    <w:rsid w:val="1EFD4B4C"/>
    <w:rsid w:val="1EFD54D7"/>
    <w:rsid w:val="1F09368F"/>
    <w:rsid w:val="1F0A4C39"/>
    <w:rsid w:val="1F0B19A2"/>
    <w:rsid w:val="1F0C74C8"/>
    <w:rsid w:val="1F0C7EB0"/>
    <w:rsid w:val="1F106FB8"/>
    <w:rsid w:val="1F165AC7"/>
    <w:rsid w:val="1F174DE0"/>
    <w:rsid w:val="1F196E30"/>
    <w:rsid w:val="1F1A3993"/>
    <w:rsid w:val="1F1B770B"/>
    <w:rsid w:val="1F1C3BAF"/>
    <w:rsid w:val="1F1C5897"/>
    <w:rsid w:val="1F1D16D5"/>
    <w:rsid w:val="1F2111C5"/>
    <w:rsid w:val="1F220A99"/>
    <w:rsid w:val="1F242A63"/>
    <w:rsid w:val="1F282554"/>
    <w:rsid w:val="1F2B2044"/>
    <w:rsid w:val="1F2B5BA0"/>
    <w:rsid w:val="1F2D7B6A"/>
    <w:rsid w:val="1F316F2E"/>
    <w:rsid w:val="1F330EF8"/>
    <w:rsid w:val="1F334A54"/>
    <w:rsid w:val="1F3678CE"/>
    <w:rsid w:val="1F3709E9"/>
    <w:rsid w:val="1F370D5E"/>
    <w:rsid w:val="1F3F789D"/>
    <w:rsid w:val="1F4153C3"/>
    <w:rsid w:val="1F42113B"/>
    <w:rsid w:val="1F446322"/>
    <w:rsid w:val="1F4711E8"/>
    <w:rsid w:val="1F4849A4"/>
    <w:rsid w:val="1F49071C"/>
    <w:rsid w:val="1F4A1F51"/>
    <w:rsid w:val="1F4D3D68"/>
    <w:rsid w:val="1F4D55DB"/>
    <w:rsid w:val="1F525822"/>
    <w:rsid w:val="1F552C1D"/>
    <w:rsid w:val="1F5570C1"/>
    <w:rsid w:val="1F574BE7"/>
    <w:rsid w:val="1F5F584A"/>
    <w:rsid w:val="1F602E7C"/>
    <w:rsid w:val="1F604915"/>
    <w:rsid w:val="1F6115C2"/>
    <w:rsid w:val="1F615A66"/>
    <w:rsid w:val="1F6B68E4"/>
    <w:rsid w:val="1F6D61B8"/>
    <w:rsid w:val="1F6E7612"/>
    <w:rsid w:val="1F6F618F"/>
    <w:rsid w:val="1F6F6B0B"/>
    <w:rsid w:val="1F705CA9"/>
    <w:rsid w:val="1F707A57"/>
    <w:rsid w:val="1F745799"/>
    <w:rsid w:val="1F751B36"/>
    <w:rsid w:val="1F784B5D"/>
    <w:rsid w:val="1F7A1DF2"/>
    <w:rsid w:val="1F7D1081"/>
    <w:rsid w:val="1F7E0296"/>
    <w:rsid w:val="1F7F413E"/>
    <w:rsid w:val="1F811C64"/>
    <w:rsid w:val="1F843311"/>
    <w:rsid w:val="1F884DA0"/>
    <w:rsid w:val="1F8D2032"/>
    <w:rsid w:val="1F941997"/>
    <w:rsid w:val="1F946C03"/>
    <w:rsid w:val="1F96403F"/>
    <w:rsid w:val="1F98757B"/>
    <w:rsid w:val="1F9D261E"/>
    <w:rsid w:val="1F9F20EA"/>
    <w:rsid w:val="1FA0658E"/>
    <w:rsid w:val="1FA12306"/>
    <w:rsid w:val="1FA12F8C"/>
    <w:rsid w:val="1FA140B4"/>
    <w:rsid w:val="1FA47700"/>
    <w:rsid w:val="1FA53BA4"/>
    <w:rsid w:val="1FA63478"/>
    <w:rsid w:val="1FA6791C"/>
    <w:rsid w:val="1FA80104"/>
    <w:rsid w:val="1FA807DA"/>
    <w:rsid w:val="1FA92F69"/>
    <w:rsid w:val="1FAA21C2"/>
    <w:rsid w:val="1FAA3C51"/>
    <w:rsid w:val="1FAA5776"/>
    <w:rsid w:val="1FAE057F"/>
    <w:rsid w:val="1FB02549"/>
    <w:rsid w:val="1FB45B75"/>
    <w:rsid w:val="1FB57B5F"/>
    <w:rsid w:val="1FB94E96"/>
    <w:rsid w:val="1FBB33C8"/>
    <w:rsid w:val="1FBC2869"/>
    <w:rsid w:val="1FBF278C"/>
    <w:rsid w:val="1FBF5145"/>
    <w:rsid w:val="1FC21ED8"/>
    <w:rsid w:val="1FC3402A"/>
    <w:rsid w:val="1FC57DA2"/>
    <w:rsid w:val="1FC63A0A"/>
    <w:rsid w:val="1FD2426D"/>
    <w:rsid w:val="1FD53D5E"/>
    <w:rsid w:val="1FD61FB0"/>
    <w:rsid w:val="1FD7246A"/>
    <w:rsid w:val="1FDA0089"/>
    <w:rsid w:val="1FDC7BDF"/>
    <w:rsid w:val="1FE245DC"/>
    <w:rsid w:val="1FE521F3"/>
    <w:rsid w:val="1FE65F6B"/>
    <w:rsid w:val="1FE7539E"/>
    <w:rsid w:val="1FE805BF"/>
    <w:rsid w:val="1FEA4E1F"/>
    <w:rsid w:val="1FEA7809"/>
    <w:rsid w:val="1FED554B"/>
    <w:rsid w:val="1FF13C5E"/>
    <w:rsid w:val="1FF27875"/>
    <w:rsid w:val="1FF33D95"/>
    <w:rsid w:val="1FF40688"/>
    <w:rsid w:val="1FF42436"/>
    <w:rsid w:val="1FF81EEA"/>
    <w:rsid w:val="1FF82C18"/>
    <w:rsid w:val="1FF93EF0"/>
    <w:rsid w:val="1FFE1506"/>
    <w:rsid w:val="1FFE5062"/>
    <w:rsid w:val="1FFF43E3"/>
    <w:rsid w:val="20000DDB"/>
    <w:rsid w:val="200C1F5D"/>
    <w:rsid w:val="200D34F7"/>
    <w:rsid w:val="20112FE8"/>
    <w:rsid w:val="20254CE5"/>
    <w:rsid w:val="202B4E25"/>
    <w:rsid w:val="202F346E"/>
    <w:rsid w:val="2031368A"/>
    <w:rsid w:val="20341BF8"/>
    <w:rsid w:val="203647FC"/>
    <w:rsid w:val="203D202F"/>
    <w:rsid w:val="203E5DA7"/>
    <w:rsid w:val="204131A1"/>
    <w:rsid w:val="20446FE6"/>
    <w:rsid w:val="204D1ECB"/>
    <w:rsid w:val="204D5FEA"/>
    <w:rsid w:val="204F3B10"/>
    <w:rsid w:val="204F58BE"/>
    <w:rsid w:val="20516B50"/>
    <w:rsid w:val="20535708"/>
    <w:rsid w:val="20586E69"/>
    <w:rsid w:val="2059498F"/>
    <w:rsid w:val="205D447F"/>
    <w:rsid w:val="20601879"/>
    <w:rsid w:val="20607ACB"/>
    <w:rsid w:val="206104AB"/>
    <w:rsid w:val="206226A6"/>
    <w:rsid w:val="20623843"/>
    <w:rsid w:val="20654A36"/>
    <w:rsid w:val="20670E5A"/>
    <w:rsid w:val="20671BE0"/>
    <w:rsid w:val="206A51C4"/>
    <w:rsid w:val="206A6B9C"/>
    <w:rsid w:val="20713A86"/>
    <w:rsid w:val="20765541"/>
    <w:rsid w:val="20790B8D"/>
    <w:rsid w:val="20796DDF"/>
    <w:rsid w:val="20801F1B"/>
    <w:rsid w:val="20832045"/>
    <w:rsid w:val="20887022"/>
    <w:rsid w:val="208A05B3"/>
    <w:rsid w:val="208A2D9A"/>
    <w:rsid w:val="20915264"/>
    <w:rsid w:val="209361C8"/>
    <w:rsid w:val="20963CB8"/>
    <w:rsid w:val="20967991"/>
    <w:rsid w:val="209E0E72"/>
    <w:rsid w:val="209E5AEC"/>
    <w:rsid w:val="20A0436C"/>
    <w:rsid w:val="20A06FFF"/>
    <w:rsid w:val="20A26336"/>
    <w:rsid w:val="20A63420"/>
    <w:rsid w:val="20A81A1B"/>
    <w:rsid w:val="20AC4ABE"/>
    <w:rsid w:val="20AE2068"/>
    <w:rsid w:val="20AE60DC"/>
    <w:rsid w:val="20AE75E0"/>
    <w:rsid w:val="20B07FB6"/>
    <w:rsid w:val="20B322F1"/>
    <w:rsid w:val="20B646FB"/>
    <w:rsid w:val="20B66BBF"/>
    <w:rsid w:val="20B7344D"/>
    <w:rsid w:val="20B74F71"/>
    <w:rsid w:val="20BA42D4"/>
    <w:rsid w:val="20BF5AA4"/>
    <w:rsid w:val="20C52024"/>
    <w:rsid w:val="20C53DD2"/>
    <w:rsid w:val="20C95670"/>
    <w:rsid w:val="20CB65E1"/>
    <w:rsid w:val="20CC510D"/>
    <w:rsid w:val="20CD4C35"/>
    <w:rsid w:val="20CF69FF"/>
    <w:rsid w:val="20D14525"/>
    <w:rsid w:val="20D52267"/>
    <w:rsid w:val="20D65FDF"/>
    <w:rsid w:val="20D83F20"/>
    <w:rsid w:val="20DB35F6"/>
    <w:rsid w:val="20E34258"/>
    <w:rsid w:val="20E64474"/>
    <w:rsid w:val="20E83DA2"/>
    <w:rsid w:val="20E93F65"/>
    <w:rsid w:val="20E9477C"/>
    <w:rsid w:val="20EF1177"/>
    <w:rsid w:val="20F3093F"/>
    <w:rsid w:val="20F83789"/>
    <w:rsid w:val="20F87D04"/>
    <w:rsid w:val="20FD17BE"/>
    <w:rsid w:val="21004E0A"/>
    <w:rsid w:val="21012188"/>
    <w:rsid w:val="21026F3C"/>
    <w:rsid w:val="21052421"/>
    <w:rsid w:val="21072C86"/>
    <w:rsid w:val="21076199"/>
    <w:rsid w:val="21090925"/>
    <w:rsid w:val="21091F11"/>
    <w:rsid w:val="210B3EDB"/>
    <w:rsid w:val="210C1A01"/>
    <w:rsid w:val="210F3FE9"/>
    <w:rsid w:val="211014F1"/>
    <w:rsid w:val="211314F3"/>
    <w:rsid w:val="211556DA"/>
    <w:rsid w:val="211663DC"/>
    <w:rsid w:val="211803A6"/>
    <w:rsid w:val="211865F8"/>
    <w:rsid w:val="211C7E96"/>
    <w:rsid w:val="211F7986"/>
    <w:rsid w:val="21221225"/>
    <w:rsid w:val="21254871"/>
    <w:rsid w:val="21262AC3"/>
    <w:rsid w:val="212A0271"/>
    <w:rsid w:val="212E1977"/>
    <w:rsid w:val="212E3725"/>
    <w:rsid w:val="21310F17"/>
    <w:rsid w:val="213B74B1"/>
    <w:rsid w:val="213F5933"/>
    <w:rsid w:val="2140457F"/>
    <w:rsid w:val="21425423"/>
    <w:rsid w:val="2144119B"/>
    <w:rsid w:val="21442CBC"/>
    <w:rsid w:val="21456375"/>
    <w:rsid w:val="21486EDD"/>
    <w:rsid w:val="214B077B"/>
    <w:rsid w:val="214E314D"/>
    <w:rsid w:val="214F419C"/>
    <w:rsid w:val="21505D92"/>
    <w:rsid w:val="21507B40"/>
    <w:rsid w:val="21520C5E"/>
    <w:rsid w:val="2156503C"/>
    <w:rsid w:val="2157103C"/>
    <w:rsid w:val="215A2310"/>
    <w:rsid w:val="215A451A"/>
    <w:rsid w:val="21606EA4"/>
    <w:rsid w:val="21661111"/>
    <w:rsid w:val="21674E89"/>
    <w:rsid w:val="21677BBA"/>
    <w:rsid w:val="216924B1"/>
    <w:rsid w:val="216D06F2"/>
    <w:rsid w:val="216F244D"/>
    <w:rsid w:val="21703292"/>
    <w:rsid w:val="217156FE"/>
    <w:rsid w:val="21723F5A"/>
    <w:rsid w:val="21731082"/>
    <w:rsid w:val="217771F7"/>
    <w:rsid w:val="217C6B87"/>
    <w:rsid w:val="217E22D2"/>
    <w:rsid w:val="217E4362"/>
    <w:rsid w:val="21815F4B"/>
    <w:rsid w:val="218872DA"/>
    <w:rsid w:val="21937A2C"/>
    <w:rsid w:val="219503B7"/>
    <w:rsid w:val="21963AE0"/>
    <w:rsid w:val="2197576F"/>
    <w:rsid w:val="21985824"/>
    <w:rsid w:val="219B1A67"/>
    <w:rsid w:val="219B6A98"/>
    <w:rsid w:val="219C2D85"/>
    <w:rsid w:val="219E0413"/>
    <w:rsid w:val="219F2875"/>
    <w:rsid w:val="21A77E4B"/>
    <w:rsid w:val="21A83D12"/>
    <w:rsid w:val="21AB4D1C"/>
    <w:rsid w:val="21AC4ECC"/>
    <w:rsid w:val="21B244B2"/>
    <w:rsid w:val="21B300CF"/>
    <w:rsid w:val="21BA14DE"/>
    <w:rsid w:val="21BC2A5C"/>
    <w:rsid w:val="21BE19B9"/>
    <w:rsid w:val="21BF4CC5"/>
    <w:rsid w:val="21C03B6C"/>
    <w:rsid w:val="21C10A3D"/>
    <w:rsid w:val="21C16BCC"/>
    <w:rsid w:val="21C30312"/>
    <w:rsid w:val="21C35BB2"/>
    <w:rsid w:val="21C53505"/>
    <w:rsid w:val="21C709E5"/>
    <w:rsid w:val="21C83B7A"/>
    <w:rsid w:val="21C85169"/>
    <w:rsid w:val="21CA00F3"/>
    <w:rsid w:val="21CA5B44"/>
    <w:rsid w:val="21D00DD1"/>
    <w:rsid w:val="21D267A7"/>
    <w:rsid w:val="21D346AF"/>
    <w:rsid w:val="21D67962"/>
    <w:rsid w:val="21D818E3"/>
    <w:rsid w:val="21DE318A"/>
    <w:rsid w:val="21DF2155"/>
    <w:rsid w:val="21DF2C72"/>
    <w:rsid w:val="21E336A7"/>
    <w:rsid w:val="21E535E8"/>
    <w:rsid w:val="21E64000"/>
    <w:rsid w:val="21E96E3C"/>
    <w:rsid w:val="21EF55AB"/>
    <w:rsid w:val="21EF5B80"/>
    <w:rsid w:val="21F11323"/>
    <w:rsid w:val="21F305CB"/>
    <w:rsid w:val="21F737A6"/>
    <w:rsid w:val="21F7445F"/>
    <w:rsid w:val="21FB3F4F"/>
    <w:rsid w:val="21FC199D"/>
    <w:rsid w:val="21FC7B27"/>
    <w:rsid w:val="21FF061A"/>
    <w:rsid w:val="21FF0BFE"/>
    <w:rsid w:val="22000DC3"/>
    <w:rsid w:val="220628F4"/>
    <w:rsid w:val="2209282B"/>
    <w:rsid w:val="220A4776"/>
    <w:rsid w:val="22134C72"/>
    <w:rsid w:val="22151481"/>
    <w:rsid w:val="22162B37"/>
    <w:rsid w:val="221A39C9"/>
    <w:rsid w:val="221A3D34"/>
    <w:rsid w:val="221B014E"/>
    <w:rsid w:val="221B2DED"/>
    <w:rsid w:val="221B63A0"/>
    <w:rsid w:val="221C5C74"/>
    <w:rsid w:val="22205764"/>
    <w:rsid w:val="2229591A"/>
    <w:rsid w:val="222B5EB7"/>
    <w:rsid w:val="222D1BEC"/>
    <w:rsid w:val="222F1E4B"/>
    <w:rsid w:val="22364F87"/>
    <w:rsid w:val="223B259E"/>
    <w:rsid w:val="223E0DB0"/>
    <w:rsid w:val="223E208E"/>
    <w:rsid w:val="22405E06"/>
    <w:rsid w:val="2241392C"/>
    <w:rsid w:val="2245721E"/>
    <w:rsid w:val="22471972"/>
    <w:rsid w:val="22477195"/>
    <w:rsid w:val="22482F0D"/>
    <w:rsid w:val="224A1114"/>
    <w:rsid w:val="224A733E"/>
    <w:rsid w:val="22521696"/>
    <w:rsid w:val="22563522"/>
    <w:rsid w:val="22573150"/>
    <w:rsid w:val="22576990"/>
    <w:rsid w:val="225B679C"/>
    <w:rsid w:val="225E003A"/>
    <w:rsid w:val="226136F6"/>
    <w:rsid w:val="22622802"/>
    <w:rsid w:val="22645D35"/>
    <w:rsid w:val="2265761B"/>
    <w:rsid w:val="2268710B"/>
    <w:rsid w:val="226C09A9"/>
    <w:rsid w:val="226E284B"/>
    <w:rsid w:val="227028F7"/>
    <w:rsid w:val="22765384"/>
    <w:rsid w:val="2277734E"/>
    <w:rsid w:val="22794E74"/>
    <w:rsid w:val="227E09AA"/>
    <w:rsid w:val="227F78B3"/>
    <w:rsid w:val="22821F7B"/>
    <w:rsid w:val="22834224"/>
    <w:rsid w:val="22837AA1"/>
    <w:rsid w:val="22851A6B"/>
    <w:rsid w:val="22852193"/>
    <w:rsid w:val="22877591"/>
    <w:rsid w:val="228A0E2F"/>
    <w:rsid w:val="228C104B"/>
    <w:rsid w:val="228C4BA7"/>
    <w:rsid w:val="228F33A1"/>
    <w:rsid w:val="22947F00"/>
    <w:rsid w:val="22993768"/>
    <w:rsid w:val="22994C0C"/>
    <w:rsid w:val="229B58D4"/>
    <w:rsid w:val="229D5007"/>
    <w:rsid w:val="22A3415F"/>
    <w:rsid w:val="22A53EBB"/>
    <w:rsid w:val="22A719E1"/>
    <w:rsid w:val="22AA11AD"/>
    <w:rsid w:val="22AB359E"/>
    <w:rsid w:val="22AD1BFA"/>
    <w:rsid w:val="22BB56C1"/>
    <w:rsid w:val="22BE6D2B"/>
    <w:rsid w:val="22C00891"/>
    <w:rsid w:val="22C029EF"/>
    <w:rsid w:val="22C24875"/>
    <w:rsid w:val="22C32593"/>
    <w:rsid w:val="22C5455D"/>
    <w:rsid w:val="22C73B28"/>
    <w:rsid w:val="22C75BE0"/>
    <w:rsid w:val="22C8411F"/>
    <w:rsid w:val="22C8735F"/>
    <w:rsid w:val="22CE3412"/>
    <w:rsid w:val="22D30A28"/>
    <w:rsid w:val="22D402FC"/>
    <w:rsid w:val="22D46041"/>
    <w:rsid w:val="22D60519"/>
    <w:rsid w:val="22D91657"/>
    <w:rsid w:val="22DB78DD"/>
    <w:rsid w:val="22E03145"/>
    <w:rsid w:val="22E53212"/>
    <w:rsid w:val="22E82F78"/>
    <w:rsid w:val="22EB3FC4"/>
    <w:rsid w:val="22F1429A"/>
    <w:rsid w:val="22F34C27"/>
    <w:rsid w:val="22F47480"/>
    <w:rsid w:val="22FB1D2D"/>
    <w:rsid w:val="23046E34"/>
    <w:rsid w:val="23047F32"/>
    <w:rsid w:val="23052BAC"/>
    <w:rsid w:val="230610BB"/>
    <w:rsid w:val="2309444A"/>
    <w:rsid w:val="230A74F9"/>
    <w:rsid w:val="230D7BEE"/>
    <w:rsid w:val="23115FA3"/>
    <w:rsid w:val="23144B9D"/>
    <w:rsid w:val="23166B67"/>
    <w:rsid w:val="2318643B"/>
    <w:rsid w:val="231A15C5"/>
    <w:rsid w:val="23221CEF"/>
    <w:rsid w:val="2323549B"/>
    <w:rsid w:val="23272B22"/>
    <w:rsid w:val="232748D0"/>
    <w:rsid w:val="2329689A"/>
    <w:rsid w:val="232C0139"/>
    <w:rsid w:val="232E5C5F"/>
    <w:rsid w:val="2331574F"/>
    <w:rsid w:val="23332E64"/>
    <w:rsid w:val="23347B0F"/>
    <w:rsid w:val="23372BD4"/>
    <w:rsid w:val="23377209"/>
    <w:rsid w:val="2338088B"/>
    <w:rsid w:val="233E0D8E"/>
    <w:rsid w:val="233E17D0"/>
    <w:rsid w:val="233F1C1A"/>
    <w:rsid w:val="233F7E6C"/>
    <w:rsid w:val="234611FA"/>
    <w:rsid w:val="23482F54"/>
    <w:rsid w:val="23483118"/>
    <w:rsid w:val="234B6811"/>
    <w:rsid w:val="23502079"/>
    <w:rsid w:val="23515DF1"/>
    <w:rsid w:val="23582037"/>
    <w:rsid w:val="235A6AF5"/>
    <w:rsid w:val="235B0B5A"/>
    <w:rsid w:val="235B5827"/>
    <w:rsid w:val="23641680"/>
    <w:rsid w:val="2366364A"/>
    <w:rsid w:val="236D5D3A"/>
    <w:rsid w:val="237D4500"/>
    <w:rsid w:val="23810484"/>
    <w:rsid w:val="23856C43"/>
    <w:rsid w:val="238639E1"/>
    <w:rsid w:val="23867849"/>
    <w:rsid w:val="23884B77"/>
    <w:rsid w:val="238B1303"/>
    <w:rsid w:val="238C6E29"/>
    <w:rsid w:val="238E5B66"/>
    <w:rsid w:val="238F61D4"/>
    <w:rsid w:val="239000FE"/>
    <w:rsid w:val="23947E72"/>
    <w:rsid w:val="23953F30"/>
    <w:rsid w:val="239A1546"/>
    <w:rsid w:val="239A1BA6"/>
    <w:rsid w:val="239D590C"/>
    <w:rsid w:val="239F1ACF"/>
    <w:rsid w:val="239F4DAE"/>
    <w:rsid w:val="23A10B26"/>
    <w:rsid w:val="23A11B58"/>
    <w:rsid w:val="23A15E53"/>
    <w:rsid w:val="23A32F09"/>
    <w:rsid w:val="23A42F9B"/>
    <w:rsid w:val="23A45F21"/>
    <w:rsid w:val="23A82057"/>
    <w:rsid w:val="23A924A0"/>
    <w:rsid w:val="23AC4FE0"/>
    <w:rsid w:val="23AE4FF1"/>
    <w:rsid w:val="23B02B18"/>
    <w:rsid w:val="23B048C6"/>
    <w:rsid w:val="23B229FE"/>
    <w:rsid w:val="23B40EF5"/>
    <w:rsid w:val="23B75C54"/>
    <w:rsid w:val="23B819CC"/>
    <w:rsid w:val="23B87C1E"/>
    <w:rsid w:val="23B95F8F"/>
    <w:rsid w:val="23B966C4"/>
    <w:rsid w:val="23BC770E"/>
    <w:rsid w:val="23BD5235"/>
    <w:rsid w:val="23BE2382"/>
    <w:rsid w:val="23BF0FAD"/>
    <w:rsid w:val="23BF2D5B"/>
    <w:rsid w:val="23C12F77"/>
    <w:rsid w:val="23C71C0F"/>
    <w:rsid w:val="23CE7442"/>
    <w:rsid w:val="23D700A4"/>
    <w:rsid w:val="23D93386"/>
    <w:rsid w:val="23DC0243"/>
    <w:rsid w:val="23DE1C48"/>
    <w:rsid w:val="23E40A13"/>
    <w:rsid w:val="23E65A79"/>
    <w:rsid w:val="23EB1DA2"/>
    <w:rsid w:val="23EB45DA"/>
    <w:rsid w:val="23EB7FF4"/>
    <w:rsid w:val="23EC5E3E"/>
    <w:rsid w:val="23EE53EE"/>
    <w:rsid w:val="23F01166"/>
    <w:rsid w:val="23F46EA8"/>
    <w:rsid w:val="23F70830"/>
    <w:rsid w:val="23F84985"/>
    <w:rsid w:val="23F91212"/>
    <w:rsid w:val="23FA0237"/>
    <w:rsid w:val="23FA201E"/>
    <w:rsid w:val="23FF584D"/>
    <w:rsid w:val="24003A9F"/>
    <w:rsid w:val="240210CD"/>
    <w:rsid w:val="24042E63"/>
    <w:rsid w:val="240D7F6A"/>
    <w:rsid w:val="240E3AE2"/>
    <w:rsid w:val="24117B72"/>
    <w:rsid w:val="24156E1F"/>
    <w:rsid w:val="24165AF6"/>
    <w:rsid w:val="24194B61"/>
    <w:rsid w:val="241A2687"/>
    <w:rsid w:val="241B0042"/>
    <w:rsid w:val="241B709D"/>
    <w:rsid w:val="241E6913"/>
    <w:rsid w:val="24215577"/>
    <w:rsid w:val="24233357"/>
    <w:rsid w:val="24247062"/>
    <w:rsid w:val="242552B4"/>
    <w:rsid w:val="24264B88"/>
    <w:rsid w:val="242B219E"/>
    <w:rsid w:val="242D4168"/>
    <w:rsid w:val="242D5F16"/>
    <w:rsid w:val="2432657C"/>
    <w:rsid w:val="24362564"/>
    <w:rsid w:val="243B6031"/>
    <w:rsid w:val="24480FA2"/>
    <w:rsid w:val="2449696F"/>
    <w:rsid w:val="244B0A92"/>
    <w:rsid w:val="244D0366"/>
    <w:rsid w:val="24521E21"/>
    <w:rsid w:val="245443C0"/>
    <w:rsid w:val="24575689"/>
    <w:rsid w:val="245F12E5"/>
    <w:rsid w:val="24601679"/>
    <w:rsid w:val="24612064"/>
    <w:rsid w:val="2463402E"/>
    <w:rsid w:val="2467660B"/>
    <w:rsid w:val="246833F2"/>
    <w:rsid w:val="24697DB5"/>
    <w:rsid w:val="246C12E6"/>
    <w:rsid w:val="246F27F5"/>
    <w:rsid w:val="247022A7"/>
    <w:rsid w:val="2471674B"/>
    <w:rsid w:val="247426A1"/>
    <w:rsid w:val="24743B45"/>
    <w:rsid w:val="247973AD"/>
    <w:rsid w:val="247B3126"/>
    <w:rsid w:val="247D4CF8"/>
    <w:rsid w:val="2480698E"/>
    <w:rsid w:val="24822706"/>
    <w:rsid w:val="24857B00"/>
    <w:rsid w:val="24885842"/>
    <w:rsid w:val="2489306D"/>
    <w:rsid w:val="248D0814"/>
    <w:rsid w:val="24940CF0"/>
    <w:rsid w:val="24961512"/>
    <w:rsid w:val="24997A50"/>
    <w:rsid w:val="249A6DF1"/>
    <w:rsid w:val="249B37C8"/>
    <w:rsid w:val="249B5576"/>
    <w:rsid w:val="249C1EC1"/>
    <w:rsid w:val="249D7540"/>
    <w:rsid w:val="24A3267C"/>
    <w:rsid w:val="24A576F6"/>
    <w:rsid w:val="24A85EE5"/>
    <w:rsid w:val="24A93D28"/>
    <w:rsid w:val="24AC7783"/>
    <w:rsid w:val="24AE34FB"/>
    <w:rsid w:val="24B677D2"/>
    <w:rsid w:val="24BA380A"/>
    <w:rsid w:val="24BC5AB4"/>
    <w:rsid w:val="24BE74B6"/>
    <w:rsid w:val="24BF09F7"/>
    <w:rsid w:val="24C543A1"/>
    <w:rsid w:val="24C57806"/>
    <w:rsid w:val="24D6035C"/>
    <w:rsid w:val="24D665AE"/>
    <w:rsid w:val="24D740D4"/>
    <w:rsid w:val="24DB72C2"/>
    <w:rsid w:val="24E07603"/>
    <w:rsid w:val="24E46F1D"/>
    <w:rsid w:val="24E52C95"/>
    <w:rsid w:val="24E54A43"/>
    <w:rsid w:val="24E562E5"/>
    <w:rsid w:val="24E64719"/>
    <w:rsid w:val="24E94533"/>
    <w:rsid w:val="24E964E8"/>
    <w:rsid w:val="24EA6324"/>
    <w:rsid w:val="24EC0966"/>
    <w:rsid w:val="24EC7B7F"/>
    <w:rsid w:val="24ED38F7"/>
    <w:rsid w:val="24EF58C2"/>
    <w:rsid w:val="24F0099A"/>
    <w:rsid w:val="24F2466B"/>
    <w:rsid w:val="24F44E2B"/>
    <w:rsid w:val="24FC303A"/>
    <w:rsid w:val="24FE5B05"/>
    <w:rsid w:val="2503462D"/>
    <w:rsid w:val="2504136D"/>
    <w:rsid w:val="2504636E"/>
    <w:rsid w:val="25053989"/>
    <w:rsid w:val="250E6CE9"/>
    <w:rsid w:val="25104604"/>
    <w:rsid w:val="25131844"/>
    <w:rsid w:val="25156BB8"/>
    <w:rsid w:val="25161906"/>
    <w:rsid w:val="25164D9F"/>
    <w:rsid w:val="25180974"/>
    <w:rsid w:val="25201F1F"/>
    <w:rsid w:val="25227EA9"/>
    <w:rsid w:val="25253091"/>
    <w:rsid w:val="25254147"/>
    <w:rsid w:val="252B6457"/>
    <w:rsid w:val="252C0DB5"/>
    <w:rsid w:val="252D53FE"/>
    <w:rsid w:val="25331C52"/>
    <w:rsid w:val="25381017"/>
    <w:rsid w:val="25396B3D"/>
    <w:rsid w:val="253A0D01"/>
    <w:rsid w:val="253F23A5"/>
    <w:rsid w:val="253F4153"/>
    <w:rsid w:val="25441DB3"/>
    <w:rsid w:val="254A48EC"/>
    <w:rsid w:val="254C4AC2"/>
    <w:rsid w:val="255B41CD"/>
    <w:rsid w:val="255F3F21"/>
    <w:rsid w:val="2560231B"/>
    <w:rsid w:val="25626093"/>
    <w:rsid w:val="25657932"/>
    <w:rsid w:val="25672D36"/>
    <w:rsid w:val="25695674"/>
    <w:rsid w:val="25697422"/>
    <w:rsid w:val="256A591D"/>
    <w:rsid w:val="256C5F96"/>
    <w:rsid w:val="256C6F12"/>
    <w:rsid w:val="25714529"/>
    <w:rsid w:val="258403C0"/>
    <w:rsid w:val="2584600A"/>
    <w:rsid w:val="2585117F"/>
    <w:rsid w:val="25867FD4"/>
    <w:rsid w:val="25873D43"/>
    <w:rsid w:val="258B383C"/>
    <w:rsid w:val="258E0C37"/>
    <w:rsid w:val="25956469"/>
    <w:rsid w:val="259B7D8E"/>
    <w:rsid w:val="259D531E"/>
    <w:rsid w:val="259E73AE"/>
    <w:rsid w:val="259F4BF2"/>
    <w:rsid w:val="25A83A04"/>
    <w:rsid w:val="25AE12D9"/>
    <w:rsid w:val="25AF3825"/>
    <w:rsid w:val="25AF5095"/>
    <w:rsid w:val="25AF6D57"/>
    <w:rsid w:val="25B05051"/>
    <w:rsid w:val="25B061BA"/>
    <w:rsid w:val="25B06DFF"/>
    <w:rsid w:val="25B111B0"/>
    <w:rsid w:val="25B255F8"/>
    <w:rsid w:val="25B3069D"/>
    <w:rsid w:val="25B328ED"/>
    <w:rsid w:val="25B37A71"/>
    <w:rsid w:val="25B52AD9"/>
    <w:rsid w:val="25B73A53"/>
    <w:rsid w:val="25BA0095"/>
    <w:rsid w:val="25BC0B3F"/>
    <w:rsid w:val="25BC18C5"/>
    <w:rsid w:val="25BC2E15"/>
    <w:rsid w:val="25BD674F"/>
    <w:rsid w:val="25BF7042"/>
    <w:rsid w:val="25C30157"/>
    <w:rsid w:val="25C36459"/>
    <w:rsid w:val="25C603D0"/>
    <w:rsid w:val="25C60622"/>
    <w:rsid w:val="25C6268A"/>
    <w:rsid w:val="25C91C6F"/>
    <w:rsid w:val="25CB2A91"/>
    <w:rsid w:val="25CB59E7"/>
    <w:rsid w:val="25D740C9"/>
    <w:rsid w:val="25D80104"/>
    <w:rsid w:val="25DA0320"/>
    <w:rsid w:val="25DB38CA"/>
    <w:rsid w:val="25DC09AE"/>
    <w:rsid w:val="25DC4098"/>
    <w:rsid w:val="25E5333B"/>
    <w:rsid w:val="25E92568"/>
    <w:rsid w:val="25EC2D81"/>
    <w:rsid w:val="25EE5B79"/>
    <w:rsid w:val="25F807A6"/>
    <w:rsid w:val="25FA2770"/>
    <w:rsid w:val="25FD5DBC"/>
    <w:rsid w:val="25FE400E"/>
    <w:rsid w:val="2600781F"/>
    <w:rsid w:val="26037E15"/>
    <w:rsid w:val="26062EC3"/>
    <w:rsid w:val="260770CA"/>
    <w:rsid w:val="260C637D"/>
    <w:rsid w:val="26133722"/>
    <w:rsid w:val="26151358"/>
    <w:rsid w:val="261750D0"/>
    <w:rsid w:val="26192BF6"/>
    <w:rsid w:val="261C26E6"/>
    <w:rsid w:val="26215C0B"/>
    <w:rsid w:val="262477ED"/>
    <w:rsid w:val="26267F98"/>
    <w:rsid w:val="262B46D7"/>
    <w:rsid w:val="26306192"/>
    <w:rsid w:val="263064F4"/>
    <w:rsid w:val="26306693"/>
    <w:rsid w:val="26307F40"/>
    <w:rsid w:val="26321F0A"/>
    <w:rsid w:val="26331896"/>
    <w:rsid w:val="26357304"/>
    <w:rsid w:val="2637003D"/>
    <w:rsid w:val="263732B9"/>
    <w:rsid w:val="263C0693"/>
    <w:rsid w:val="263F0183"/>
    <w:rsid w:val="26451C3D"/>
    <w:rsid w:val="264834DB"/>
    <w:rsid w:val="26485289"/>
    <w:rsid w:val="26487037"/>
    <w:rsid w:val="26490DAB"/>
    <w:rsid w:val="26520494"/>
    <w:rsid w:val="26526108"/>
    <w:rsid w:val="265359DC"/>
    <w:rsid w:val="26555BF8"/>
    <w:rsid w:val="265D1C24"/>
    <w:rsid w:val="265E2CFF"/>
    <w:rsid w:val="265E65A2"/>
    <w:rsid w:val="265F5CBE"/>
    <w:rsid w:val="26600825"/>
    <w:rsid w:val="26632D69"/>
    <w:rsid w:val="26661BB3"/>
    <w:rsid w:val="26667E05"/>
    <w:rsid w:val="2668592C"/>
    <w:rsid w:val="266A0D63"/>
    <w:rsid w:val="266B4AD8"/>
    <w:rsid w:val="266E3938"/>
    <w:rsid w:val="266F2816"/>
    <w:rsid w:val="266F6CBA"/>
    <w:rsid w:val="26715CFB"/>
    <w:rsid w:val="26722306"/>
    <w:rsid w:val="26725479"/>
    <w:rsid w:val="2673093B"/>
    <w:rsid w:val="267F0F2D"/>
    <w:rsid w:val="26804680"/>
    <w:rsid w:val="26832064"/>
    <w:rsid w:val="268442D5"/>
    <w:rsid w:val="2685584E"/>
    <w:rsid w:val="268838D8"/>
    <w:rsid w:val="268B18B9"/>
    <w:rsid w:val="269012B0"/>
    <w:rsid w:val="2690510D"/>
    <w:rsid w:val="269226B3"/>
    <w:rsid w:val="269229A8"/>
    <w:rsid w:val="2694303C"/>
    <w:rsid w:val="2698203F"/>
    <w:rsid w:val="269C5550"/>
    <w:rsid w:val="269D6AE5"/>
    <w:rsid w:val="26A83F7A"/>
    <w:rsid w:val="26AA1AA0"/>
    <w:rsid w:val="26AF70B6"/>
    <w:rsid w:val="26B500A6"/>
    <w:rsid w:val="26B521AD"/>
    <w:rsid w:val="26B873F8"/>
    <w:rsid w:val="26BD2799"/>
    <w:rsid w:val="26BF35DE"/>
    <w:rsid w:val="26C32B62"/>
    <w:rsid w:val="26C8427A"/>
    <w:rsid w:val="26CC791D"/>
    <w:rsid w:val="26CD578F"/>
    <w:rsid w:val="26D018EA"/>
    <w:rsid w:val="26D7660D"/>
    <w:rsid w:val="26D8541E"/>
    <w:rsid w:val="26DB038C"/>
    <w:rsid w:val="26DB60FD"/>
    <w:rsid w:val="26E054C2"/>
    <w:rsid w:val="26E34FB2"/>
    <w:rsid w:val="26E864D7"/>
    <w:rsid w:val="26EC20B9"/>
    <w:rsid w:val="26EF06E2"/>
    <w:rsid w:val="26F40F6D"/>
    <w:rsid w:val="26F45411"/>
    <w:rsid w:val="26F62F37"/>
    <w:rsid w:val="26F947D6"/>
    <w:rsid w:val="26FC44F7"/>
    <w:rsid w:val="270218DC"/>
    <w:rsid w:val="270311B0"/>
    <w:rsid w:val="27076EF2"/>
    <w:rsid w:val="27090058"/>
    <w:rsid w:val="2709752E"/>
    <w:rsid w:val="270B5A07"/>
    <w:rsid w:val="270C62B7"/>
    <w:rsid w:val="270D202F"/>
    <w:rsid w:val="270F224B"/>
    <w:rsid w:val="27113E81"/>
    <w:rsid w:val="271433BD"/>
    <w:rsid w:val="27191010"/>
    <w:rsid w:val="271E43A3"/>
    <w:rsid w:val="27207FB4"/>
    <w:rsid w:val="27277342"/>
    <w:rsid w:val="27283D63"/>
    <w:rsid w:val="272A0E33"/>
    <w:rsid w:val="272C0820"/>
    <w:rsid w:val="272F1FA5"/>
    <w:rsid w:val="27320E52"/>
    <w:rsid w:val="273803E6"/>
    <w:rsid w:val="27381396"/>
    <w:rsid w:val="273B6B9C"/>
    <w:rsid w:val="273D2914"/>
    <w:rsid w:val="27435A51"/>
    <w:rsid w:val="27465EDA"/>
    <w:rsid w:val="274912B9"/>
    <w:rsid w:val="274A6DDF"/>
    <w:rsid w:val="274B47C7"/>
    <w:rsid w:val="274C6FFB"/>
    <w:rsid w:val="274E2D73"/>
    <w:rsid w:val="275859A0"/>
    <w:rsid w:val="275A1718"/>
    <w:rsid w:val="275D29E0"/>
    <w:rsid w:val="275D4D64"/>
    <w:rsid w:val="27602AA7"/>
    <w:rsid w:val="27615AEF"/>
    <w:rsid w:val="27646BE7"/>
    <w:rsid w:val="27647521"/>
    <w:rsid w:val="2767173F"/>
    <w:rsid w:val="276E2ACE"/>
    <w:rsid w:val="276F1C0A"/>
    <w:rsid w:val="277057A2"/>
    <w:rsid w:val="277125BE"/>
    <w:rsid w:val="27750300"/>
    <w:rsid w:val="27766813"/>
    <w:rsid w:val="27894255"/>
    <w:rsid w:val="278C389C"/>
    <w:rsid w:val="278E54D7"/>
    <w:rsid w:val="27901611"/>
    <w:rsid w:val="27913CFC"/>
    <w:rsid w:val="27914E30"/>
    <w:rsid w:val="279462AC"/>
    <w:rsid w:val="279C5AFD"/>
    <w:rsid w:val="279F35CF"/>
    <w:rsid w:val="279F7B3D"/>
    <w:rsid w:val="27A75FE0"/>
    <w:rsid w:val="27AA5AD0"/>
    <w:rsid w:val="27AB1F74"/>
    <w:rsid w:val="27AD796F"/>
    <w:rsid w:val="27AE736E"/>
    <w:rsid w:val="27B01338"/>
    <w:rsid w:val="27B806B9"/>
    <w:rsid w:val="27B877FD"/>
    <w:rsid w:val="27B92AB7"/>
    <w:rsid w:val="27BA5D13"/>
    <w:rsid w:val="27C60B5C"/>
    <w:rsid w:val="27D30FB9"/>
    <w:rsid w:val="27D547E6"/>
    <w:rsid w:val="27D74B17"/>
    <w:rsid w:val="27D75B9B"/>
    <w:rsid w:val="27DA449B"/>
    <w:rsid w:val="27DD5EA5"/>
    <w:rsid w:val="27DF39CB"/>
    <w:rsid w:val="27E15995"/>
    <w:rsid w:val="27E2170E"/>
    <w:rsid w:val="27E30E13"/>
    <w:rsid w:val="27E76799"/>
    <w:rsid w:val="27E77272"/>
    <w:rsid w:val="27E92A9C"/>
    <w:rsid w:val="27E965F8"/>
    <w:rsid w:val="27EC7E96"/>
    <w:rsid w:val="27F22781"/>
    <w:rsid w:val="27F37239"/>
    <w:rsid w:val="27F51C04"/>
    <w:rsid w:val="27F7396C"/>
    <w:rsid w:val="27FD20A3"/>
    <w:rsid w:val="27FF406E"/>
    <w:rsid w:val="28003398"/>
    <w:rsid w:val="28017DE6"/>
    <w:rsid w:val="280255D6"/>
    <w:rsid w:val="28036175"/>
    <w:rsid w:val="28041684"/>
    <w:rsid w:val="28043432"/>
    <w:rsid w:val="280D455A"/>
    <w:rsid w:val="280F5D69"/>
    <w:rsid w:val="28112CC9"/>
    <w:rsid w:val="28113261"/>
    <w:rsid w:val="28155093"/>
    <w:rsid w:val="281713B7"/>
    <w:rsid w:val="2818512F"/>
    <w:rsid w:val="281E47DC"/>
    <w:rsid w:val="28221C11"/>
    <w:rsid w:val="282249BA"/>
    <w:rsid w:val="282B2989"/>
    <w:rsid w:val="282F4953"/>
    <w:rsid w:val="28337719"/>
    <w:rsid w:val="28357702"/>
    <w:rsid w:val="283C7070"/>
    <w:rsid w:val="283E5914"/>
    <w:rsid w:val="283F3D12"/>
    <w:rsid w:val="284232DC"/>
    <w:rsid w:val="284266B4"/>
    <w:rsid w:val="28447CD2"/>
    <w:rsid w:val="28491F2C"/>
    <w:rsid w:val="28497097"/>
    <w:rsid w:val="28550131"/>
    <w:rsid w:val="28572169"/>
    <w:rsid w:val="28594272"/>
    <w:rsid w:val="28595E01"/>
    <w:rsid w:val="285A74F6"/>
    <w:rsid w:val="285C326E"/>
    <w:rsid w:val="285D2B42"/>
    <w:rsid w:val="28603093"/>
    <w:rsid w:val="286640ED"/>
    <w:rsid w:val="28667E20"/>
    <w:rsid w:val="28685F76"/>
    <w:rsid w:val="286975F0"/>
    <w:rsid w:val="28697739"/>
    <w:rsid w:val="286D3FB9"/>
    <w:rsid w:val="286E22AF"/>
    <w:rsid w:val="286E6AFD"/>
    <w:rsid w:val="28702875"/>
    <w:rsid w:val="28706D19"/>
    <w:rsid w:val="28715F89"/>
    <w:rsid w:val="28754330"/>
    <w:rsid w:val="28767B66"/>
    <w:rsid w:val="287700A8"/>
    <w:rsid w:val="2879521A"/>
    <w:rsid w:val="287B7B98"/>
    <w:rsid w:val="287E1436"/>
    <w:rsid w:val="28810F26"/>
    <w:rsid w:val="28814A83"/>
    <w:rsid w:val="288325A9"/>
    <w:rsid w:val="28846321"/>
    <w:rsid w:val="28887BBF"/>
    <w:rsid w:val="2891635B"/>
    <w:rsid w:val="28941E69"/>
    <w:rsid w:val="28944BC0"/>
    <w:rsid w:val="28953C4C"/>
    <w:rsid w:val="28976054"/>
    <w:rsid w:val="289A78F2"/>
    <w:rsid w:val="289D6E86"/>
    <w:rsid w:val="289E5635"/>
    <w:rsid w:val="28A075FF"/>
    <w:rsid w:val="28A15125"/>
    <w:rsid w:val="28A4567C"/>
    <w:rsid w:val="28A644E9"/>
    <w:rsid w:val="28A7603E"/>
    <w:rsid w:val="28AC42B8"/>
    <w:rsid w:val="28B112DC"/>
    <w:rsid w:val="28B206E5"/>
    <w:rsid w:val="28B379E1"/>
    <w:rsid w:val="28B764A8"/>
    <w:rsid w:val="28BB61E6"/>
    <w:rsid w:val="28C12F19"/>
    <w:rsid w:val="28C36E49"/>
    <w:rsid w:val="28C72DDD"/>
    <w:rsid w:val="28CB1816"/>
    <w:rsid w:val="28CC797B"/>
    <w:rsid w:val="28CD7CC8"/>
    <w:rsid w:val="28D63020"/>
    <w:rsid w:val="28D76D98"/>
    <w:rsid w:val="28DC0900"/>
    <w:rsid w:val="28DD5B8B"/>
    <w:rsid w:val="28E32A88"/>
    <w:rsid w:val="28E707B1"/>
    <w:rsid w:val="28E74583"/>
    <w:rsid w:val="28E76FDC"/>
    <w:rsid w:val="28EC2844"/>
    <w:rsid w:val="28F11C08"/>
    <w:rsid w:val="28F25980"/>
    <w:rsid w:val="28F45255"/>
    <w:rsid w:val="28F63A4C"/>
    <w:rsid w:val="28F65471"/>
    <w:rsid w:val="28F6721F"/>
    <w:rsid w:val="290061E9"/>
    <w:rsid w:val="2903193C"/>
    <w:rsid w:val="290336EA"/>
    <w:rsid w:val="29064F88"/>
    <w:rsid w:val="2907142C"/>
    <w:rsid w:val="29097D6B"/>
    <w:rsid w:val="290A0F1C"/>
    <w:rsid w:val="2915423D"/>
    <w:rsid w:val="29157C90"/>
    <w:rsid w:val="29161A85"/>
    <w:rsid w:val="29162832"/>
    <w:rsid w:val="291835F1"/>
    <w:rsid w:val="29194CBB"/>
    <w:rsid w:val="291C47AB"/>
    <w:rsid w:val="29206EB8"/>
    <w:rsid w:val="29271460"/>
    <w:rsid w:val="292A24FC"/>
    <w:rsid w:val="29306ABA"/>
    <w:rsid w:val="2931123F"/>
    <w:rsid w:val="29316FC1"/>
    <w:rsid w:val="29323FCF"/>
    <w:rsid w:val="29381B18"/>
    <w:rsid w:val="29387837"/>
    <w:rsid w:val="293E4722"/>
    <w:rsid w:val="29407507"/>
    <w:rsid w:val="29416EE2"/>
    <w:rsid w:val="2942458A"/>
    <w:rsid w:val="29441D2C"/>
    <w:rsid w:val="29453572"/>
    <w:rsid w:val="29471828"/>
    <w:rsid w:val="294E4BC1"/>
    <w:rsid w:val="294E71D1"/>
    <w:rsid w:val="294F2DD3"/>
    <w:rsid w:val="2953641F"/>
    <w:rsid w:val="29595666"/>
    <w:rsid w:val="295C2DFA"/>
    <w:rsid w:val="295F1A89"/>
    <w:rsid w:val="2962684A"/>
    <w:rsid w:val="29646E07"/>
    <w:rsid w:val="296633D8"/>
    <w:rsid w:val="296879F1"/>
    <w:rsid w:val="296A1CA7"/>
    <w:rsid w:val="296E14AB"/>
    <w:rsid w:val="2970538A"/>
    <w:rsid w:val="29712D49"/>
    <w:rsid w:val="29736AC1"/>
    <w:rsid w:val="297445E7"/>
    <w:rsid w:val="29785E86"/>
    <w:rsid w:val="297C5B80"/>
    <w:rsid w:val="297F5466"/>
    <w:rsid w:val="29804043"/>
    <w:rsid w:val="29824F56"/>
    <w:rsid w:val="29826D04"/>
    <w:rsid w:val="29826EE0"/>
    <w:rsid w:val="298365D8"/>
    <w:rsid w:val="298738F5"/>
    <w:rsid w:val="29874881"/>
    <w:rsid w:val="298C1931"/>
    <w:rsid w:val="298E38FB"/>
    <w:rsid w:val="29936105"/>
    <w:rsid w:val="29982084"/>
    <w:rsid w:val="29984DDA"/>
    <w:rsid w:val="299B1B74"/>
    <w:rsid w:val="299C1002"/>
    <w:rsid w:val="299D58EC"/>
    <w:rsid w:val="29A21154"/>
    <w:rsid w:val="29A30A29"/>
    <w:rsid w:val="29A80A63"/>
    <w:rsid w:val="29A9150A"/>
    <w:rsid w:val="29A924E3"/>
    <w:rsid w:val="29AB414D"/>
    <w:rsid w:val="29AE18A7"/>
    <w:rsid w:val="29AE5140"/>
    <w:rsid w:val="29B053EE"/>
    <w:rsid w:val="29B36EBE"/>
    <w:rsid w:val="29B42C36"/>
    <w:rsid w:val="29B449E4"/>
    <w:rsid w:val="29B50E88"/>
    <w:rsid w:val="29B6525D"/>
    <w:rsid w:val="29B9024C"/>
    <w:rsid w:val="29C13DAA"/>
    <w:rsid w:val="29C410CB"/>
    <w:rsid w:val="29C42A2C"/>
    <w:rsid w:val="29C67614"/>
    <w:rsid w:val="29C70BBB"/>
    <w:rsid w:val="29CB65D2"/>
    <w:rsid w:val="29CC61D1"/>
    <w:rsid w:val="29CF1E07"/>
    <w:rsid w:val="29D26B76"/>
    <w:rsid w:val="29D46E34"/>
    <w:rsid w:val="29D65FCB"/>
    <w:rsid w:val="29DD03DE"/>
    <w:rsid w:val="29DE4F5E"/>
    <w:rsid w:val="29E325E0"/>
    <w:rsid w:val="29E96D83"/>
    <w:rsid w:val="29EA3065"/>
    <w:rsid w:val="29EE131C"/>
    <w:rsid w:val="29F1126C"/>
    <w:rsid w:val="29FA084D"/>
    <w:rsid w:val="29FA2169"/>
    <w:rsid w:val="29FE4E85"/>
    <w:rsid w:val="2A0120C5"/>
    <w:rsid w:val="2A03455E"/>
    <w:rsid w:val="2A065B1F"/>
    <w:rsid w:val="2A094D30"/>
    <w:rsid w:val="2A0C2316"/>
    <w:rsid w:val="2A0E13C2"/>
    <w:rsid w:val="2A0F02AA"/>
    <w:rsid w:val="2A0F0615"/>
    <w:rsid w:val="2A111BBA"/>
    <w:rsid w:val="2A13795C"/>
    <w:rsid w:val="2A1D4C7F"/>
    <w:rsid w:val="2A2100F9"/>
    <w:rsid w:val="2A217406"/>
    <w:rsid w:val="2A224043"/>
    <w:rsid w:val="2A247694"/>
    <w:rsid w:val="2A273408"/>
    <w:rsid w:val="2A293624"/>
    <w:rsid w:val="2A2B114A"/>
    <w:rsid w:val="2A2D4EC2"/>
    <w:rsid w:val="2A2D57AD"/>
    <w:rsid w:val="2A331DAD"/>
    <w:rsid w:val="2A383867"/>
    <w:rsid w:val="2A41096D"/>
    <w:rsid w:val="2A41271B"/>
    <w:rsid w:val="2A42208E"/>
    <w:rsid w:val="2A426494"/>
    <w:rsid w:val="2A44220C"/>
    <w:rsid w:val="2A452503"/>
    <w:rsid w:val="2A470BC4"/>
    <w:rsid w:val="2A495A74"/>
    <w:rsid w:val="2A4C33CE"/>
    <w:rsid w:val="2A5012A5"/>
    <w:rsid w:val="2A504FA9"/>
    <w:rsid w:val="2A5850DC"/>
    <w:rsid w:val="2A5A30EF"/>
    <w:rsid w:val="2A5C57A7"/>
    <w:rsid w:val="2A612DBE"/>
    <w:rsid w:val="2A61691A"/>
    <w:rsid w:val="2A663F30"/>
    <w:rsid w:val="2A691C72"/>
    <w:rsid w:val="2A6B3832"/>
    <w:rsid w:val="2A6C52BE"/>
    <w:rsid w:val="2A727C33"/>
    <w:rsid w:val="2A757CA7"/>
    <w:rsid w:val="2A7D74CC"/>
    <w:rsid w:val="2A80338B"/>
    <w:rsid w:val="2A816FBC"/>
    <w:rsid w:val="2A832D34"/>
    <w:rsid w:val="2A866380"/>
    <w:rsid w:val="2A8B3997"/>
    <w:rsid w:val="2A9211C9"/>
    <w:rsid w:val="2A946289"/>
    <w:rsid w:val="2A950CB9"/>
    <w:rsid w:val="2A9951C0"/>
    <w:rsid w:val="2A9A0C92"/>
    <w:rsid w:val="2A9A1E2C"/>
    <w:rsid w:val="2A9C6B03"/>
    <w:rsid w:val="2AA16D68"/>
    <w:rsid w:val="2AA52774"/>
    <w:rsid w:val="2AAD7DB1"/>
    <w:rsid w:val="2AB16E31"/>
    <w:rsid w:val="2AB32EED"/>
    <w:rsid w:val="2AB729DE"/>
    <w:rsid w:val="2ABD7C6A"/>
    <w:rsid w:val="2AC33130"/>
    <w:rsid w:val="2ACA03C4"/>
    <w:rsid w:val="2ACB6489"/>
    <w:rsid w:val="2AD03A9F"/>
    <w:rsid w:val="2AD1624A"/>
    <w:rsid w:val="2AD91C3E"/>
    <w:rsid w:val="2ADB3EF0"/>
    <w:rsid w:val="2AE01F34"/>
    <w:rsid w:val="2AE128D7"/>
    <w:rsid w:val="2AE7493C"/>
    <w:rsid w:val="2AF23A16"/>
    <w:rsid w:val="2AF27EBA"/>
    <w:rsid w:val="2AF56779"/>
    <w:rsid w:val="2AF6306C"/>
    <w:rsid w:val="2AF7102C"/>
    <w:rsid w:val="2AF754D0"/>
    <w:rsid w:val="2AF75775"/>
    <w:rsid w:val="2AFA28CA"/>
    <w:rsid w:val="2AFC6024"/>
    <w:rsid w:val="2AFD74FF"/>
    <w:rsid w:val="2AFE09DE"/>
    <w:rsid w:val="2AFF093C"/>
    <w:rsid w:val="2B035C23"/>
    <w:rsid w:val="2B0379D1"/>
    <w:rsid w:val="2B0769CD"/>
    <w:rsid w:val="2B084391"/>
    <w:rsid w:val="2B151EA3"/>
    <w:rsid w:val="2B154ECC"/>
    <w:rsid w:val="2B1B11BE"/>
    <w:rsid w:val="2B1B38F0"/>
    <w:rsid w:val="2B1E480B"/>
    <w:rsid w:val="2B211CA4"/>
    <w:rsid w:val="2B275DB5"/>
    <w:rsid w:val="2B2E632D"/>
    <w:rsid w:val="2B2E7A6E"/>
    <w:rsid w:val="2B303C13"/>
    <w:rsid w:val="2B3C3EE3"/>
    <w:rsid w:val="2B3C75F1"/>
    <w:rsid w:val="2B406E77"/>
    <w:rsid w:val="2B4324C3"/>
    <w:rsid w:val="2B45623B"/>
    <w:rsid w:val="2B485D2C"/>
    <w:rsid w:val="2B4F0E68"/>
    <w:rsid w:val="2B4F70BA"/>
    <w:rsid w:val="2B52793D"/>
    <w:rsid w:val="2B585F6F"/>
    <w:rsid w:val="2B5D3585"/>
    <w:rsid w:val="2B612949"/>
    <w:rsid w:val="2B626DED"/>
    <w:rsid w:val="2B632B65"/>
    <w:rsid w:val="2B65243A"/>
    <w:rsid w:val="2B667F60"/>
    <w:rsid w:val="2B6725B9"/>
    <w:rsid w:val="2B6B087F"/>
    <w:rsid w:val="2B6D12EE"/>
    <w:rsid w:val="2B701DB4"/>
    <w:rsid w:val="2B7408CF"/>
    <w:rsid w:val="2B7B18A0"/>
    <w:rsid w:val="2B7C0995"/>
    <w:rsid w:val="2B7D7783"/>
    <w:rsid w:val="2B807273"/>
    <w:rsid w:val="2B822FEC"/>
    <w:rsid w:val="2B8B2FAB"/>
    <w:rsid w:val="2B93404B"/>
    <w:rsid w:val="2B9351F9"/>
    <w:rsid w:val="2B9608D4"/>
    <w:rsid w:val="2B977607"/>
    <w:rsid w:val="2B980A61"/>
    <w:rsid w:val="2BA03472"/>
    <w:rsid w:val="2BA936A8"/>
    <w:rsid w:val="2BAA12A0"/>
    <w:rsid w:val="2BAB6CDC"/>
    <w:rsid w:val="2BAE3DE1"/>
    <w:rsid w:val="2BB138D1"/>
    <w:rsid w:val="2BB313F7"/>
    <w:rsid w:val="2BB36460"/>
    <w:rsid w:val="2BB807BB"/>
    <w:rsid w:val="2BB94533"/>
    <w:rsid w:val="2BBD0B4F"/>
    <w:rsid w:val="2BBD4024"/>
    <w:rsid w:val="2BC61585"/>
    <w:rsid w:val="2BCC24B9"/>
    <w:rsid w:val="2BCE4483"/>
    <w:rsid w:val="2BD202AE"/>
    <w:rsid w:val="2BD20463"/>
    <w:rsid w:val="2BD2786C"/>
    <w:rsid w:val="2BD4136D"/>
    <w:rsid w:val="2BDB25BD"/>
    <w:rsid w:val="2BDC2840"/>
    <w:rsid w:val="2BDC6751"/>
    <w:rsid w:val="2BDD3B36"/>
    <w:rsid w:val="2BE27F2E"/>
    <w:rsid w:val="2BE617CC"/>
    <w:rsid w:val="2BE94E19"/>
    <w:rsid w:val="2BEE242F"/>
    <w:rsid w:val="2BEF7499"/>
    <w:rsid w:val="2BF35C97"/>
    <w:rsid w:val="2BF73E20"/>
    <w:rsid w:val="2BFA31F8"/>
    <w:rsid w:val="2C02412C"/>
    <w:rsid w:val="2C0311AE"/>
    <w:rsid w:val="2C033482"/>
    <w:rsid w:val="2C040A80"/>
    <w:rsid w:val="2C041C52"/>
    <w:rsid w:val="2C047D74"/>
    <w:rsid w:val="2C0C0F54"/>
    <w:rsid w:val="2C0C6A9D"/>
    <w:rsid w:val="2C0E487F"/>
    <w:rsid w:val="2C106849"/>
    <w:rsid w:val="2C1108B0"/>
    <w:rsid w:val="2C153E60"/>
    <w:rsid w:val="2C163734"/>
    <w:rsid w:val="2C1B33C6"/>
    <w:rsid w:val="2C1B6F9C"/>
    <w:rsid w:val="2C1C7CD3"/>
    <w:rsid w:val="2C1F4CDE"/>
    <w:rsid w:val="2C1F6A8C"/>
    <w:rsid w:val="2C212804"/>
    <w:rsid w:val="2C2618D9"/>
    <w:rsid w:val="2C281232"/>
    <w:rsid w:val="2C2A0595"/>
    <w:rsid w:val="2C2E6CCF"/>
    <w:rsid w:val="2C2F6E99"/>
    <w:rsid w:val="2C3047F6"/>
    <w:rsid w:val="2C315A5A"/>
    <w:rsid w:val="2C340A76"/>
    <w:rsid w:val="2C38629A"/>
    <w:rsid w:val="2C3D33B6"/>
    <w:rsid w:val="2C495812"/>
    <w:rsid w:val="2C497DDB"/>
    <w:rsid w:val="2C4B1C25"/>
    <w:rsid w:val="2C4C35F9"/>
    <w:rsid w:val="2C532BDA"/>
    <w:rsid w:val="2C545A11"/>
    <w:rsid w:val="2C551A9C"/>
    <w:rsid w:val="2C56507C"/>
    <w:rsid w:val="2C575892"/>
    <w:rsid w:val="2C576226"/>
    <w:rsid w:val="2C5A5D16"/>
    <w:rsid w:val="2C624A40"/>
    <w:rsid w:val="2C6334D3"/>
    <w:rsid w:val="2C646A00"/>
    <w:rsid w:val="2C646B95"/>
    <w:rsid w:val="2C6754A3"/>
    <w:rsid w:val="2C680433"/>
    <w:rsid w:val="2C6C77F8"/>
    <w:rsid w:val="2C770676"/>
    <w:rsid w:val="2C781524"/>
    <w:rsid w:val="2C782B51"/>
    <w:rsid w:val="2C7A1F15"/>
    <w:rsid w:val="2C923702"/>
    <w:rsid w:val="2C932FD6"/>
    <w:rsid w:val="2C956D4E"/>
    <w:rsid w:val="2C974E26"/>
    <w:rsid w:val="2C98683F"/>
    <w:rsid w:val="2C9F3729"/>
    <w:rsid w:val="2CA12FD2"/>
    <w:rsid w:val="2CA45E23"/>
    <w:rsid w:val="2CA46F92"/>
    <w:rsid w:val="2CAB0320"/>
    <w:rsid w:val="2CB25B52"/>
    <w:rsid w:val="2CB371D5"/>
    <w:rsid w:val="2CB47FB4"/>
    <w:rsid w:val="2CB573F1"/>
    <w:rsid w:val="2CBE3B9F"/>
    <w:rsid w:val="2CC87124"/>
    <w:rsid w:val="2CCE28B7"/>
    <w:rsid w:val="2CD258AD"/>
    <w:rsid w:val="2CDE7B16"/>
    <w:rsid w:val="2CE11F94"/>
    <w:rsid w:val="2CE35D0C"/>
    <w:rsid w:val="2CE61358"/>
    <w:rsid w:val="2CE63DF8"/>
    <w:rsid w:val="2CF41CC7"/>
    <w:rsid w:val="2CF55A62"/>
    <w:rsid w:val="2CFA4E04"/>
    <w:rsid w:val="2D082E08"/>
    <w:rsid w:val="2D086FCF"/>
    <w:rsid w:val="2D0B7011"/>
    <w:rsid w:val="2D0F08AF"/>
    <w:rsid w:val="2D114186"/>
    <w:rsid w:val="2D151C3D"/>
    <w:rsid w:val="2D157E8F"/>
    <w:rsid w:val="2D1646D8"/>
    <w:rsid w:val="2D1660E1"/>
    <w:rsid w:val="2D1839CC"/>
    <w:rsid w:val="2D2105E2"/>
    <w:rsid w:val="2D214A9F"/>
    <w:rsid w:val="2D2533FF"/>
    <w:rsid w:val="2D2C76B3"/>
    <w:rsid w:val="2D2D05C2"/>
    <w:rsid w:val="2D2F3C20"/>
    <w:rsid w:val="2D300825"/>
    <w:rsid w:val="2D3216F7"/>
    <w:rsid w:val="2D32459D"/>
    <w:rsid w:val="2D325A03"/>
    <w:rsid w:val="2D35730A"/>
    <w:rsid w:val="2D371BB4"/>
    <w:rsid w:val="2D377E06"/>
    <w:rsid w:val="2D3C65BD"/>
    <w:rsid w:val="2D450775"/>
    <w:rsid w:val="2D4518DE"/>
    <w:rsid w:val="2D46652E"/>
    <w:rsid w:val="2D485B6F"/>
    <w:rsid w:val="2D4B565F"/>
    <w:rsid w:val="2D4B6D9B"/>
    <w:rsid w:val="2D4F03B2"/>
    <w:rsid w:val="2D4F110A"/>
    <w:rsid w:val="2D5269EE"/>
    <w:rsid w:val="2D564730"/>
    <w:rsid w:val="2D595FCE"/>
    <w:rsid w:val="2D5C2460"/>
    <w:rsid w:val="2D5D6739"/>
    <w:rsid w:val="2D616C31"/>
    <w:rsid w:val="2D652BC5"/>
    <w:rsid w:val="2D690CCF"/>
    <w:rsid w:val="2D6A3D37"/>
    <w:rsid w:val="2D7626DC"/>
    <w:rsid w:val="2D7B23E8"/>
    <w:rsid w:val="2D7E3C87"/>
    <w:rsid w:val="2D7E3E79"/>
    <w:rsid w:val="2D847999"/>
    <w:rsid w:val="2D8A3547"/>
    <w:rsid w:val="2D8B0E85"/>
    <w:rsid w:val="2D8B5B8A"/>
    <w:rsid w:val="2D8C63A3"/>
    <w:rsid w:val="2D8E201B"/>
    <w:rsid w:val="2D9139BA"/>
    <w:rsid w:val="2D931C55"/>
    <w:rsid w:val="2D945258"/>
    <w:rsid w:val="2D957D90"/>
    <w:rsid w:val="2D9663C0"/>
    <w:rsid w:val="2D9B2143"/>
    <w:rsid w:val="2D9D5B09"/>
    <w:rsid w:val="2D9E0A23"/>
    <w:rsid w:val="2D9E56F5"/>
    <w:rsid w:val="2D9E60D7"/>
    <w:rsid w:val="2DA07759"/>
    <w:rsid w:val="2DA31D38"/>
    <w:rsid w:val="2DB66F7C"/>
    <w:rsid w:val="2DB949C1"/>
    <w:rsid w:val="2DBA767D"/>
    <w:rsid w:val="2DBD47AF"/>
    <w:rsid w:val="2DC45B3D"/>
    <w:rsid w:val="2DC60356"/>
    <w:rsid w:val="2DC7118A"/>
    <w:rsid w:val="2DC86CB0"/>
    <w:rsid w:val="2DC93154"/>
    <w:rsid w:val="2DCC49F2"/>
    <w:rsid w:val="2DCC67A0"/>
    <w:rsid w:val="2DD12008"/>
    <w:rsid w:val="2DD42233"/>
    <w:rsid w:val="2DDA3165"/>
    <w:rsid w:val="2DDB4C35"/>
    <w:rsid w:val="2DDC21CF"/>
    <w:rsid w:val="2DE27D71"/>
    <w:rsid w:val="2DE33AEA"/>
    <w:rsid w:val="2DE73F83"/>
    <w:rsid w:val="2DEA751A"/>
    <w:rsid w:val="2DED7FEE"/>
    <w:rsid w:val="2DF126AA"/>
    <w:rsid w:val="2DF14458"/>
    <w:rsid w:val="2DF5328A"/>
    <w:rsid w:val="2DF66ED3"/>
    <w:rsid w:val="2DF87595"/>
    <w:rsid w:val="2E041285"/>
    <w:rsid w:val="2E0423DE"/>
    <w:rsid w:val="2E051CB2"/>
    <w:rsid w:val="2E053A60"/>
    <w:rsid w:val="2E060932"/>
    <w:rsid w:val="2E0764F0"/>
    <w:rsid w:val="2E0A72C8"/>
    <w:rsid w:val="2E0C3040"/>
    <w:rsid w:val="2E100D83"/>
    <w:rsid w:val="2E1113A3"/>
    <w:rsid w:val="2E13617D"/>
    <w:rsid w:val="2E163EBF"/>
    <w:rsid w:val="2E1819E5"/>
    <w:rsid w:val="2E1B14D5"/>
    <w:rsid w:val="2E1D237F"/>
    <w:rsid w:val="2E232138"/>
    <w:rsid w:val="2E25091A"/>
    <w:rsid w:val="2E262342"/>
    <w:rsid w:val="2E2B35E3"/>
    <w:rsid w:val="2E2E2FB7"/>
    <w:rsid w:val="2E353B9D"/>
    <w:rsid w:val="2E402CEA"/>
    <w:rsid w:val="2E4E0CE7"/>
    <w:rsid w:val="2E4E3659"/>
    <w:rsid w:val="2E4F73D4"/>
    <w:rsid w:val="2E586286"/>
    <w:rsid w:val="2E5B4FD2"/>
    <w:rsid w:val="2E5D1AEE"/>
    <w:rsid w:val="2E651528"/>
    <w:rsid w:val="2E667F96"/>
    <w:rsid w:val="2E681C88"/>
    <w:rsid w:val="2E690493"/>
    <w:rsid w:val="2E6C3ADF"/>
    <w:rsid w:val="2E723940"/>
    <w:rsid w:val="2E7542BF"/>
    <w:rsid w:val="2E7D3F3E"/>
    <w:rsid w:val="2E7F6C60"/>
    <w:rsid w:val="2E7F79AB"/>
    <w:rsid w:val="2E813A2E"/>
    <w:rsid w:val="2E8226AB"/>
    <w:rsid w:val="2E8762A6"/>
    <w:rsid w:val="2E8A43DA"/>
    <w:rsid w:val="2E8E20FB"/>
    <w:rsid w:val="2E8E4922"/>
    <w:rsid w:val="2E8E7EF9"/>
    <w:rsid w:val="2E8F3FF6"/>
    <w:rsid w:val="2E903C71"/>
    <w:rsid w:val="2E911F29"/>
    <w:rsid w:val="2E9279E9"/>
    <w:rsid w:val="2E980D78"/>
    <w:rsid w:val="2E9A2AA1"/>
    <w:rsid w:val="2E9C2616"/>
    <w:rsid w:val="2E9D6DCF"/>
    <w:rsid w:val="2E9F5C62"/>
    <w:rsid w:val="2EA101A0"/>
    <w:rsid w:val="2EA15273"/>
    <w:rsid w:val="2EA15E7F"/>
    <w:rsid w:val="2EA66FF1"/>
    <w:rsid w:val="2EAB0AAB"/>
    <w:rsid w:val="2EAD65D1"/>
    <w:rsid w:val="2EAE1991"/>
    <w:rsid w:val="2EB21E3A"/>
    <w:rsid w:val="2EB75385"/>
    <w:rsid w:val="2EB86D24"/>
    <w:rsid w:val="2EBA43F7"/>
    <w:rsid w:val="2EBD258D"/>
    <w:rsid w:val="2EC517F7"/>
    <w:rsid w:val="2EC70009"/>
    <w:rsid w:val="2ECB3794"/>
    <w:rsid w:val="2ECB4CA9"/>
    <w:rsid w:val="2ECC611B"/>
    <w:rsid w:val="2ECD0A22"/>
    <w:rsid w:val="2ED00512"/>
    <w:rsid w:val="2ED3590C"/>
    <w:rsid w:val="2ED43FD4"/>
    <w:rsid w:val="2ED973C6"/>
    <w:rsid w:val="2EE10029"/>
    <w:rsid w:val="2EE67D35"/>
    <w:rsid w:val="2EE713B8"/>
    <w:rsid w:val="2EE76F32"/>
    <w:rsid w:val="2EEC05AE"/>
    <w:rsid w:val="2EEC3F03"/>
    <w:rsid w:val="2EF21577"/>
    <w:rsid w:val="2EF57F78"/>
    <w:rsid w:val="2EF75A9F"/>
    <w:rsid w:val="2EF91817"/>
    <w:rsid w:val="2EFA733D"/>
    <w:rsid w:val="2F012479"/>
    <w:rsid w:val="2F0646B3"/>
    <w:rsid w:val="2F097580"/>
    <w:rsid w:val="2F12333C"/>
    <w:rsid w:val="2F157BEC"/>
    <w:rsid w:val="2F172AA7"/>
    <w:rsid w:val="2F1D760E"/>
    <w:rsid w:val="2F1F0B51"/>
    <w:rsid w:val="2F2065BE"/>
    <w:rsid w:val="2F212B1B"/>
    <w:rsid w:val="2F2148C9"/>
    <w:rsid w:val="2F246D5B"/>
    <w:rsid w:val="2F25085E"/>
    <w:rsid w:val="2F256C93"/>
    <w:rsid w:val="2F260132"/>
    <w:rsid w:val="2F2701B6"/>
    <w:rsid w:val="2F281FD8"/>
    <w:rsid w:val="2F2919D0"/>
    <w:rsid w:val="2F2925AF"/>
    <w:rsid w:val="2F292AD6"/>
    <w:rsid w:val="2F302D5E"/>
    <w:rsid w:val="2F302DB0"/>
    <w:rsid w:val="2F39172A"/>
    <w:rsid w:val="2F3B1E2F"/>
    <w:rsid w:val="2F3E191F"/>
    <w:rsid w:val="2F3E547B"/>
    <w:rsid w:val="2F432A92"/>
    <w:rsid w:val="2F464330"/>
    <w:rsid w:val="2F48454C"/>
    <w:rsid w:val="2F642A08"/>
    <w:rsid w:val="2F663BE6"/>
    <w:rsid w:val="2F6A6270"/>
    <w:rsid w:val="2F7075FF"/>
    <w:rsid w:val="2F724F35"/>
    <w:rsid w:val="2F7470EF"/>
    <w:rsid w:val="2F7544C2"/>
    <w:rsid w:val="2F7546DC"/>
    <w:rsid w:val="2F7610DD"/>
    <w:rsid w:val="2F7D2448"/>
    <w:rsid w:val="2F7D6357"/>
    <w:rsid w:val="2F7E1D1C"/>
    <w:rsid w:val="2F8135BA"/>
    <w:rsid w:val="2F827A5E"/>
    <w:rsid w:val="2F844B71"/>
    <w:rsid w:val="2F8B61E7"/>
    <w:rsid w:val="2F8F4121"/>
    <w:rsid w:val="2F911A4F"/>
    <w:rsid w:val="2F9212C6"/>
    <w:rsid w:val="2F922404"/>
    <w:rsid w:val="2F9652B7"/>
    <w:rsid w:val="2F990904"/>
    <w:rsid w:val="2F996B56"/>
    <w:rsid w:val="2F9F55D0"/>
    <w:rsid w:val="2FA774C5"/>
    <w:rsid w:val="2FAA2B11"/>
    <w:rsid w:val="2FAD3B52"/>
    <w:rsid w:val="2FAD7DDA"/>
    <w:rsid w:val="2FB052CF"/>
    <w:rsid w:val="2FB13E9F"/>
    <w:rsid w:val="2FB41BE1"/>
    <w:rsid w:val="2FB614B6"/>
    <w:rsid w:val="2FB7522E"/>
    <w:rsid w:val="2FBC071F"/>
    <w:rsid w:val="2FBC3872"/>
    <w:rsid w:val="2FBD105F"/>
    <w:rsid w:val="2FC242FE"/>
    <w:rsid w:val="2FC36147"/>
    <w:rsid w:val="2FC736C3"/>
    <w:rsid w:val="2FC74CF5"/>
    <w:rsid w:val="2FCA28F3"/>
    <w:rsid w:val="2FCC083B"/>
    <w:rsid w:val="2FCC0CD9"/>
    <w:rsid w:val="2FCC45F5"/>
    <w:rsid w:val="2FCE7A82"/>
    <w:rsid w:val="2FD065E6"/>
    <w:rsid w:val="2FD14C2F"/>
    <w:rsid w:val="2FD24608"/>
    <w:rsid w:val="2FD302BA"/>
    <w:rsid w:val="2FD424CD"/>
    <w:rsid w:val="2FD47B8E"/>
    <w:rsid w:val="2FD96870"/>
    <w:rsid w:val="2FDA70FE"/>
    <w:rsid w:val="2FE029D7"/>
    <w:rsid w:val="2FE34275"/>
    <w:rsid w:val="2FE36FA0"/>
    <w:rsid w:val="2FE37DD1"/>
    <w:rsid w:val="2FE51D9B"/>
    <w:rsid w:val="2FEA673D"/>
    <w:rsid w:val="2FEC137B"/>
    <w:rsid w:val="2FEC2374"/>
    <w:rsid w:val="2FEC4F22"/>
    <w:rsid w:val="2FF676D8"/>
    <w:rsid w:val="2FF70277"/>
    <w:rsid w:val="2FF7387C"/>
    <w:rsid w:val="2FFA3A98"/>
    <w:rsid w:val="2FFE2E5D"/>
    <w:rsid w:val="2FFE5F6A"/>
    <w:rsid w:val="300510DF"/>
    <w:rsid w:val="300A0E6D"/>
    <w:rsid w:val="300A1801"/>
    <w:rsid w:val="300A525E"/>
    <w:rsid w:val="300E3119"/>
    <w:rsid w:val="30145578"/>
    <w:rsid w:val="3015136B"/>
    <w:rsid w:val="301E003D"/>
    <w:rsid w:val="301F0A8F"/>
    <w:rsid w:val="302204C8"/>
    <w:rsid w:val="30247D84"/>
    <w:rsid w:val="302D729E"/>
    <w:rsid w:val="302F1268"/>
    <w:rsid w:val="30304791"/>
    <w:rsid w:val="303074BA"/>
    <w:rsid w:val="30346A54"/>
    <w:rsid w:val="303500F0"/>
    <w:rsid w:val="30360848"/>
    <w:rsid w:val="303A266D"/>
    <w:rsid w:val="30403475"/>
    <w:rsid w:val="30406FD1"/>
    <w:rsid w:val="30420F9B"/>
    <w:rsid w:val="30484B1E"/>
    <w:rsid w:val="304C67C6"/>
    <w:rsid w:val="304E08DD"/>
    <w:rsid w:val="304F147C"/>
    <w:rsid w:val="304F36B8"/>
    <w:rsid w:val="30556F21"/>
    <w:rsid w:val="30580BC9"/>
    <w:rsid w:val="30590D3B"/>
    <w:rsid w:val="305F7D9F"/>
    <w:rsid w:val="30601421"/>
    <w:rsid w:val="306233EC"/>
    <w:rsid w:val="30640F12"/>
    <w:rsid w:val="306E3B3E"/>
    <w:rsid w:val="30740B8D"/>
    <w:rsid w:val="30764BE7"/>
    <w:rsid w:val="307E1C61"/>
    <w:rsid w:val="3080086A"/>
    <w:rsid w:val="3081529E"/>
    <w:rsid w:val="308570DA"/>
    <w:rsid w:val="30896BCA"/>
    <w:rsid w:val="308A26A8"/>
    <w:rsid w:val="308C66BA"/>
    <w:rsid w:val="308E3854"/>
    <w:rsid w:val="308E41E1"/>
    <w:rsid w:val="30922073"/>
    <w:rsid w:val="3096041E"/>
    <w:rsid w:val="30963095"/>
    <w:rsid w:val="309650EF"/>
    <w:rsid w:val="3097374C"/>
    <w:rsid w:val="309808D0"/>
    <w:rsid w:val="309A2B85"/>
    <w:rsid w:val="309F019C"/>
    <w:rsid w:val="30A5696A"/>
    <w:rsid w:val="30A77050"/>
    <w:rsid w:val="30B005FB"/>
    <w:rsid w:val="30B00A0B"/>
    <w:rsid w:val="30B20B79"/>
    <w:rsid w:val="30B26229"/>
    <w:rsid w:val="30B362CA"/>
    <w:rsid w:val="30B55C11"/>
    <w:rsid w:val="30B57959"/>
    <w:rsid w:val="30BA6D84"/>
    <w:rsid w:val="30BD0622"/>
    <w:rsid w:val="30C05066"/>
    <w:rsid w:val="30C3032E"/>
    <w:rsid w:val="30CB0F91"/>
    <w:rsid w:val="30CB71E3"/>
    <w:rsid w:val="30CE630F"/>
    <w:rsid w:val="30CE6CD3"/>
    <w:rsid w:val="30D07DE1"/>
    <w:rsid w:val="30D26448"/>
    <w:rsid w:val="30D3442A"/>
    <w:rsid w:val="30DA7426"/>
    <w:rsid w:val="30DC13F0"/>
    <w:rsid w:val="30DD2A72"/>
    <w:rsid w:val="30E0745B"/>
    <w:rsid w:val="30E86050"/>
    <w:rsid w:val="30EB33E1"/>
    <w:rsid w:val="30EB7064"/>
    <w:rsid w:val="30F027A5"/>
    <w:rsid w:val="30F10937"/>
    <w:rsid w:val="30F1651D"/>
    <w:rsid w:val="30F249B4"/>
    <w:rsid w:val="30FE0870"/>
    <w:rsid w:val="31083F93"/>
    <w:rsid w:val="310C5ADB"/>
    <w:rsid w:val="310D3357"/>
    <w:rsid w:val="311479C4"/>
    <w:rsid w:val="311961A0"/>
    <w:rsid w:val="311A1F18"/>
    <w:rsid w:val="311E1E9C"/>
    <w:rsid w:val="311E2ED7"/>
    <w:rsid w:val="312132A7"/>
    <w:rsid w:val="312740CE"/>
    <w:rsid w:val="31280191"/>
    <w:rsid w:val="31283842"/>
    <w:rsid w:val="312D57A8"/>
    <w:rsid w:val="312E4D7E"/>
    <w:rsid w:val="312F7772"/>
    <w:rsid w:val="31391E91"/>
    <w:rsid w:val="313C59EB"/>
    <w:rsid w:val="313E79B5"/>
    <w:rsid w:val="313F54DB"/>
    <w:rsid w:val="3140197F"/>
    <w:rsid w:val="314174A5"/>
    <w:rsid w:val="3143321D"/>
    <w:rsid w:val="31436D79"/>
    <w:rsid w:val="31454D23"/>
    <w:rsid w:val="314D409C"/>
    <w:rsid w:val="314E571E"/>
    <w:rsid w:val="315039F4"/>
    <w:rsid w:val="3150593A"/>
    <w:rsid w:val="315076E8"/>
    <w:rsid w:val="315115A8"/>
    <w:rsid w:val="31534978"/>
    <w:rsid w:val="315619EE"/>
    <w:rsid w:val="3159659D"/>
    <w:rsid w:val="315A2315"/>
    <w:rsid w:val="315A40C3"/>
    <w:rsid w:val="315C449C"/>
    <w:rsid w:val="315E3BB3"/>
    <w:rsid w:val="316157B6"/>
    <w:rsid w:val="31616497"/>
    <w:rsid w:val="3166515D"/>
    <w:rsid w:val="316A07AA"/>
    <w:rsid w:val="316B214F"/>
    <w:rsid w:val="31704B31"/>
    <w:rsid w:val="31717D8A"/>
    <w:rsid w:val="3172765E"/>
    <w:rsid w:val="31800A61"/>
    <w:rsid w:val="31800C17"/>
    <w:rsid w:val="31864EB8"/>
    <w:rsid w:val="318669F5"/>
    <w:rsid w:val="31886E82"/>
    <w:rsid w:val="31887D1C"/>
    <w:rsid w:val="318B0720"/>
    <w:rsid w:val="318B08C8"/>
    <w:rsid w:val="318D31E8"/>
    <w:rsid w:val="318F2B68"/>
    <w:rsid w:val="3199108F"/>
    <w:rsid w:val="319A3A88"/>
    <w:rsid w:val="319C46DB"/>
    <w:rsid w:val="319D4C6E"/>
    <w:rsid w:val="319F5B15"/>
    <w:rsid w:val="31A36B64"/>
    <w:rsid w:val="31AD68E8"/>
    <w:rsid w:val="31AF2660"/>
    <w:rsid w:val="31B411BB"/>
    <w:rsid w:val="31B61C41"/>
    <w:rsid w:val="31B66188"/>
    <w:rsid w:val="31B82709"/>
    <w:rsid w:val="31BC0566"/>
    <w:rsid w:val="31C51E8C"/>
    <w:rsid w:val="31C779E7"/>
    <w:rsid w:val="31C80D1B"/>
    <w:rsid w:val="31C81974"/>
    <w:rsid w:val="31CA1248"/>
    <w:rsid w:val="31CF2D03"/>
    <w:rsid w:val="31D05482"/>
    <w:rsid w:val="31D16A7B"/>
    <w:rsid w:val="31D26589"/>
    <w:rsid w:val="31D369AC"/>
    <w:rsid w:val="31D73965"/>
    <w:rsid w:val="31D76A2D"/>
    <w:rsid w:val="31DB5204"/>
    <w:rsid w:val="31DD71CE"/>
    <w:rsid w:val="31E21E70"/>
    <w:rsid w:val="31E22A36"/>
    <w:rsid w:val="31E57E30"/>
    <w:rsid w:val="31E66B05"/>
    <w:rsid w:val="31E83DC4"/>
    <w:rsid w:val="31EA5FAE"/>
    <w:rsid w:val="31EE13DB"/>
    <w:rsid w:val="31F023FB"/>
    <w:rsid w:val="31F12C79"/>
    <w:rsid w:val="31F2465E"/>
    <w:rsid w:val="31F34429"/>
    <w:rsid w:val="31F541D1"/>
    <w:rsid w:val="31F6203D"/>
    <w:rsid w:val="31F664E1"/>
    <w:rsid w:val="31F7433A"/>
    <w:rsid w:val="31F84007"/>
    <w:rsid w:val="31FA428B"/>
    <w:rsid w:val="31FC33CC"/>
    <w:rsid w:val="31FE2359"/>
    <w:rsid w:val="31FE6223"/>
    <w:rsid w:val="3200110E"/>
    <w:rsid w:val="32002EBC"/>
    <w:rsid w:val="32036508"/>
    <w:rsid w:val="320539CB"/>
    <w:rsid w:val="320C360F"/>
    <w:rsid w:val="320D154F"/>
    <w:rsid w:val="320F6A40"/>
    <w:rsid w:val="32110C25"/>
    <w:rsid w:val="32130E41"/>
    <w:rsid w:val="32146ADF"/>
    <w:rsid w:val="32170A33"/>
    <w:rsid w:val="321827EE"/>
    <w:rsid w:val="32184380"/>
    <w:rsid w:val="321B5F48"/>
    <w:rsid w:val="321B7CF6"/>
    <w:rsid w:val="3221139E"/>
    <w:rsid w:val="32221084"/>
    <w:rsid w:val="32252923"/>
    <w:rsid w:val="32255AA6"/>
    <w:rsid w:val="32276746"/>
    <w:rsid w:val="322B37C3"/>
    <w:rsid w:val="322C3CB1"/>
    <w:rsid w:val="3234133F"/>
    <w:rsid w:val="32342B66"/>
    <w:rsid w:val="32356A97"/>
    <w:rsid w:val="3236068C"/>
    <w:rsid w:val="32390A32"/>
    <w:rsid w:val="323963CE"/>
    <w:rsid w:val="323D6CB6"/>
    <w:rsid w:val="323E39E4"/>
    <w:rsid w:val="32400B34"/>
    <w:rsid w:val="32424D79"/>
    <w:rsid w:val="32451796"/>
    <w:rsid w:val="324F79A0"/>
    <w:rsid w:val="32540C44"/>
    <w:rsid w:val="3257675E"/>
    <w:rsid w:val="325A04F8"/>
    <w:rsid w:val="325A2C7C"/>
    <w:rsid w:val="325F5E35"/>
    <w:rsid w:val="32607DFF"/>
    <w:rsid w:val="32621481"/>
    <w:rsid w:val="32625925"/>
    <w:rsid w:val="32676A97"/>
    <w:rsid w:val="3268280F"/>
    <w:rsid w:val="327348EE"/>
    <w:rsid w:val="3275513B"/>
    <w:rsid w:val="327870D0"/>
    <w:rsid w:val="327A2C6E"/>
    <w:rsid w:val="32805DAB"/>
    <w:rsid w:val="32807B59"/>
    <w:rsid w:val="32853407"/>
    <w:rsid w:val="32870EE7"/>
    <w:rsid w:val="32892EB1"/>
    <w:rsid w:val="328B4E7C"/>
    <w:rsid w:val="328C0BF4"/>
    <w:rsid w:val="32931F82"/>
    <w:rsid w:val="32934090"/>
    <w:rsid w:val="32935ADE"/>
    <w:rsid w:val="32943604"/>
    <w:rsid w:val="329B0E37"/>
    <w:rsid w:val="329E6876"/>
    <w:rsid w:val="329F26D5"/>
    <w:rsid w:val="329F6189"/>
    <w:rsid w:val="32A0644D"/>
    <w:rsid w:val="32A10AC2"/>
    <w:rsid w:val="32A370F4"/>
    <w:rsid w:val="32A61601"/>
    <w:rsid w:val="32A94788"/>
    <w:rsid w:val="32A95302"/>
    <w:rsid w:val="32AD7029"/>
    <w:rsid w:val="32B048E2"/>
    <w:rsid w:val="32B12408"/>
    <w:rsid w:val="32B37F2E"/>
    <w:rsid w:val="32B55A55"/>
    <w:rsid w:val="32BA12BD"/>
    <w:rsid w:val="32BF4B25"/>
    <w:rsid w:val="32C12A75"/>
    <w:rsid w:val="32CD6692"/>
    <w:rsid w:val="32D30E68"/>
    <w:rsid w:val="32D63C1D"/>
    <w:rsid w:val="32E53E60"/>
    <w:rsid w:val="32E91BA2"/>
    <w:rsid w:val="32EB3B6C"/>
    <w:rsid w:val="32ED1692"/>
    <w:rsid w:val="32F12805"/>
    <w:rsid w:val="32F46AD6"/>
    <w:rsid w:val="32F81DE5"/>
    <w:rsid w:val="32FA790B"/>
    <w:rsid w:val="32FD40D4"/>
    <w:rsid w:val="32FD564D"/>
    <w:rsid w:val="32FE49EC"/>
    <w:rsid w:val="33022C64"/>
    <w:rsid w:val="33055437"/>
    <w:rsid w:val="3307027A"/>
    <w:rsid w:val="33072028"/>
    <w:rsid w:val="330A3CD4"/>
    <w:rsid w:val="330B1B18"/>
    <w:rsid w:val="330E1609"/>
    <w:rsid w:val="331035D3"/>
    <w:rsid w:val="331704BD"/>
    <w:rsid w:val="331A1010"/>
    <w:rsid w:val="331F7372"/>
    <w:rsid w:val="332008FE"/>
    <w:rsid w:val="332134CF"/>
    <w:rsid w:val="33233FD7"/>
    <w:rsid w:val="33240E2C"/>
    <w:rsid w:val="33266952"/>
    <w:rsid w:val="332A72C2"/>
    <w:rsid w:val="333015F2"/>
    <w:rsid w:val="33305A23"/>
    <w:rsid w:val="333252F7"/>
    <w:rsid w:val="33381316"/>
    <w:rsid w:val="333C2F02"/>
    <w:rsid w:val="333F49EC"/>
    <w:rsid w:val="33447CF9"/>
    <w:rsid w:val="33490893"/>
    <w:rsid w:val="334B6320"/>
    <w:rsid w:val="335039CF"/>
    <w:rsid w:val="33506B81"/>
    <w:rsid w:val="335222DF"/>
    <w:rsid w:val="3353526D"/>
    <w:rsid w:val="33563502"/>
    <w:rsid w:val="3357359E"/>
    <w:rsid w:val="335A2AA0"/>
    <w:rsid w:val="335F335D"/>
    <w:rsid w:val="3364747B"/>
    <w:rsid w:val="33694A91"/>
    <w:rsid w:val="336B0809"/>
    <w:rsid w:val="336D27D3"/>
    <w:rsid w:val="336F02F9"/>
    <w:rsid w:val="33707BCD"/>
    <w:rsid w:val="3371744F"/>
    <w:rsid w:val="33743B62"/>
    <w:rsid w:val="33753436"/>
    <w:rsid w:val="337551E4"/>
    <w:rsid w:val="33784CD4"/>
    <w:rsid w:val="337D02CD"/>
    <w:rsid w:val="338534A3"/>
    <w:rsid w:val="33867361"/>
    <w:rsid w:val="33884F17"/>
    <w:rsid w:val="338A5521"/>
    <w:rsid w:val="338B658E"/>
    <w:rsid w:val="338F274A"/>
    <w:rsid w:val="33900270"/>
    <w:rsid w:val="3392223A"/>
    <w:rsid w:val="33926D1E"/>
    <w:rsid w:val="339316D9"/>
    <w:rsid w:val="339648F0"/>
    <w:rsid w:val="33964F33"/>
    <w:rsid w:val="33972172"/>
    <w:rsid w:val="3398021F"/>
    <w:rsid w:val="339A10EE"/>
    <w:rsid w:val="339A2E9C"/>
    <w:rsid w:val="339C6B01"/>
    <w:rsid w:val="339D28EA"/>
    <w:rsid w:val="339D654F"/>
    <w:rsid w:val="33A53035"/>
    <w:rsid w:val="33A72691"/>
    <w:rsid w:val="33A9069D"/>
    <w:rsid w:val="33AA0990"/>
    <w:rsid w:val="33AA1077"/>
    <w:rsid w:val="33AA7583"/>
    <w:rsid w:val="33AC47E0"/>
    <w:rsid w:val="33AD497E"/>
    <w:rsid w:val="33AE5828"/>
    <w:rsid w:val="33B15D6C"/>
    <w:rsid w:val="33B26438"/>
    <w:rsid w:val="33B421B0"/>
    <w:rsid w:val="33B57CD6"/>
    <w:rsid w:val="33BE302F"/>
    <w:rsid w:val="33BE6FF0"/>
    <w:rsid w:val="33C55AF1"/>
    <w:rsid w:val="33C63C91"/>
    <w:rsid w:val="33C70135"/>
    <w:rsid w:val="33C87A09"/>
    <w:rsid w:val="33CB2A9F"/>
    <w:rsid w:val="33CB3A15"/>
    <w:rsid w:val="33D02303"/>
    <w:rsid w:val="33D04B10"/>
    <w:rsid w:val="33D20888"/>
    <w:rsid w:val="33D26ADA"/>
    <w:rsid w:val="33D52E15"/>
    <w:rsid w:val="33D934D4"/>
    <w:rsid w:val="33DC0716"/>
    <w:rsid w:val="33DE722D"/>
    <w:rsid w:val="33E04D53"/>
    <w:rsid w:val="33E07E9D"/>
    <w:rsid w:val="33E317DE"/>
    <w:rsid w:val="33E74334"/>
    <w:rsid w:val="33EA7980"/>
    <w:rsid w:val="33EF2B81"/>
    <w:rsid w:val="33F151B2"/>
    <w:rsid w:val="33F20F2A"/>
    <w:rsid w:val="33F24A86"/>
    <w:rsid w:val="33F627C9"/>
    <w:rsid w:val="33F64577"/>
    <w:rsid w:val="33FC5905"/>
    <w:rsid w:val="33FE2F6A"/>
    <w:rsid w:val="34000F51"/>
    <w:rsid w:val="34014CC9"/>
    <w:rsid w:val="34073DB2"/>
    <w:rsid w:val="340824FC"/>
    <w:rsid w:val="340946CD"/>
    <w:rsid w:val="340B7734"/>
    <w:rsid w:val="340E07E5"/>
    <w:rsid w:val="34125D6B"/>
    <w:rsid w:val="341D359D"/>
    <w:rsid w:val="34205C50"/>
    <w:rsid w:val="3421711A"/>
    <w:rsid w:val="34235BF7"/>
    <w:rsid w:val="34257192"/>
    <w:rsid w:val="34264730"/>
    <w:rsid w:val="3427116F"/>
    <w:rsid w:val="342C61EA"/>
    <w:rsid w:val="342D1CB8"/>
    <w:rsid w:val="342F3231"/>
    <w:rsid w:val="3431735D"/>
    <w:rsid w:val="343230D5"/>
    <w:rsid w:val="34330B43"/>
    <w:rsid w:val="34337579"/>
    <w:rsid w:val="34356A09"/>
    <w:rsid w:val="34360E17"/>
    <w:rsid w:val="343926B5"/>
    <w:rsid w:val="343F23BC"/>
    <w:rsid w:val="344572AC"/>
    <w:rsid w:val="34476B80"/>
    <w:rsid w:val="344A1546"/>
    <w:rsid w:val="344A2B14"/>
    <w:rsid w:val="344C03C0"/>
    <w:rsid w:val="34565015"/>
    <w:rsid w:val="3458094E"/>
    <w:rsid w:val="34581C7A"/>
    <w:rsid w:val="345D45F6"/>
    <w:rsid w:val="345E431C"/>
    <w:rsid w:val="345F6CD7"/>
    <w:rsid w:val="346468BD"/>
    <w:rsid w:val="346534AA"/>
    <w:rsid w:val="346B6F71"/>
    <w:rsid w:val="347100A1"/>
    <w:rsid w:val="3471457F"/>
    <w:rsid w:val="347436ED"/>
    <w:rsid w:val="347B5013"/>
    <w:rsid w:val="348222AE"/>
    <w:rsid w:val="34833670"/>
    <w:rsid w:val="34841780"/>
    <w:rsid w:val="348428C3"/>
    <w:rsid w:val="34842A78"/>
    <w:rsid w:val="34850C96"/>
    <w:rsid w:val="34880F47"/>
    <w:rsid w:val="348C3F78"/>
    <w:rsid w:val="348C4EDB"/>
    <w:rsid w:val="348C4F88"/>
    <w:rsid w:val="348F4919"/>
    <w:rsid w:val="3492592C"/>
    <w:rsid w:val="34931DC5"/>
    <w:rsid w:val="349D0BDD"/>
    <w:rsid w:val="349F69BC"/>
    <w:rsid w:val="34A06FDF"/>
    <w:rsid w:val="34A35D81"/>
    <w:rsid w:val="34A71D15"/>
    <w:rsid w:val="34AC01F7"/>
    <w:rsid w:val="34B13221"/>
    <w:rsid w:val="34B24D51"/>
    <w:rsid w:val="34B866F6"/>
    <w:rsid w:val="34C44675"/>
    <w:rsid w:val="34C60CFA"/>
    <w:rsid w:val="34C93A39"/>
    <w:rsid w:val="34CA155F"/>
    <w:rsid w:val="34CA77B1"/>
    <w:rsid w:val="34CB76EB"/>
    <w:rsid w:val="34CC177B"/>
    <w:rsid w:val="34CC737F"/>
    <w:rsid w:val="34CD199B"/>
    <w:rsid w:val="34CE72A2"/>
    <w:rsid w:val="34D16D92"/>
    <w:rsid w:val="34D67F04"/>
    <w:rsid w:val="34D80120"/>
    <w:rsid w:val="34D94D83"/>
    <w:rsid w:val="34DA1006"/>
    <w:rsid w:val="34DF0211"/>
    <w:rsid w:val="34E152F0"/>
    <w:rsid w:val="34E40873"/>
    <w:rsid w:val="34E46AC5"/>
    <w:rsid w:val="34E75156"/>
    <w:rsid w:val="34EE16F2"/>
    <w:rsid w:val="34EE524E"/>
    <w:rsid w:val="34F5482E"/>
    <w:rsid w:val="34F6770E"/>
    <w:rsid w:val="34F85D6A"/>
    <w:rsid w:val="34F860CC"/>
    <w:rsid w:val="34FA62E8"/>
    <w:rsid w:val="34FB796B"/>
    <w:rsid w:val="35006613"/>
    <w:rsid w:val="350B4052"/>
    <w:rsid w:val="350B4EB3"/>
    <w:rsid w:val="350C3926"/>
    <w:rsid w:val="350C7C2D"/>
    <w:rsid w:val="351153E0"/>
    <w:rsid w:val="351429B9"/>
    <w:rsid w:val="35142D24"/>
    <w:rsid w:val="35156C7E"/>
    <w:rsid w:val="35170C48"/>
    <w:rsid w:val="351B1207"/>
    <w:rsid w:val="3522139B"/>
    <w:rsid w:val="35223149"/>
    <w:rsid w:val="35252B14"/>
    <w:rsid w:val="3529097C"/>
    <w:rsid w:val="35327830"/>
    <w:rsid w:val="35374E47"/>
    <w:rsid w:val="35386E11"/>
    <w:rsid w:val="353C0959"/>
    <w:rsid w:val="353C420B"/>
    <w:rsid w:val="353D3481"/>
    <w:rsid w:val="353F3CFB"/>
    <w:rsid w:val="35430857"/>
    <w:rsid w:val="354572AE"/>
    <w:rsid w:val="354924F4"/>
    <w:rsid w:val="35494B7A"/>
    <w:rsid w:val="354A3431"/>
    <w:rsid w:val="354C51AA"/>
    <w:rsid w:val="354E492D"/>
    <w:rsid w:val="354F70FE"/>
    <w:rsid w:val="35586B6B"/>
    <w:rsid w:val="355B6B62"/>
    <w:rsid w:val="355D23D3"/>
    <w:rsid w:val="355E55B1"/>
    <w:rsid w:val="355F7486"/>
    <w:rsid w:val="35633E8E"/>
    <w:rsid w:val="35647C06"/>
    <w:rsid w:val="35696FE9"/>
    <w:rsid w:val="356E10EB"/>
    <w:rsid w:val="356F6516"/>
    <w:rsid w:val="357065AB"/>
    <w:rsid w:val="3575596F"/>
    <w:rsid w:val="35775243"/>
    <w:rsid w:val="357C4F4F"/>
    <w:rsid w:val="357C6CFE"/>
    <w:rsid w:val="357F059C"/>
    <w:rsid w:val="35845BB2"/>
    <w:rsid w:val="358918C4"/>
    <w:rsid w:val="358B0CEF"/>
    <w:rsid w:val="358C5FA8"/>
    <w:rsid w:val="358E12FD"/>
    <w:rsid w:val="359009B9"/>
    <w:rsid w:val="35942299"/>
    <w:rsid w:val="35944047"/>
    <w:rsid w:val="359C2EFC"/>
    <w:rsid w:val="359C3B06"/>
    <w:rsid w:val="35A324DC"/>
    <w:rsid w:val="35A3428A"/>
    <w:rsid w:val="35A61D02"/>
    <w:rsid w:val="35A95619"/>
    <w:rsid w:val="35AA187C"/>
    <w:rsid w:val="35AF01EE"/>
    <w:rsid w:val="35B04BF9"/>
    <w:rsid w:val="35B43F98"/>
    <w:rsid w:val="35B71AE4"/>
    <w:rsid w:val="35B75F88"/>
    <w:rsid w:val="35B77D36"/>
    <w:rsid w:val="35B82254"/>
    <w:rsid w:val="35B93AAE"/>
    <w:rsid w:val="35B9552F"/>
    <w:rsid w:val="35BA56C4"/>
    <w:rsid w:val="35C120B3"/>
    <w:rsid w:val="35C13564"/>
    <w:rsid w:val="35C15DF1"/>
    <w:rsid w:val="35C30488"/>
    <w:rsid w:val="35C91817"/>
    <w:rsid w:val="35D02B9C"/>
    <w:rsid w:val="35D74EE1"/>
    <w:rsid w:val="35D823FA"/>
    <w:rsid w:val="35DE3514"/>
    <w:rsid w:val="35DF0B77"/>
    <w:rsid w:val="35E02ECA"/>
    <w:rsid w:val="35E07F7D"/>
    <w:rsid w:val="35E14DB3"/>
    <w:rsid w:val="35E2382D"/>
    <w:rsid w:val="35EC646D"/>
    <w:rsid w:val="35ED3757"/>
    <w:rsid w:val="35EF127D"/>
    <w:rsid w:val="35F5085E"/>
    <w:rsid w:val="35F745D6"/>
    <w:rsid w:val="360016DD"/>
    <w:rsid w:val="36070CBD"/>
    <w:rsid w:val="36074A7F"/>
    <w:rsid w:val="36127662"/>
    <w:rsid w:val="36143A2B"/>
    <w:rsid w:val="361E7DB5"/>
    <w:rsid w:val="36201D3A"/>
    <w:rsid w:val="36201D7F"/>
    <w:rsid w:val="362178A5"/>
    <w:rsid w:val="36252EF1"/>
    <w:rsid w:val="362551E1"/>
    <w:rsid w:val="36257395"/>
    <w:rsid w:val="362C24D2"/>
    <w:rsid w:val="363200C8"/>
    <w:rsid w:val="363323F5"/>
    <w:rsid w:val="363475D8"/>
    <w:rsid w:val="3637104B"/>
    <w:rsid w:val="36392E40"/>
    <w:rsid w:val="363E7508"/>
    <w:rsid w:val="36407D2B"/>
    <w:rsid w:val="364339F5"/>
    <w:rsid w:val="36463673"/>
    <w:rsid w:val="364A6DFC"/>
    <w:rsid w:val="364F61C0"/>
    <w:rsid w:val="36546371"/>
    <w:rsid w:val="365B2DB7"/>
    <w:rsid w:val="366302C2"/>
    <w:rsid w:val="36632192"/>
    <w:rsid w:val="366B28CE"/>
    <w:rsid w:val="36712E0A"/>
    <w:rsid w:val="36721EAF"/>
    <w:rsid w:val="36723C5D"/>
    <w:rsid w:val="36743E79"/>
    <w:rsid w:val="367D0F7F"/>
    <w:rsid w:val="367D2D2D"/>
    <w:rsid w:val="367E0F7C"/>
    <w:rsid w:val="36877708"/>
    <w:rsid w:val="36897924"/>
    <w:rsid w:val="368C11C2"/>
    <w:rsid w:val="368F65D6"/>
    <w:rsid w:val="36923549"/>
    <w:rsid w:val="36932551"/>
    <w:rsid w:val="369379BF"/>
    <w:rsid w:val="36963DEF"/>
    <w:rsid w:val="369736C3"/>
    <w:rsid w:val="36981915"/>
    <w:rsid w:val="369938DF"/>
    <w:rsid w:val="369B7657"/>
    <w:rsid w:val="369C2C78"/>
    <w:rsid w:val="36A422C5"/>
    <w:rsid w:val="36A54032"/>
    <w:rsid w:val="36A734D9"/>
    <w:rsid w:val="36AA789A"/>
    <w:rsid w:val="36AD0447"/>
    <w:rsid w:val="36AD7768"/>
    <w:rsid w:val="36AE0BF8"/>
    <w:rsid w:val="36AF4EB1"/>
    <w:rsid w:val="36B75FBF"/>
    <w:rsid w:val="36B83D65"/>
    <w:rsid w:val="36B97ADD"/>
    <w:rsid w:val="36BB54E1"/>
    <w:rsid w:val="36BD0C45"/>
    <w:rsid w:val="36BF3346"/>
    <w:rsid w:val="36C3270A"/>
    <w:rsid w:val="36C81662"/>
    <w:rsid w:val="36C85441"/>
    <w:rsid w:val="36CC58C2"/>
    <w:rsid w:val="36CD05C3"/>
    <w:rsid w:val="36CD4A1D"/>
    <w:rsid w:val="36CE17DB"/>
    <w:rsid w:val="36CF7301"/>
    <w:rsid w:val="36D44917"/>
    <w:rsid w:val="36DA0180"/>
    <w:rsid w:val="36DD1A1E"/>
    <w:rsid w:val="36DD37CC"/>
    <w:rsid w:val="36DE12F2"/>
    <w:rsid w:val="36E515CA"/>
    <w:rsid w:val="36E72755"/>
    <w:rsid w:val="36E763F9"/>
    <w:rsid w:val="36F210DA"/>
    <w:rsid w:val="36F6663C"/>
    <w:rsid w:val="36F80606"/>
    <w:rsid w:val="36FA25D0"/>
    <w:rsid w:val="36FD0038"/>
    <w:rsid w:val="36FF7BE6"/>
    <w:rsid w:val="370074BA"/>
    <w:rsid w:val="370130B6"/>
    <w:rsid w:val="37021484"/>
    <w:rsid w:val="37053027"/>
    <w:rsid w:val="370A0126"/>
    <w:rsid w:val="370E607B"/>
    <w:rsid w:val="3711425A"/>
    <w:rsid w:val="371371EE"/>
    <w:rsid w:val="37152F66"/>
    <w:rsid w:val="371601C3"/>
    <w:rsid w:val="37180CA8"/>
    <w:rsid w:val="3720190B"/>
    <w:rsid w:val="372238D5"/>
    <w:rsid w:val="37227431"/>
    <w:rsid w:val="3724764D"/>
    <w:rsid w:val="372907BF"/>
    <w:rsid w:val="37296A11"/>
    <w:rsid w:val="372B776E"/>
    <w:rsid w:val="372C02AF"/>
    <w:rsid w:val="372D208E"/>
    <w:rsid w:val="372E5DD5"/>
    <w:rsid w:val="37305FF2"/>
    <w:rsid w:val="37377380"/>
    <w:rsid w:val="373B6744"/>
    <w:rsid w:val="373C4996"/>
    <w:rsid w:val="373E3B81"/>
    <w:rsid w:val="37404D6D"/>
    <w:rsid w:val="37436C8E"/>
    <w:rsid w:val="374B2E2B"/>
    <w:rsid w:val="374B578D"/>
    <w:rsid w:val="374C1A8F"/>
    <w:rsid w:val="3750370D"/>
    <w:rsid w:val="37515F68"/>
    <w:rsid w:val="375D490D"/>
    <w:rsid w:val="37604F1C"/>
    <w:rsid w:val="37623D98"/>
    <w:rsid w:val="376D0FF4"/>
    <w:rsid w:val="376E5A1F"/>
    <w:rsid w:val="377032CB"/>
    <w:rsid w:val="37715EA1"/>
    <w:rsid w:val="37734130"/>
    <w:rsid w:val="37735EDE"/>
    <w:rsid w:val="377759CE"/>
    <w:rsid w:val="377A31AA"/>
    <w:rsid w:val="378105FB"/>
    <w:rsid w:val="378620B5"/>
    <w:rsid w:val="378679C0"/>
    <w:rsid w:val="37874FB3"/>
    <w:rsid w:val="379245B6"/>
    <w:rsid w:val="37955E55"/>
    <w:rsid w:val="37957E64"/>
    <w:rsid w:val="37977E1F"/>
    <w:rsid w:val="379A16BD"/>
    <w:rsid w:val="379F6CD3"/>
    <w:rsid w:val="37A10C9D"/>
    <w:rsid w:val="37A37AD9"/>
    <w:rsid w:val="37A4078E"/>
    <w:rsid w:val="37A429AC"/>
    <w:rsid w:val="37A75B88"/>
    <w:rsid w:val="37A83712"/>
    <w:rsid w:val="37AB38CA"/>
    <w:rsid w:val="37AC435C"/>
    <w:rsid w:val="37AE6F16"/>
    <w:rsid w:val="37B207B5"/>
    <w:rsid w:val="37B247C4"/>
    <w:rsid w:val="37B24C58"/>
    <w:rsid w:val="37B24E1E"/>
    <w:rsid w:val="37B81AF5"/>
    <w:rsid w:val="37BB72AC"/>
    <w:rsid w:val="37BF1123"/>
    <w:rsid w:val="37BF7375"/>
    <w:rsid w:val="37C003A8"/>
    <w:rsid w:val="37C12BFE"/>
    <w:rsid w:val="37C14E9C"/>
    <w:rsid w:val="37C60704"/>
    <w:rsid w:val="37C93D50"/>
    <w:rsid w:val="37C96E53"/>
    <w:rsid w:val="37CD22E9"/>
    <w:rsid w:val="37D050DF"/>
    <w:rsid w:val="37DA5F5D"/>
    <w:rsid w:val="37DC77CB"/>
    <w:rsid w:val="37E00298"/>
    <w:rsid w:val="37E03B87"/>
    <w:rsid w:val="37E1109A"/>
    <w:rsid w:val="37E262AB"/>
    <w:rsid w:val="37E33064"/>
    <w:rsid w:val="37E335F2"/>
    <w:rsid w:val="37E85FD4"/>
    <w:rsid w:val="37EA1E3C"/>
    <w:rsid w:val="37EB3CC7"/>
    <w:rsid w:val="37EB584D"/>
    <w:rsid w:val="37EC5DE5"/>
    <w:rsid w:val="37EF1A09"/>
    <w:rsid w:val="37EF713B"/>
    <w:rsid w:val="37F012DD"/>
    <w:rsid w:val="37F05781"/>
    <w:rsid w:val="37F065A7"/>
    <w:rsid w:val="37F349A0"/>
    <w:rsid w:val="37F74639"/>
    <w:rsid w:val="37F74991"/>
    <w:rsid w:val="37F92887"/>
    <w:rsid w:val="37F94635"/>
    <w:rsid w:val="37FB0978"/>
    <w:rsid w:val="37FE7E9E"/>
    <w:rsid w:val="37FF7772"/>
    <w:rsid w:val="380354B4"/>
    <w:rsid w:val="38037262"/>
    <w:rsid w:val="380647E4"/>
    <w:rsid w:val="380A0E48"/>
    <w:rsid w:val="380A2A37"/>
    <w:rsid w:val="380B6117"/>
    <w:rsid w:val="380D1E8F"/>
    <w:rsid w:val="381174DB"/>
    <w:rsid w:val="381424FD"/>
    <w:rsid w:val="381577F7"/>
    <w:rsid w:val="38175C36"/>
    <w:rsid w:val="381C47C8"/>
    <w:rsid w:val="381D6FE1"/>
    <w:rsid w:val="381D7397"/>
    <w:rsid w:val="38237904"/>
    <w:rsid w:val="382471D8"/>
    <w:rsid w:val="382974C8"/>
    <w:rsid w:val="38327B47"/>
    <w:rsid w:val="383511CC"/>
    <w:rsid w:val="38367638"/>
    <w:rsid w:val="3837038B"/>
    <w:rsid w:val="383A0B42"/>
    <w:rsid w:val="383D642C"/>
    <w:rsid w:val="383E029A"/>
    <w:rsid w:val="384229DF"/>
    <w:rsid w:val="38477D4A"/>
    <w:rsid w:val="384B29B7"/>
    <w:rsid w:val="384C6E5B"/>
    <w:rsid w:val="384C7C31"/>
    <w:rsid w:val="384F06F9"/>
    <w:rsid w:val="38507FCD"/>
    <w:rsid w:val="385122F2"/>
    <w:rsid w:val="38527B64"/>
    <w:rsid w:val="38540B00"/>
    <w:rsid w:val="3855437B"/>
    <w:rsid w:val="38554BAC"/>
    <w:rsid w:val="38577617"/>
    <w:rsid w:val="38610896"/>
    <w:rsid w:val="38610A4B"/>
    <w:rsid w:val="38611D07"/>
    <w:rsid w:val="3866779C"/>
    <w:rsid w:val="38675A43"/>
    <w:rsid w:val="386778AA"/>
    <w:rsid w:val="386817BB"/>
    <w:rsid w:val="38691D8A"/>
    <w:rsid w:val="386E3C6A"/>
    <w:rsid w:val="38712392"/>
    <w:rsid w:val="3872263A"/>
    <w:rsid w:val="38736649"/>
    <w:rsid w:val="38747BC2"/>
    <w:rsid w:val="38761300"/>
    <w:rsid w:val="387B5BD1"/>
    <w:rsid w:val="387C7014"/>
    <w:rsid w:val="387E2544"/>
    <w:rsid w:val="387E2D8D"/>
    <w:rsid w:val="387E4B3B"/>
    <w:rsid w:val="3883226F"/>
    <w:rsid w:val="388A1731"/>
    <w:rsid w:val="388D77A1"/>
    <w:rsid w:val="388D7E42"/>
    <w:rsid w:val="38910D12"/>
    <w:rsid w:val="38910F96"/>
    <w:rsid w:val="389600D6"/>
    <w:rsid w:val="389820A0"/>
    <w:rsid w:val="38995E18"/>
    <w:rsid w:val="389B56ED"/>
    <w:rsid w:val="389C181C"/>
    <w:rsid w:val="38A05EBA"/>
    <w:rsid w:val="38A547BD"/>
    <w:rsid w:val="38A73384"/>
    <w:rsid w:val="38A87E0A"/>
    <w:rsid w:val="38A943F0"/>
    <w:rsid w:val="38AC16A8"/>
    <w:rsid w:val="38AD1BFF"/>
    <w:rsid w:val="38AD702E"/>
    <w:rsid w:val="38AE254E"/>
    <w:rsid w:val="38B247E4"/>
    <w:rsid w:val="38B302F9"/>
    <w:rsid w:val="38B30C88"/>
    <w:rsid w:val="38B32EA0"/>
    <w:rsid w:val="38B33219"/>
    <w:rsid w:val="38B90269"/>
    <w:rsid w:val="38B92017"/>
    <w:rsid w:val="38BC43F8"/>
    <w:rsid w:val="38BF4014"/>
    <w:rsid w:val="38C42E95"/>
    <w:rsid w:val="38C5276A"/>
    <w:rsid w:val="38C764E2"/>
    <w:rsid w:val="38CA5FD2"/>
    <w:rsid w:val="38CC79B5"/>
    <w:rsid w:val="38D410DA"/>
    <w:rsid w:val="38D6254B"/>
    <w:rsid w:val="38DB01DF"/>
    <w:rsid w:val="38DB1F8D"/>
    <w:rsid w:val="38E01351"/>
    <w:rsid w:val="38E057F5"/>
    <w:rsid w:val="38ED3A6E"/>
    <w:rsid w:val="38EF3C8A"/>
    <w:rsid w:val="38F12CD3"/>
    <w:rsid w:val="38F54312"/>
    <w:rsid w:val="38F55823"/>
    <w:rsid w:val="38F82B3F"/>
    <w:rsid w:val="38F92413"/>
    <w:rsid w:val="38F94775"/>
    <w:rsid w:val="38FC7709"/>
    <w:rsid w:val="39030A9D"/>
    <w:rsid w:val="3905700A"/>
    <w:rsid w:val="390667A8"/>
    <w:rsid w:val="390A65B9"/>
    <w:rsid w:val="3910621B"/>
    <w:rsid w:val="3912603A"/>
    <w:rsid w:val="3914724D"/>
    <w:rsid w:val="39157E74"/>
    <w:rsid w:val="391B05DB"/>
    <w:rsid w:val="391E1E7A"/>
    <w:rsid w:val="39237490"/>
    <w:rsid w:val="392971ED"/>
    <w:rsid w:val="392A081F"/>
    <w:rsid w:val="392A3696"/>
    <w:rsid w:val="392C27E9"/>
    <w:rsid w:val="392D0F5C"/>
    <w:rsid w:val="392F72B4"/>
    <w:rsid w:val="39316051"/>
    <w:rsid w:val="39325651"/>
    <w:rsid w:val="39363667"/>
    <w:rsid w:val="39365415"/>
    <w:rsid w:val="393A4F06"/>
    <w:rsid w:val="39457BDA"/>
    <w:rsid w:val="3948450C"/>
    <w:rsid w:val="394915ED"/>
    <w:rsid w:val="394A0EC1"/>
    <w:rsid w:val="394A2C6F"/>
    <w:rsid w:val="394C4C39"/>
    <w:rsid w:val="39515623"/>
    <w:rsid w:val="39561FEF"/>
    <w:rsid w:val="395A1DE3"/>
    <w:rsid w:val="395D0BF4"/>
    <w:rsid w:val="396401D4"/>
    <w:rsid w:val="39654509"/>
    <w:rsid w:val="39656AFF"/>
    <w:rsid w:val="39663F4D"/>
    <w:rsid w:val="39682ADB"/>
    <w:rsid w:val="396977A4"/>
    <w:rsid w:val="396A3535"/>
    <w:rsid w:val="39745863"/>
    <w:rsid w:val="397553D2"/>
    <w:rsid w:val="39755F3E"/>
    <w:rsid w:val="3978678E"/>
    <w:rsid w:val="397C3770"/>
    <w:rsid w:val="397F6C58"/>
    <w:rsid w:val="397F6DBC"/>
    <w:rsid w:val="398268AC"/>
    <w:rsid w:val="3983100C"/>
    <w:rsid w:val="39867D06"/>
    <w:rsid w:val="39873595"/>
    <w:rsid w:val="39873EC3"/>
    <w:rsid w:val="39933C03"/>
    <w:rsid w:val="39934616"/>
    <w:rsid w:val="399E5F5D"/>
    <w:rsid w:val="399E7355"/>
    <w:rsid w:val="399F2FBB"/>
    <w:rsid w:val="399F7766"/>
    <w:rsid w:val="39A24859"/>
    <w:rsid w:val="39A36C79"/>
    <w:rsid w:val="39A405D1"/>
    <w:rsid w:val="39A6259B"/>
    <w:rsid w:val="39A706A6"/>
    <w:rsid w:val="39A877B8"/>
    <w:rsid w:val="39A97898"/>
    <w:rsid w:val="39AB1959"/>
    <w:rsid w:val="39AB2E16"/>
    <w:rsid w:val="39AE02C8"/>
    <w:rsid w:val="39B20F40"/>
    <w:rsid w:val="39B36A66"/>
    <w:rsid w:val="39B60304"/>
    <w:rsid w:val="39B76556"/>
    <w:rsid w:val="39BA6046"/>
    <w:rsid w:val="39BD1693"/>
    <w:rsid w:val="39BE51FE"/>
    <w:rsid w:val="39BF5E19"/>
    <w:rsid w:val="39C42A21"/>
    <w:rsid w:val="39CA46E3"/>
    <w:rsid w:val="39CB2002"/>
    <w:rsid w:val="39CD3FCC"/>
    <w:rsid w:val="39CF05D0"/>
    <w:rsid w:val="39D013C6"/>
    <w:rsid w:val="39D37108"/>
    <w:rsid w:val="39D4535A"/>
    <w:rsid w:val="39D72754"/>
    <w:rsid w:val="39DC7D6B"/>
    <w:rsid w:val="39DD3AE3"/>
    <w:rsid w:val="39EB553D"/>
    <w:rsid w:val="39EC22B0"/>
    <w:rsid w:val="39EF3F42"/>
    <w:rsid w:val="39F41558"/>
    <w:rsid w:val="39F63D73"/>
    <w:rsid w:val="39F817D8"/>
    <w:rsid w:val="39FD0783"/>
    <w:rsid w:val="3A0379ED"/>
    <w:rsid w:val="3A050257"/>
    <w:rsid w:val="3A0656FB"/>
    <w:rsid w:val="3A147389"/>
    <w:rsid w:val="3A173238"/>
    <w:rsid w:val="3A175247"/>
    <w:rsid w:val="3A184B1B"/>
    <w:rsid w:val="3A1A4D37"/>
    <w:rsid w:val="3A1B619F"/>
    <w:rsid w:val="3A2319B1"/>
    <w:rsid w:val="3A253286"/>
    <w:rsid w:val="3A257617"/>
    <w:rsid w:val="3A282FB0"/>
    <w:rsid w:val="3A2B484E"/>
    <w:rsid w:val="3A2C570F"/>
    <w:rsid w:val="3A31121C"/>
    <w:rsid w:val="3A343DC1"/>
    <w:rsid w:val="3A3654E0"/>
    <w:rsid w:val="3A371445"/>
    <w:rsid w:val="3A3951BD"/>
    <w:rsid w:val="3A3C4CAD"/>
    <w:rsid w:val="3A3E6C77"/>
    <w:rsid w:val="3A3F02FA"/>
    <w:rsid w:val="3A3F71F7"/>
    <w:rsid w:val="3A40344C"/>
    <w:rsid w:val="3A414072"/>
    <w:rsid w:val="3A43428E"/>
    <w:rsid w:val="3A437DEA"/>
    <w:rsid w:val="3A4818A4"/>
    <w:rsid w:val="3A502507"/>
    <w:rsid w:val="3A5222C0"/>
    <w:rsid w:val="3A52627F"/>
    <w:rsid w:val="3A540249"/>
    <w:rsid w:val="3A5B4645"/>
    <w:rsid w:val="3A5B49CF"/>
    <w:rsid w:val="3A5C6CB1"/>
    <w:rsid w:val="3A5E0035"/>
    <w:rsid w:val="3A60099C"/>
    <w:rsid w:val="3A65774D"/>
    <w:rsid w:val="3A6B53FF"/>
    <w:rsid w:val="3A6F0BDF"/>
    <w:rsid w:val="3A6F5083"/>
    <w:rsid w:val="3A706705"/>
    <w:rsid w:val="3A726921"/>
    <w:rsid w:val="3A742699"/>
    <w:rsid w:val="3A7527C3"/>
    <w:rsid w:val="3A7C154E"/>
    <w:rsid w:val="3A7D0F26"/>
    <w:rsid w:val="3A811F62"/>
    <w:rsid w:val="3A865CA3"/>
    <w:rsid w:val="3A872856"/>
    <w:rsid w:val="3A872F07"/>
    <w:rsid w:val="3A8B75BA"/>
    <w:rsid w:val="3A8D7EEA"/>
    <w:rsid w:val="3A944335"/>
    <w:rsid w:val="3A96323D"/>
    <w:rsid w:val="3A974261"/>
    <w:rsid w:val="3A974416"/>
    <w:rsid w:val="3AA03585"/>
    <w:rsid w:val="3AA12D62"/>
    <w:rsid w:val="3AA60379"/>
    <w:rsid w:val="3AA77B16"/>
    <w:rsid w:val="3AA83F11"/>
    <w:rsid w:val="3AAA7E69"/>
    <w:rsid w:val="3AAD1707"/>
    <w:rsid w:val="3AAD343A"/>
    <w:rsid w:val="3AAF36D1"/>
    <w:rsid w:val="3AB06A98"/>
    <w:rsid w:val="3AB24F6F"/>
    <w:rsid w:val="3AB27B94"/>
    <w:rsid w:val="3ABE3914"/>
    <w:rsid w:val="3AC0768C"/>
    <w:rsid w:val="3AC56A51"/>
    <w:rsid w:val="3AC70A1B"/>
    <w:rsid w:val="3AC76C6D"/>
    <w:rsid w:val="3ACA72AB"/>
    <w:rsid w:val="3ACB0672"/>
    <w:rsid w:val="3ACC5134"/>
    <w:rsid w:val="3ACF46C8"/>
    <w:rsid w:val="3ACF75CE"/>
    <w:rsid w:val="3AD14FE6"/>
    <w:rsid w:val="3AD165B9"/>
    <w:rsid w:val="3AD211EB"/>
    <w:rsid w:val="3AD66EB0"/>
    <w:rsid w:val="3AD924FC"/>
    <w:rsid w:val="3ADB6274"/>
    <w:rsid w:val="3ADD5E86"/>
    <w:rsid w:val="3ADF71D3"/>
    <w:rsid w:val="3AE12D69"/>
    <w:rsid w:val="3AE570F3"/>
    <w:rsid w:val="3AE576F5"/>
    <w:rsid w:val="3AE66ADF"/>
    <w:rsid w:val="3AE8273F"/>
    <w:rsid w:val="3AF630AE"/>
    <w:rsid w:val="3AF64E5C"/>
    <w:rsid w:val="3AF8202F"/>
    <w:rsid w:val="3AFE01B5"/>
    <w:rsid w:val="3B043A1D"/>
    <w:rsid w:val="3B045FB7"/>
    <w:rsid w:val="3B05349D"/>
    <w:rsid w:val="3B082DE1"/>
    <w:rsid w:val="3B0C28D2"/>
    <w:rsid w:val="3B1D4814"/>
    <w:rsid w:val="3B201ED9"/>
    <w:rsid w:val="3B225C51"/>
    <w:rsid w:val="3B251346"/>
    <w:rsid w:val="3B255741"/>
    <w:rsid w:val="3B28676F"/>
    <w:rsid w:val="3B286FE0"/>
    <w:rsid w:val="3B29323F"/>
    <w:rsid w:val="3B2A0794"/>
    <w:rsid w:val="3B2B567D"/>
    <w:rsid w:val="3B2C2F74"/>
    <w:rsid w:val="3B2C6AD0"/>
    <w:rsid w:val="3B323BFB"/>
    <w:rsid w:val="3B33394A"/>
    <w:rsid w:val="3B36794F"/>
    <w:rsid w:val="3B374809"/>
    <w:rsid w:val="3B3763D1"/>
    <w:rsid w:val="3B385C00"/>
    <w:rsid w:val="3B3A4DDC"/>
    <w:rsid w:val="3B3B5E33"/>
    <w:rsid w:val="3B3D0CDD"/>
    <w:rsid w:val="3B3D6F2F"/>
    <w:rsid w:val="3B3D75CD"/>
    <w:rsid w:val="3B3E6803"/>
    <w:rsid w:val="3B40257B"/>
    <w:rsid w:val="3B41116E"/>
    <w:rsid w:val="3B4419E7"/>
    <w:rsid w:val="3B464036"/>
    <w:rsid w:val="3B4756B8"/>
    <w:rsid w:val="3B491430"/>
    <w:rsid w:val="3B4A0741"/>
    <w:rsid w:val="3B4A236B"/>
    <w:rsid w:val="3B4B164C"/>
    <w:rsid w:val="3B542B8C"/>
    <w:rsid w:val="3B556027"/>
    <w:rsid w:val="3B5C3FE6"/>
    <w:rsid w:val="3B5D6BB7"/>
    <w:rsid w:val="3B5E4FF3"/>
    <w:rsid w:val="3B5F0C53"/>
    <w:rsid w:val="3B5F6EA5"/>
    <w:rsid w:val="3B6049CB"/>
    <w:rsid w:val="3B60677A"/>
    <w:rsid w:val="3B667C69"/>
    <w:rsid w:val="3B6A5780"/>
    <w:rsid w:val="3B6A75F8"/>
    <w:rsid w:val="3B6B7247"/>
    <w:rsid w:val="3B6C1049"/>
    <w:rsid w:val="3B72090D"/>
    <w:rsid w:val="3B7B47DC"/>
    <w:rsid w:val="3B7D61A1"/>
    <w:rsid w:val="3B824942"/>
    <w:rsid w:val="3B826852"/>
    <w:rsid w:val="3B8526FD"/>
    <w:rsid w:val="3B8763FC"/>
    <w:rsid w:val="3B8972D5"/>
    <w:rsid w:val="3B8B56B5"/>
    <w:rsid w:val="3B8C756F"/>
    <w:rsid w:val="3B8F1A46"/>
    <w:rsid w:val="3B9B5A04"/>
    <w:rsid w:val="3B9D5C20"/>
    <w:rsid w:val="3B9F2873"/>
    <w:rsid w:val="3BA6683D"/>
    <w:rsid w:val="3BA66882"/>
    <w:rsid w:val="3BA90120"/>
    <w:rsid w:val="3BAB3E99"/>
    <w:rsid w:val="3BAD3B3F"/>
    <w:rsid w:val="3BAE1BDB"/>
    <w:rsid w:val="3BB30F9F"/>
    <w:rsid w:val="3BB52F69"/>
    <w:rsid w:val="3BB84807"/>
    <w:rsid w:val="3BB865B6"/>
    <w:rsid w:val="3BBF3788"/>
    <w:rsid w:val="3BBF5B96"/>
    <w:rsid w:val="3BC27434"/>
    <w:rsid w:val="3BC367C1"/>
    <w:rsid w:val="3BC46D08"/>
    <w:rsid w:val="3BCC0557"/>
    <w:rsid w:val="3BD31641"/>
    <w:rsid w:val="3BDB03D1"/>
    <w:rsid w:val="3BDD426E"/>
    <w:rsid w:val="3BE23632"/>
    <w:rsid w:val="3BE253E0"/>
    <w:rsid w:val="3BE344AF"/>
    <w:rsid w:val="3BE474A3"/>
    <w:rsid w:val="3BE47CC6"/>
    <w:rsid w:val="3BE525AB"/>
    <w:rsid w:val="3BEB0739"/>
    <w:rsid w:val="3BED2703"/>
    <w:rsid w:val="3BF07AFD"/>
    <w:rsid w:val="3BF51176"/>
    <w:rsid w:val="3BF71E06"/>
    <w:rsid w:val="3BF829CB"/>
    <w:rsid w:val="3BFF2436"/>
    <w:rsid w:val="3C017F5D"/>
    <w:rsid w:val="3C066A55"/>
    <w:rsid w:val="3C081952"/>
    <w:rsid w:val="3C0835FD"/>
    <w:rsid w:val="3C095063"/>
    <w:rsid w:val="3C0B0DDB"/>
    <w:rsid w:val="3C0D06AF"/>
    <w:rsid w:val="3C0D5ADB"/>
    <w:rsid w:val="3C110A75"/>
    <w:rsid w:val="3C112513"/>
    <w:rsid w:val="3C1315AB"/>
    <w:rsid w:val="3C15307E"/>
    <w:rsid w:val="3C1B6D50"/>
    <w:rsid w:val="3C1F4887"/>
    <w:rsid w:val="3C213DBA"/>
    <w:rsid w:val="3C243C4B"/>
    <w:rsid w:val="3C251EB4"/>
    <w:rsid w:val="3C26744A"/>
    <w:rsid w:val="3C2B7D0B"/>
    <w:rsid w:val="3C2F6E1E"/>
    <w:rsid w:val="3C2F76D5"/>
    <w:rsid w:val="3C300842"/>
    <w:rsid w:val="3C3025F0"/>
    <w:rsid w:val="3C327C29"/>
    <w:rsid w:val="3C351FEC"/>
    <w:rsid w:val="3C362DB8"/>
    <w:rsid w:val="3C383619"/>
    <w:rsid w:val="3C3E01A2"/>
    <w:rsid w:val="3C402634"/>
    <w:rsid w:val="3C4165AB"/>
    <w:rsid w:val="3C432323"/>
    <w:rsid w:val="3C444287"/>
    <w:rsid w:val="3C462E23"/>
    <w:rsid w:val="3C463BC1"/>
    <w:rsid w:val="3C4936B2"/>
    <w:rsid w:val="3C4B567C"/>
    <w:rsid w:val="3C4D13F4"/>
    <w:rsid w:val="3C4F64BA"/>
    <w:rsid w:val="3C5032AA"/>
    <w:rsid w:val="3C551F47"/>
    <w:rsid w:val="3C5938F5"/>
    <w:rsid w:val="3C5A141B"/>
    <w:rsid w:val="3C5A58BF"/>
    <w:rsid w:val="3C5B2F97"/>
    <w:rsid w:val="3C5B3366"/>
    <w:rsid w:val="3C5C2CD9"/>
    <w:rsid w:val="3C6504EB"/>
    <w:rsid w:val="3C65501A"/>
    <w:rsid w:val="3C6866D6"/>
    <w:rsid w:val="3C6877D4"/>
    <w:rsid w:val="3C6D73A0"/>
    <w:rsid w:val="3C700C3E"/>
    <w:rsid w:val="3C70506D"/>
    <w:rsid w:val="3C770B48"/>
    <w:rsid w:val="3C771FCD"/>
    <w:rsid w:val="3C791E9A"/>
    <w:rsid w:val="3C7C5C4A"/>
    <w:rsid w:val="3C7D6794"/>
    <w:rsid w:val="3C7F0E81"/>
    <w:rsid w:val="3C830972"/>
    <w:rsid w:val="3C866B89"/>
    <w:rsid w:val="3C8A5E5F"/>
    <w:rsid w:val="3C925059"/>
    <w:rsid w:val="3C926E07"/>
    <w:rsid w:val="3C9A296D"/>
    <w:rsid w:val="3CA07775"/>
    <w:rsid w:val="3CA27B23"/>
    <w:rsid w:val="3CA32DC2"/>
    <w:rsid w:val="3CA950F9"/>
    <w:rsid w:val="3CAB2C8D"/>
    <w:rsid w:val="3CAB2E91"/>
    <w:rsid w:val="3CB03348"/>
    <w:rsid w:val="3CB04B3A"/>
    <w:rsid w:val="3CB21484"/>
    <w:rsid w:val="3CB37786"/>
    <w:rsid w:val="3CB50EC3"/>
    <w:rsid w:val="3CB925E5"/>
    <w:rsid w:val="3CBE6046"/>
    <w:rsid w:val="3CBF0783"/>
    <w:rsid w:val="3CC1149A"/>
    <w:rsid w:val="3CC25757"/>
    <w:rsid w:val="3CC3186F"/>
    <w:rsid w:val="3CC35212"/>
    <w:rsid w:val="3CC52D38"/>
    <w:rsid w:val="3CC66AB0"/>
    <w:rsid w:val="3CC96E22"/>
    <w:rsid w:val="3CCA2A44"/>
    <w:rsid w:val="3CD25455"/>
    <w:rsid w:val="3CD44FE1"/>
    <w:rsid w:val="3CD45671"/>
    <w:rsid w:val="3CD63B18"/>
    <w:rsid w:val="3CD7760B"/>
    <w:rsid w:val="3CDA245A"/>
    <w:rsid w:val="3CDB69FF"/>
    <w:rsid w:val="3CDC165C"/>
    <w:rsid w:val="3CE358B4"/>
    <w:rsid w:val="3CE60F00"/>
    <w:rsid w:val="3CE777DA"/>
    <w:rsid w:val="3CE8111C"/>
    <w:rsid w:val="3CEB3919"/>
    <w:rsid w:val="3CEC3242"/>
    <w:rsid w:val="3CF274BE"/>
    <w:rsid w:val="3CF37A38"/>
    <w:rsid w:val="3CF654B4"/>
    <w:rsid w:val="3D031AB2"/>
    <w:rsid w:val="3D037D04"/>
    <w:rsid w:val="3D087E91"/>
    <w:rsid w:val="3D0A2E41"/>
    <w:rsid w:val="3D0C6BB9"/>
    <w:rsid w:val="3D0F448B"/>
    <w:rsid w:val="3D0F48FB"/>
    <w:rsid w:val="3D115F7D"/>
    <w:rsid w:val="3D1B504E"/>
    <w:rsid w:val="3D1D33BF"/>
    <w:rsid w:val="3D1E069A"/>
    <w:rsid w:val="3D1E06B7"/>
    <w:rsid w:val="3D1E1117"/>
    <w:rsid w:val="3D202664"/>
    <w:rsid w:val="3D22018A"/>
    <w:rsid w:val="3D2263DC"/>
    <w:rsid w:val="3D235CB1"/>
    <w:rsid w:val="3D251A29"/>
    <w:rsid w:val="3D2645C0"/>
    <w:rsid w:val="3D2748D8"/>
    <w:rsid w:val="3D2A34E3"/>
    <w:rsid w:val="3D2E4D81"/>
    <w:rsid w:val="3D311C7C"/>
    <w:rsid w:val="3D3472BD"/>
    <w:rsid w:val="3D391CA6"/>
    <w:rsid w:val="3D3D3216"/>
    <w:rsid w:val="3D3D4FD0"/>
    <w:rsid w:val="3D420825"/>
    <w:rsid w:val="3D427DDA"/>
    <w:rsid w:val="3D4445A5"/>
    <w:rsid w:val="3D4F2F4A"/>
    <w:rsid w:val="3D51281E"/>
    <w:rsid w:val="3D5161ED"/>
    <w:rsid w:val="3D540560"/>
    <w:rsid w:val="3D54230E"/>
    <w:rsid w:val="3D5C3A0F"/>
    <w:rsid w:val="3D5E72E1"/>
    <w:rsid w:val="3D5E7801"/>
    <w:rsid w:val="3D5F13DF"/>
    <w:rsid w:val="3D605157"/>
    <w:rsid w:val="3D6307DC"/>
    <w:rsid w:val="3D632551"/>
    <w:rsid w:val="3D6835D8"/>
    <w:rsid w:val="3D6A733F"/>
    <w:rsid w:val="3D712B8E"/>
    <w:rsid w:val="3D712EC0"/>
    <w:rsid w:val="3D714C6E"/>
    <w:rsid w:val="3D7203B5"/>
    <w:rsid w:val="3D74650C"/>
    <w:rsid w:val="3D7529B0"/>
    <w:rsid w:val="3D762284"/>
    <w:rsid w:val="3D765FB7"/>
    <w:rsid w:val="3D767023"/>
    <w:rsid w:val="3D771BF4"/>
    <w:rsid w:val="3D7A542C"/>
    <w:rsid w:val="3D7B5AED"/>
    <w:rsid w:val="3D7C3BC4"/>
    <w:rsid w:val="3D7C7220"/>
    <w:rsid w:val="3D826E7B"/>
    <w:rsid w:val="3D831476"/>
    <w:rsid w:val="3D8A68C2"/>
    <w:rsid w:val="3D8E3A72"/>
    <w:rsid w:val="3D8E5820"/>
    <w:rsid w:val="3D8F3346"/>
    <w:rsid w:val="3D9238A8"/>
    <w:rsid w:val="3D934BE4"/>
    <w:rsid w:val="3D9372DA"/>
    <w:rsid w:val="3D94095C"/>
    <w:rsid w:val="3D9443CB"/>
    <w:rsid w:val="3D95230D"/>
    <w:rsid w:val="3D953A3C"/>
    <w:rsid w:val="3D9B1CEB"/>
    <w:rsid w:val="3DA07301"/>
    <w:rsid w:val="3DA512EA"/>
    <w:rsid w:val="3DA92724"/>
    <w:rsid w:val="3DA93FA0"/>
    <w:rsid w:val="3DAA12F0"/>
    <w:rsid w:val="3DAB4624"/>
    <w:rsid w:val="3DAB63D2"/>
    <w:rsid w:val="3DAC3EF8"/>
    <w:rsid w:val="3DAC723C"/>
    <w:rsid w:val="3DB37034"/>
    <w:rsid w:val="3DB64D77"/>
    <w:rsid w:val="3DB6523D"/>
    <w:rsid w:val="3DB73753"/>
    <w:rsid w:val="3DBC5DD1"/>
    <w:rsid w:val="3DC15084"/>
    <w:rsid w:val="3DC21977"/>
    <w:rsid w:val="3DC40CD9"/>
    <w:rsid w:val="3DC6320C"/>
    <w:rsid w:val="3DC70D32"/>
    <w:rsid w:val="3DCE3E6E"/>
    <w:rsid w:val="3DD1395F"/>
    <w:rsid w:val="3DD4070D"/>
    <w:rsid w:val="3DD57E81"/>
    <w:rsid w:val="3DDA47C9"/>
    <w:rsid w:val="3DDC2A2F"/>
    <w:rsid w:val="3DDC47DD"/>
    <w:rsid w:val="3DDD26FC"/>
    <w:rsid w:val="3DE2791A"/>
    <w:rsid w:val="3DE43692"/>
    <w:rsid w:val="3DE71EF3"/>
    <w:rsid w:val="3DED69EA"/>
    <w:rsid w:val="3DF00289"/>
    <w:rsid w:val="3DF26781"/>
    <w:rsid w:val="3DF338D5"/>
    <w:rsid w:val="3DF409DB"/>
    <w:rsid w:val="3DFA1107"/>
    <w:rsid w:val="3DFA2EB5"/>
    <w:rsid w:val="3DFB5612"/>
    <w:rsid w:val="3E006F42"/>
    <w:rsid w:val="3E047890"/>
    <w:rsid w:val="3E0540FB"/>
    <w:rsid w:val="3E06185A"/>
    <w:rsid w:val="3E0A7283"/>
    <w:rsid w:val="3E0C077F"/>
    <w:rsid w:val="3E0C4997"/>
    <w:rsid w:val="3E0E6B7D"/>
    <w:rsid w:val="3E0F175C"/>
    <w:rsid w:val="3E104487"/>
    <w:rsid w:val="3E116017"/>
    <w:rsid w:val="3E1533E8"/>
    <w:rsid w:val="3E161FF6"/>
    <w:rsid w:val="3E17629B"/>
    <w:rsid w:val="3E1839EA"/>
    <w:rsid w:val="3E1C72D0"/>
    <w:rsid w:val="3E1E34FF"/>
    <w:rsid w:val="3E1E784B"/>
    <w:rsid w:val="3E1F291C"/>
    <w:rsid w:val="3E247F32"/>
    <w:rsid w:val="3E2972F7"/>
    <w:rsid w:val="3E2B306F"/>
    <w:rsid w:val="3E2D5039"/>
    <w:rsid w:val="3E330175"/>
    <w:rsid w:val="3E350391"/>
    <w:rsid w:val="3E371A14"/>
    <w:rsid w:val="3E372D67"/>
    <w:rsid w:val="3E38233A"/>
    <w:rsid w:val="3E391FCF"/>
    <w:rsid w:val="3E3A035F"/>
    <w:rsid w:val="3E3B17BE"/>
    <w:rsid w:val="3E3C527C"/>
    <w:rsid w:val="3E403DC0"/>
    <w:rsid w:val="3E410AE4"/>
    <w:rsid w:val="3E442382"/>
    <w:rsid w:val="3E46219E"/>
    <w:rsid w:val="3E4660FB"/>
    <w:rsid w:val="3E4B1963"/>
    <w:rsid w:val="3E4C1DE6"/>
    <w:rsid w:val="3E502AD5"/>
    <w:rsid w:val="3E502CC5"/>
    <w:rsid w:val="3E54340C"/>
    <w:rsid w:val="3E546A69"/>
    <w:rsid w:val="3E556C1E"/>
    <w:rsid w:val="3E5C591E"/>
    <w:rsid w:val="3E5E3444"/>
    <w:rsid w:val="3E5E77EC"/>
    <w:rsid w:val="3E613B53"/>
    <w:rsid w:val="3E614CE2"/>
    <w:rsid w:val="3E631B74"/>
    <w:rsid w:val="3E642A25"/>
    <w:rsid w:val="3E67734B"/>
    <w:rsid w:val="3E6914BF"/>
    <w:rsid w:val="3E693B97"/>
    <w:rsid w:val="3E696550"/>
    <w:rsid w:val="3E6B1FDB"/>
    <w:rsid w:val="3E6D7B2B"/>
    <w:rsid w:val="3E703177"/>
    <w:rsid w:val="3E721583"/>
    <w:rsid w:val="3E734A16"/>
    <w:rsid w:val="3E7474E8"/>
    <w:rsid w:val="3E77440F"/>
    <w:rsid w:val="3E774506"/>
    <w:rsid w:val="3E78348C"/>
    <w:rsid w:val="3E7A3858"/>
    <w:rsid w:val="3E7C38CA"/>
    <w:rsid w:val="3E7D1571"/>
    <w:rsid w:val="3E7F160D"/>
    <w:rsid w:val="3E821F63"/>
    <w:rsid w:val="3E8310FD"/>
    <w:rsid w:val="3E8344F0"/>
    <w:rsid w:val="3E862623"/>
    <w:rsid w:val="3E895FE7"/>
    <w:rsid w:val="3E8B5005"/>
    <w:rsid w:val="3E8D1F7B"/>
    <w:rsid w:val="3E8D3D29"/>
    <w:rsid w:val="3E8E6A9E"/>
    <w:rsid w:val="3E907376"/>
    <w:rsid w:val="3E980BBF"/>
    <w:rsid w:val="3E9926CE"/>
    <w:rsid w:val="3E9C21BE"/>
    <w:rsid w:val="3E9C5B90"/>
    <w:rsid w:val="3E9C707D"/>
    <w:rsid w:val="3EA06DF9"/>
    <w:rsid w:val="3EA6303D"/>
    <w:rsid w:val="3EA66B99"/>
    <w:rsid w:val="3EA90437"/>
    <w:rsid w:val="3EAB2402"/>
    <w:rsid w:val="3EAE3E3D"/>
    <w:rsid w:val="3EB30DD7"/>
    <w:rsid w:val="3EB63280"/>
    <w:rsid w:val="3EB72B54"/>
    <w:rsid w:val="3EBD7A0F"/>
    <w:rsid w:val="3EC24C6F"/>
    <w:rsid w:val="3EC55271"/>
    <w:rsid w:val="3EC7548D"/>
    <w:rsid w:val="3EC83776"/>
    <w:rsid w:val="3EC90A0B"/>
    <w:rsid w:val="3ECA2888"/>
    <w:rsid w:val="3ECA6D2C"/>
    <w:rsid w:val="3ECF4342"/>
    <w:rsid w:val="3ED26D52"/>
    <w:rsid w:val="3ED319E4"/>
    <w:rsid w:val="3ED65630"/>
    <w:rsid w:val="3ED74FA5"/>
    <w:rsid w:val="3ED77F97"/>
    <w:rsid w:val="3EDA0523"/>
    <w:rsid w:val="3EE55913"/>
    <w:rsid w:val="3EE6343A"/>
    <w:rsid w:val="3EE7611C"/>
    <w:rsid w:val="3EE871B2"/>
    <w:rsid w:val="3EE94C3D"/>
    <w:rsid w:val="3EEA2F2A"/>
    <w:rsid w:val="3EEB0A50"/>
    <w:rsid w:val="3EEC6CA2"/>
    <w:rsid w:val="3EF04BF2"/>
    <w:rsid w:val="3EF06066"/>
    <w:rsid w:val="3EF350CD"/>
    <w:rsid w:val="3EF861A9"/>
    <w:rsid w:val="3EF94085"/>
    <w:rsid w:val="3EF94F1B"/>
    <w:rsid w:val="3EFB31FE"/>
    <w:rsid w:val="3F010273"/>
    <w:rsid w:val="3F015008"/>
    <w:rsid w:val="3F073ADC"/>
    <w:rsid w:val="3F096CC0"/>
    <w:rsid w:val="3F0A537A"/>
    <w:rsid w:val="3F0F0BE2"/>
    <w:rsid w:val="3F1042E8"/>
    <w:rsid w:val="3F10721A"/>
    <w:rsid w:val="3F1B7587"/>
    <w:rsid w:val="3F1C50AD"/>
    <w:rsid w:val="3F1F465F"/>
    <w:rsid w:val="3F1F49A3"/>
    <w:rsid w:val="3F1F7353"/>
    <w:rsid w:val="3F211237"/>
    <w:rsid w:val="3F21430D"/>
    <w:rsid w:val="3F2301EA"/>
    <w:rsid w:val="3F261A88"/>
    <w:rsid w:val="3F2D2E17"/>
    <w:rsid w:val="3F2F4DE1"/>
    <w:rsid w:val="3F312907"/>
    <w:rsid w:val="3F323EEB"/>
    <w:rsid w:val="3F395C5F"/>
    <w:rsid w:val="3F3B5533"/>
    <w:rsid w:val="3F3E302B"/>
    <w:rsid w:val="3F40360C"/>
    <w:rsid w:val="3F4343E8"/>
    <w:rsid w:val="3F446ADE"/>
    <w:rsid w:val="3F47212A"/>
    <w:rsid w:val="3F474FAC"/>
    <w:rsid w:val="3F4A699C"/>
    <w:rsid w:val="3F4C14EF"/>
    <w:rsid w:val="3F4C5993"/>
    <w:rsid w:val="3F4D34B9"/>
    <w:rsid w:val="3F4D5267"/>
    <w:rsid w:val="3F4E7207"/>
    <w:rsid w:val="3F5465F5"/>
    <w:rsid w:val="3F5605BF"/>
    <w:rsid w:val="3F566811"/>
    <w:rsid w:val="3F571934"/>
    <w:rsid w:val="3F577E93"/>
    <w:rsid w:val="3F5C459C"/>
    <w:rsid w:val="3F6031EC"/>
    <w:rsid w:val="3F625608"/>
    <w:rsid w:val="3F66090C"/>
    <w:rsid w:val="3F6A64BF"/>
    <w:rsid w:val="3F6A7B5D"/>
    <w:rsid w:val="3F6F78D3"/>
    <w:rsid w:val="3F71407A"/>
    <w:rsid w:val="3F72181A"/>
    <w:rsid w:val="3F7B1DD4"/>
    <w:rsid w:val="3F7C663F"/>
    <w:rsid w:val="3F870779"/>
    <w:rsid w:val="3F87704C"/>
    <w:rsid w:val="3F886975"/>
    <w:rsid w:val="3F9006D6"/>
    <w:rsid w:val="3F966C0E"/>
    <w:rsid w:val="3F982986"/>
    <w:rsid w:val="3F9D4347"/>
    <w:rsid w:val="3F9D458A"/>
    <w:rsid w:val="3FA80F9D"/>
    <w:rsid w:val="3FAE09D4"/>
    <w:rsid w:val="3FAE3EA9"/>
    <w:rsid w:val="3FAE3F57"/>
    <w:rsid w:val="3FB02BF9"/>
    <w:rsid w:val="3FB2282A"/>
    <w:rsid w:val="3FB35F57"/>
    <w:rsid w:val="3FB53538"/>
    <w:rsid w:val="3FB778B9"/>
    <w:rsid w:val="3FBA0B4E"/>
    <w:rsid w:val="3FBB48C6"/>
    <w:rsid w:val="3FC512A1"/>
    <w:rsid w:val="3FC574F3"/>
    <w:rsid w:val="3FC6325B"/>
    <w:rsid w:val="3FC7326B"/>
    <w:rsid w:val="3FC75019"/>
    <w:rsid w:val="3FC96FE3"/>
    <w:rsid w:val="3FCC0881"/>
    <w:rsid w:val="3FCE7DED"/>
    <w:rsid w:val="3FD02D5B"/>
    <w:rsid w:val="3FD20CE1"/>
    <w:rsid w:val="3FD35A2E"/>
    <w:rsid w:val="3FD634AE"/>
    <w:rsid w:val="3FDA39F6"/>
    <w:rsid w:val="3FDB1988"/>
    <w:rsid w:val="3FDF4421"/>
    <w:rsid w:val="3FDF51CD"/>
    <w:rsid w:val="3FE45BCB"/>
    <w:rsid w:val="3FE67B95"/>
    <w:rsid w:val="3FEB06FF"/>
    <w:rsid w:val="3FED1519"/>
    <w:rsid w:val="3FEF3772"/>
    <w:rsid w:val="3FF12096"/>
    <w:rsid w:val="3FF2702B"/>
    <w:rsid w:val="3FF50AF4"/>
    <w:rsid w:val="3FFB4CC3"/>
    <w:rsid w:val="3FFC1167"/>
    <w:rsid w:val="3FFD062E"/>
    <w:rsid w:val="4000052B"/>
    <w:rsid w:val="40003751"/>
    <w:rsid w:val="400224F5"/>
    <w:rsid w:val="40084E9C"/>
    <w:rsid w:val="40095632"/>
    <w:rsid w:val="400973E0"/>
    <w:rsid w:val="400C205E"/>
    <w:rsid w:val="401364B0"/>
    <w:rsid w:val="40163E30"/>
    <w:rsid w:val="40175FA1"/>
    <w:rsid w:val="401819D8"/>
    <w:rsid w:val="401A15ED"/>
    <w:rsid w:val="401A339B"/>
    <w:rsid w:val="401F30A7"/>
    <w:rsid w:val="40212FAA"/>
    <w:rsid w:val="402604EF"/>
    <w:rsid w:val="402762FB"/>
    <w:rsid w:val="40291830"/>
    <w:rsid w:val="402D7572"/>
    <w:rsid w:val="402E32EA"/>
    <w:rsid w:val="40300E10"/>
    <w:rsid w:val="403703F1"/>
    <w:rsid w:val="403A6B12"/>
    <w:rsid w:val="4041301D"/>
    <w:rsid w:val="4041443B"/>
    <w:rsid w:val="4044604D"/>
    <w:rsid w:val="404E74D4"/>
    <w:rsid w:val="40512B35"/>
    <w:rsid w:val="405575E4"/>
    <w:rsid w:val="405637F3"/>
    <w:rsid w:val="40585A24"/>
    <w:rsid w:val="405A7C3B"/>
    <w:rsid w:val="405B5EA4"/>
    <w:rsid w:val="405E5626"/>
    <w:rsid w:val="40610FCA"/>
    <w:rsid w:val="40624EF6"/>
    <w:rsid w:val="40644D6D"/>
    <w:rsid w:val="40644E3B"/>
    <w:rsid w:val="406722B7"/>
    <w:rsid w:val="406D15F7"/>
    <w:rsid w:val="406E7B8B"/>
    <w:rsid w:val="407056B1"/>
    <w:rsid w:val="40714F85"/>
    <w:rsid w:val="40742103"/>
    <w:rsid w:val="40754A75"/>
    <w:rsid w:val="407A6407"/>
    <w:rsid w:val="407C22A8"/>
    <w:rsid w:val="407D392A"/>
    <w:rsid w:val="40833636"/>
    <w:rsid w:val="4086340F"/>
    <w:rsid w:val="408912D9"/>
    <w:rsid w:val="4098113C"/>
    <w:rsid w:val="409C0254"/>
    <w:rsid w:val="409D5390"/>
    <w:rsid w:val="409F72E1"/>
    <w:rsid w:val="40A1222B"/>
    <w:rsid w:val="40A20150"/>
    <w:rsid w:val="40AA04BC"/>
    <w:rsid w:val="40AA0BC3"/>
    <w:rsid w:val="40AB21A3"/>
    <w:rsid w:val="40AB493B"/>
    <w:rsid w:val="40AB5008"/>
    <w:rsid w:val="40AC425B"/>
    <w:rsid w:val="40B3559D"/>
    <w:rsid w:val="40B41A41"/>
    <w:rsid w:val="40B54B74"/>
    <w:rsid w:val="40B97058"/>
    <w:rsid w:val="40BC26A4"/>
    <w:rsid w:val="40C1415E"/>
    <w:rsid w:val="40C31C84"/>
    <w:rsid w:val="40C43051"/>
    <w:rsid w:val="40C90E69"/>
    <w:rsid w:val="40CA3013"/>
    <w:rsid w:val="40CB6C3D"/>
    <w:rsid w:val="40CE2B32"/>
    <w:rsid w:val="40CE6E2E"/>
    <w:rsid w:val="40D37F31"/>
    <w:rsid w:val="40D64CC0"/>
    <w:rsid w:val="40DC2834"/>
    <w:rsid w:val="40DE038F"/>
    <w:rsid w:val="40E8793D"/>
    <w:rsid w:val="40EF0A0A"/>
    <w:rsid w:val="40F326D0"/>
    <w:rsid w:val="40F51626"/>
    <w:rsid w:val="41004C87"/>
    <w:rsid w:val="41006A35"/>
    <w:rsid w:val="410140EC"/>
    <w:rsid w:val="41091CFF"/>
    <w:rsid w:val="410A1661"/>
    <w:rsid w:val="411424E0"/>
    <w:rsid w:val="411575DA"/>
    <w:rsid w:val="411918A4"/>
    <w:rsid w:val="411A73CB"/>
    <w:rsid w:val="411E510D"/>
    <w:rsid w:val="411F0144"/>
    <w:rsid w:val="41200E85"/>
    <w:rsid w:val="41250249"/>
    <w:rsid w:val="412A502D"/>
    <w:rsid w:val="412D2BFA"/>
    <w:rsid w:val="41301ECD"/>
    <w:rsid w:val="41314E40"/>
    <w:rsid w:val="41320BB8"/>
    <w:rsid w:val="413B50FE"/>
    <w:rsid w:val="413C4507"/>
    <w:rsid w:val="413E57AF"/>
    <w:rsid w:val="41456B3D"/>
    <w:rsid w:val="414A5F02"/>
    <w:rsid w:val="414C3A28"/>
    <w:rsid w:val="4153125A"/>
    <w:rsid w:val="415B5024"/>
    <w:rsid w:val="415F661A"/>
    <w:rsid w:val="415F7A57"/>
    <w:rsid w:val="41614413"/>
    <w:rsid w:val="41632C54"/>
    <w:rsid w:val="41674009"/>
    <w:rsid w:val="41677B4A"/>
    <w:rsid w:val="41683412"/>
    <w:rsid w:val="416922FA"/>
    <w:rsid w:val="416A64CB"/>
    <w:rsid w:val="416C231C"/>
    <w:rsid w:val="416D21AE"/>
    <w:rsid w:val="4171348E"/>
    <w:rsid w:val="41717932"/>
    <w:rsid w:val="41760AA5"/>
    <w:rsid w:val="41770ACF"/>
    <w:rsid w:val="41792343"/>
    <w:rsid w:val="41797F24"/>
    <w:rsid w:val="417A5FAB"/>
    <w:rsid w:val="417B430D"/>
    <w:rsid w:val="417E3DFD"/>
    <w:rsid w:val="41850CE8"/>
    <w:rsid w:val="418C2076"/>
    <w:rsid w:val="418F600A"/>
    <w:rsid w:val="41913B31"/>
    <w:rsid w:val="41923405"/>
    <w:rsid w:val="41961147"/>
    <w:rsid w:val="41994793"/>
    <w:rsid w:val="419B050B"/>
    <w:rsid w:val="41A33B98"/>
    <w:rsid w:val="41A342F9"/>
    <w:rsid w:val="41A878FC"/>
    <w:rsid w:val="41B355CC"/>
    <w:rsid w:val="41B3797C"/>
    <w:rsid w:val="41B63597"/>
    <w:rsid w:val="41BB6E00"/>
    <w:rsid w:val="41BD1AED"/>
    <w:rsid w:val="41BE41FA"/>
    <w:rsid w:val="41BF069E"/>
    <w:rsid w:val="41C2018E"/>
    <w:rsid w:val="41C31810"/>
    <w:rsid w:val="41C44063"/>
    <w:rsid w:val="41C51A2C"/>
    <w:rsid w:val="41CD5F08"/>
    <w:rsid w:val="41CD6450"/>
    <w:rsid w:val="41D1611A"/>
    <w:rsid w:val="41D21EC1"/>
    <w:rsid w:val="41D55B17"/>
    <w:rsid w:val="41D91034"/>
    <w:rsid w:val="41DC5B0C"/>
    <w:rsid w:val="41DD0B24"/>
    <w:rsid w:val="41E225DE"/>
    <w:rsid w:val="41E96B56"/>
    <w:rsid w:val="41E974C9"/>
    <w:rsid w:val="41EF2B80"/>
    <w:rsid w:val="41F06AA9"/>
    <w:rsid w:val="41F13778"/>
    <w:rsid w:val="41F4520C"/>
    <w:rsid w:val="41F5422C"/>
    <w:rsid w:val="41FB6F31"/>
    <w:rsid w:val="41FD11C6"/>
    <w:rsid w:val="4200449D"/>
    <w:rsid w:val="420267DC"/>
    <w:rsid w:val="420460B1"/>
    <w:rsid w:val="4205007B"/>
    <w:rsid w:val="42083B1B"/>
    <w:rsid w:val="420B38E3"/>
    <w:rsid w:val="420B3ED6"/>
    <w:rsid w:val="420F4A55"/>
    <w:rsid w:val="42157FA1"/>
    <w:rsid w:val="42166575"/>
    <w:rsid w:val="42181B5C"/>
    <w:rsid w:val="42186000"/>
    <w:rsid w:val="42187B5C"/>
    <w:rsid w:val="42206C63"/>
    <w:rsid w:val="42245718"/>
    <w:rsid w:val="4226071D"/>
    <w:rsid w:val="4228274A"/>
    <w:rsid w:val="422C3859"/>
    <w:rsid w:val="422C694B"/>
    <w:rsid w:val="422E75D1"/>
    <w:rsid w:val="423170C2"/>
    <w:rsid w:val="4232066E"/>
    <w:rsid w:val="423544BC"/>
    <w:rsid w:val="42376098"/>
    <w:rsid w:val="423A3BCC"/>
    <w:rsid w:val="423D0397"/>
    <w:rsid w:val="423F17DF"/>
    <w:rsid w:val="42404D69"/>
    <w:rsid w:val="42440BA3"/>
    <w:rsid w:val="424B0183"/>
    <w:rsid w:val="424C5CAA"/>
    <w:rsid w:val="424E371A"/>
    <w:rsid w:val="424E57D2"/>
    <w:rsid w:val="42521512"/>
    <w:rsid w:val="4252745A"/>
    <w:rsid w:val="425A6618"/>
    <w:rsid w:val="425E0143"/>
    <w:rsid w:val="42610F1F"/>
    <w:rsid w:val="426254CD"/>
    <w:rsid w:val="42674816"/>
    <w:rsid w:val="4269322C"/>
    <w:rsid w:val="426D5376"/>
    <w:rsid w:val="426E477F"/>
    <w:rsid w:val="426E66F8"/>
    <w:rsid w:val="42770F78"/>
    <w:rsid w:val="42786A9F"/>
    <w:rsid w:val="427B20EB"/>
    <w:rsid w:val="427C033D"/>
    <w:rsid w:val="428A2BBD"/>
    <w:rsid w:val="428B4A24"/>
    <w:rsid w:val="428C60A6"/>
    <w:rsid w:val="428E7F40"/>
    <w:rsid w:val="42917FDD"/>
    <w:rsid w:val="42921492"/>
    <w:rsid w:val="42937435"/>
    <w:rsid w:val="42946983"/>
    <w:rsid w:val="429513FF"/>
    <w:rsid w:val="429531AD"/>
    <w:rsid w:val="429733C9"/>
    <w:rsid w:val="429A3BAB"/>
    <w:rsid w:val="429C6185"/>
    <w:rsid w:val="429D0863"/>
    <w:rsid w:val="429E5C3F"/>
    <w:rsid w:val="42A359F3"/>
    <w:rsid w:val="42A81898"/>
    <w:rsid w:val="42A8653E"/>
    <w:rsid w:val="42A927C0"/>
    <w:rsid w:val="42AA319B"/>
    <w:rsid w:val="42AC34C9"/>
    <w:rsid w:val="42B26C49"/>
    <w:rsid w:val="42B42E38"/>
    <w:rsid w:val="42B5384F"/>
    <w:rsid w:val="42B707FA"/>
    <w:rsid w:val="42B71D1D"/>
    <w:rsid w:val="42B86E9B"/>
    <w:rsid w:val="42BF193F"/>
    <w:rsid w:val="42BF6D6E"/>
    <w:rsid w:val="42C00537"/>
    <w:rsid w:val="42C10446"/>
    <w:rsid w:val="42C43A92"/>
    <w:rsid w:val="42C440EF"/>
    <w:rsid w:val="42C53343"/>
    <w:rsid w:val="42C60C4F"/>
    <w:rsid w:val="42CD6DEA"/>
    <w:rsid w:val="42D53EF1"/>
    <w:rsid w:val="42D82D93"/>
    <w:rsid w:val="42D8613A"/>
    <w:rsid w:val="42D9753D"/>
    <w:rsid w:val="42DC0DDB"/>
    <w:rsid w:val="42DE7088"/>
    <w:rsid w:val="42E14644"/>
    <w:rsid w:val="42E303BC"/>
    <w:rsid w:val="42E3660E"/>
    <w:rsid w:val="42E67EAC"/>
    <w:rsid w:val="42EA1242"/>
    <w:rsid w:val="42F04887"/>
    <w:rsid w:val="42F2155B"/>
    <w:rsid w:val="42F500EF"/>
    <w:rsid w:val="42F76BBC"/>
    <w:rsid w:val="42FC322C"/>
    <w:rsid w:val="42FE5942"/>
    <w:rsid w:val="43036368"/>
    <w:rsid w:val="43044F3F"/>
    <w:rsid w:val="43073CDD"/>
    <w:rsid w:val="43077629"/>
    <w:rsid w:val="430E67C6"/>
    <w:rsid w:val="4310367F"/>
    <w:rsid w:val="43106CD7"/>
    <w:rsid w:val="431762B8"/>
    <w:rsid w:val="431C1B20"/>
    <w:rsid w:val="43231840"/>
    <w:rsid w:val="432664FB"/>
    <w:rsid w:val="4328399A"/>
    <w:rsid w:val="432D53EC"/>
    <w:rsid w:val="43301127"/>
    <w:rsid w:val="43362BE2"/>
    <w:rsid w:val="43374CD4"/>
    <w:rsid w:val="4339622E"/>
    <w:rsid w:val="433A6FE6"/>
    <w:rsid w:val="433B4241"/>
    <w:rsid w:val="433C41A2"/>
    <w:rsid w:val="433C5D1E"/>
    <w:rsid w:val="43411FBE"/>
    <w:rsid w:val="434150E2"/>
    <w:rsid w:val="434703D0"/>
    <w:rsid w:val="43480868"/>
    <w:rsid w:val="434846C3"/>
    <w:rsid w:val="4348746D"/>
    <w:rsid w:val="434C570D"/>
    <w:rsid w:val="434E791E"/>
    <w:rsid w:val="4350713C"/>
    <w:rsid w:val="4352109E"/>
    <w:rsid w:val="43560B8E"/>
    <w:rsid w:val="435720D9"/>
    <w:rsid w:val="435C378C"/>
    <w:rsid w:val="43601A0D"/>
    <w:rsid w:val="43615785"/>
    <w:rsid w:val="43650DD1"/>
    <w:rsid w:val="436653E0"/>
    <w:rsid w:val="43686B13"/>
    <w:rsid w:val="436A0B53"/>
    <w:rsid w:val="436E4BF3"/>
    <w:rsid w:val="43713C1A"/>
    <w:rsid w:val="437402D3"/>
    <w:rsid w:val="43754D8C"/>
    <w:rsid w:val="437E1DA4"/>
    <w:rsid w:val="437E1E93"/>
    <w:rsid w:val="438124F9"/>
    <w:rsid w:val="43821076"/>
    <w:rsid w:val="438356FB"/>
    <w:rsid w:val="43874158"/>
    <w:rsid w:val="43880F63"/>
    <w:rsid w:val="43882D11"/>
    <w:rsid w:val="438A680A"/>
    <w:rsid w:val="438F6F2B"/>
    <w:rsid w:val="43947557"/>
    <w:rsid w:val="43994E6F"/>
    <w:rsid w:val="43996CCD"/>
    <w:rsid w:val="439B47F3"/>
    <w:rsid w:val="439F6C52"/>
    <w:rsid w:val="43A0005B"/>
    <w:rsid w:val="43A044FF"/>
    <w:rsid w:val="43A131B0"/>
    <w:rsid w:val="43A318F9"/>
    <w:rsid w:val="43A80067"/>
    <w:rsid w:val="43A85162"/>
    <w:rsid w:val="43B43B06"/>
    <w:rsid w:val="43B9111D"/>
    <w:rsid w:val="43BE4985"/>
    <w:rsid w:val="43C26223"/>
    <w:rsid w:val="43C27FD1"/>
    <w:rsid w:val="43C4431A"/>
    <w:rsid w:val="43C81360"/>
    <w:rsid w:val="43CA3C9D"/>
    <w:rsid w:val="43CB44FA"/>
    <w:rsid w:val="43CB4BD1"/>
    <w:rsid w:val="43CB4D86"/>
    <w:rsid w:val="43CE3DBE"/>
    <w:rsid w:val="43D15381"/>
    <w:rsid w:val="43D321DE"/>
    <w:rsid w:val="43D47D05"/>
    <w:rsid w:val="43D66E67"/>
    <w:rsid w:val="43D736D0"/>
    <w:rsid w:val="43D97731"/>
    <w:rsid w:val="43DE23B3"/>
    <w:rsid w:val="43DE2931"/>
    <w:rsid w:val="43DF5027"/>
    <w:rsid w:val="43E17353"/>
    <w:rsid w:val="43E22422"/>
    <w:rsid w:val="43E53C80"/>
    <w:rsid w:val="43E73EDC"/>
    <w:rsid w:val="43E75C8A"/>
    <w:rsid w:val="43E8166A"/>
    <w:rsid w:val="43EA2D93"/>
    <w:rsid w:val="43EB275F"/>
    <w:rsid w:val="43ED0DC6"/>
    <w:rsid w:val="43EE526A"/>
    <w:rsid w:val="43F403A7"/>
    <w:rsid w:val="43F54BF4"/>
    <w:rsid w:val="43FB73B9"/>
    <w:rsid w:val="43FB7987"/>
    <w:rsid w:val="44011288"/>
    <w:rsid w:val="44046CFA"/>
    <w:rsid w:val="44056110"/>
    <w:rsid w:val="44090F23"/>
    <w:rsid w:val="440A7BCA"/>
    <w:rsid w:val="440C091F"/>
    <w:rsid w:val="440C749E"/>
    <w:rsid w:val="44110F59"/>
    <w:rsid w:val="44134CD1"/>
    <w:rsid w:val="441427F7"/>
    <w:rsid w:val="441A7E0D"/>
    <w:rsid w:val="441C4494"/>
    <w:rsid w:val="441D4202"/>
    <w:rsid w:val="441F3676"/>
    <w:rsid w:val="441F5118"/>
    <w:rsid w:val="4420119C"/>
    <w:rsid w:val="44222F08"/>
    <w:rsid w:val="442944F4"/>
    <w:rsid w:val="442C5D93"/>
    <w:rsid w:val="442E1B0B"/>
    <w:rsid w:val="442F052B"/>
    <w:rsid w:val="443133A9"/>
    <w:rsid w:val="4432576B"/>
    <w:rsid w:val="44337121"/>
    <w:rsid w:val="443B5FD6"/>
    <w:rsid w:val="443D1D4E"/>
    <w:rsid w:val="443D361B"/>
    <w:rsid w:val="4440539A"/>
    <w:rsid w:val="44415270"/>
    <w:rsid w:val="44444D60"/>
    <w:rsid w:val="445251D5"/>
    <w:rsid w:val="445552E9"/>
    <w:rsid w:val="44564BBE"/>
    <w:rsid w:val="44586B88"/>
    <w:rsid w:val="445A645C"/>
    <w:rsid w:val="445B2C1B"/>
    <w:rsid w:val="445D10F1"/>
    <w:rsid w:val="445F3A72"/>
    <w:rsid w:val="44615A3C"/>
    <w:rsid w:val="446472DA"/>
    <w:rsid w:val="44664C9E"/>
    <w:rsid w:val="446A6DCD"/>
    <w:rsid w:val="44753296"/>
    <w:rsid w:val="4476700E"/>
    <w:rsid w:val="44780FD8"/>
    <w:rsid w:val="44790400"/>
    <w:rsid w:val="447A1F57"/>
    <w:rsid w:val="447B3F61"/>
    <w:rsid w:val="447B63D2"/>
    <w:rsid w:val="447C1950"/>
    <w:rsid w:val="448434D9"/>
    <w:rsid w:val="448564A3"/>
    <w:rsid w:val="448636F5"/>
    <w:rsid w:val="44872FC9"/>
    <w:rsid w:val="448B2218"/>
    <w:rsid w:val="448C17EA"/>
    <w:rsid w:val="448D337E"/>
    <w:rsid w:val="44906321"/>
    <w:rsid w:val="44986F84"/>
    <w:rsid w:val="449A71A0"/>
    <w:rsid w:val="449D27EC"/>
    <w:rsid w:val="449D459A"/>
    <w:rsid w:val="449E7560"/>
    <w:rsid w:val="44A40B8C"/>
    <w:rsid w:val="44A678F3"/>
    <w:rsid w:val="44A75419"/>
    <w:rsid w:val="44AD0C81"/>
    <w:rsid w:val="44AD5C7B"/>
    <w:rsid w:val="44AF7030"/>
    <w:rsid w:val="44B44617"/>
    <w:rsid w:val="44B50A63"/>
    <w:rsid w:val="44B50DCE"/>
    <w:rsid w:val="44B87626"/>
    <w:rsid w:val="44B951CC"/>
    <w:rsid w:val="44BA339E"/>
    <w:rsid w:val="44BD4C3D"/>
    <w:rsid w:val="44BF2B1E"/>
    <w:rsid w:val="44C1768E"/>
    <w:rsid w:val="44C304A5"/>
    <w:rsid w:val="44C5463D"/>
    <w:rsid w:val="44C63AF1"/>
    <w:rsid w:val="44CB1108"/>
    <w:rsid w:val="44CB55AC"/>
    <w:rsid w:val="44CD14E0"/>
    <w:rsid w:val="44CE6E4A"/>
    <w:rsid w:val="44CF7C4D"/>
    <w:rsid w:val="44D02BC2"/>
    <w:rsid w:val="44D25867"/>
    <w:rsid w:val="44D501D8"/>
    <w:rsid w:val="44DD155D"/>
    <w:rsid w:val="44DE1D54"/>
    <w:rsid w:val="44DF1057"/>
    <w:rsid w:val="44DF14C8"/>
    <w:rsid w:val="44DF2E05"/>
    <w:rsid w:val="44DF70AD"/>
    <w:rsid w:val="44E0071B"/>
    <w:rsid w:val="44E02971"/>
    <w:rsid w:val="44E1092B"/>
    <w:rsid w:val="44E26451"/>
    <w:rsid w:val="44EE3048"/>
    <w:rsid w:val="44F20B0B"/>
    <w:rsid w:val="44F51A20"/>
    <w:rsid w:val="44F543D6"/>
    <w:rsid w:val="44F763A1"/>
    <w:rsid w:val="44FA19ED"/>
    <w:rsid w:val="44FC5765"/>
    <w:rsid w:val="44FF747E"/>
    <w:rsid w:val="450308A1"/>
    <w:rsid w:val="4504241B"/>
    <w:rsid w:val="45060392"/>
    <w:rsid w:val="450E5003"/>
    <w:rsid w:val="45101210"/>
    <w:rsid w:val="45120AE5"/>
    <w:rsid w:val="45157236"/>
    <w:rsid w:val="4517259F"/>
    <w:rsid w:val="45196317"/>
    <w:rsid w:val="451E09A9"/>
    <w:rsid w:val="4521501C"/>
    <w:rsid w:val="45231CC8"/>
    <w:rsid w:val="452936AB"/>
    <w:rsid w:val="452D591E"/>
    <w:rsid w:val="452E5F4C"/>
    <w:rsid w:val="4530540F"/>
    <w:rsid w:val="45361227"/>
    <w:rsid w:val="4537679D"/>
    <w:rsid w:val="453808D2"/>
    <w:rsid w:val="45392515"/>
    <w:rsid w:val="453942C3"/>
    <w:rsid w:val="453D30B5"/>
    <w:rsid w:val="453E18DA"/>
    <w:rsid w:val="453E5B25"/>
    <w:rsid w:val="453E7B2C"/>
    <w:rsid w:val="4542463B"/>
    <w:rsid w:val="45433394"/>
    <w:rsid w:val="454A2974"/>
    <w:rsid w:val="454B3FF6"/>
    <w:rsid w:val="454E16C4"/>
    <w:rsid w:val="454F3AE7"/>
    <w:rsid w:val="45521829"/>
    <w:rsid w:val="45557BC5"/>
    <w:rsid w:val="455B692F"/>
    <w:rsid w:val="455F7AA2"/>
    <w:rsid w:val="45612018"/>
    <w:rsid w:val="456774D8"/>
    <w:rsid w:val="456B28EB"/>
    <w:rsid w:val="456C5274"/>
    <w:rsid w:val="456F4189"/>
    <w:rsid w:val="45726B02"/>
    <w:rsid w:val="45790B64"/>
    <w:rsid w:val="457A48DC"/>
    <w:rsid w:val="457B0D80"/>
    <w:rsid w:val="457C45F7"/>
    <w:rsid w:val="457C4AF8"/>
    <w:rsid w:val="45817197"/>
    <w:rsid w:val="45833790"/>
    <w:rsid w:val="458946E9"/>
    <w:rsid w:val="458A0FC3"/>
    <w:rsid w:val="458C4D3B"/>
    <w:rsid w:val="458E2156"/>
    <w:rsid w:val="45992FB4"/>
    <w:rsid w:val="4599341F"/>
    <w:rsid w:val="459C0CF6"/>
    <w:rsid w:val="45A47C0E"/>
    <w:rsid w:val="45A53F1B"/>
    <w:rsid w:val="45B60821"/>
    <w:rsid w:val="45B84BF7"/>
    <w:rsid w:val="45B9687F"/>
    <w:rsid w:val="45BA2EE8"/>
    <w:rsid w:val="45BB117C"/>
    <w:rsid w:val="45BB5620"/>
    <w:rsid w:val="45C06792"/>
    <w:rsid w:val="45C64D7A"/>
    <w:rsid w:val="45C73FC5"/>
    <w:rsid w:val="45C94ACE"/>
    <w:rsid w:val="45CC5137"/>
    <w:rsid w:val="45D132D0"/>
    <w:rsid w:val="45D1463A"/>
    <w:rsid w:val="45D64208"/>
    <w:rsid w:val="45D73ADC"/>
    <w:rsid w:val="45D77D33"/>
    <w:rsid w:val="45DA0487"/>
    <w:rsid w:val="45DD5596"/>
    <w:rsid w:val="45E16709"/>
    <w:rsid w:val="45E561F9"/>
    <w:rsid w:val="45E84F39"/>
    <w:rsid w:val="45E87A97"/>
    <w:rsid w:val="45E92856"/>
    <w:rsid w:val="45EB22B2"/>
    <w:rsid w:val="45F11042"/>
    <w:rsid w:val="45F25190"/>
    <w:rsid w:val="45F37C26"/>
    <w:rsid w:val="45F440B0"/>
    <w:rsid w:val="45F4468E"/>
    <w:rsid w:val="45F4643C"/>
    <w:rsid w:val="45F72582"/>
    <w:rsid w:val="46003033"/>
    <w:rsid w:val="46032FE0"/>
    <w:rsid w:val="46033EC2"/>
    <w:rsid w:val="460743C1"/>
    <w:rsid w:val="460A5C60"/>
    <w:rsid w:val="460D5750"/>
    <w:rsid w:val="4611310C"/>
    <w:rsid w:val="46113492"/>
    <w:rsid w:val="461475D4"/>
    <w:rsid w:val="46152F39"/>
    <w:rsid w:val="461940F5"/>
    <w:rsid w:val="461D1E37"/>
    <w:rsid w:val="461E4E80"/>
    <w:rsid w:val="46217F27"/>
    <w:rsid w:val="462A689E"/>
    <w:rsid w:val="462C5BD6"/>
    <w:rsid w:val="462D66FA"/>
    <w:rsid w:val="46302710"/>
    <w:rsid w:val="4631143E"/>
    <w:rsid w:val="46317690"/>
    <w:rsid w:val="46396545"/>
    <w:rsid w:val="463A2821"/>
    <w:rsid w:val="463A743B"/>
    <w:rsid w:val="463D6C52"/>
    <w:rsid w:val="463E3B5B"/>
    <w:rsid w:val="46401681"/>
    <w:rsid w:val="46445615"/>
    <w:rsid w:val="46450513"/>
    <w:rsid w:val="464A0752"/>
    <w:rsid w:val="464D3DAC"/>
    <w:rsid w:val="46500C96"/>
    <w:rsid w:val="46537607"/>
    <w:rsid w:val="46552E46"/>
    <w:rsid w:val="465670F7"/>
    <w:rsid w:val="46577FD6"/>
    <w:rsid w:val="46584C1D"/>
    <w:rsid w:val="465957BB"/>
    <w:rsid w:val="465B0FE9"/>
    <w:rsid w:val="46631F3C"/>
    <w:rsid w:val="46641988"/>
    <w:rsid w:val="466510E8"/>
    <w:rsid w:val="46671304"/>
    <w:rsid w:val="46674E60"/>
    <w:rsid w:val="466753B0"/>
    <w:rsid w:val="46681296"/>
    <w:rsid w:val="46690BD8"/>
    <w:rsid w:val="46696289"/>
    <w:rsid w:val="466B2BA2"/>
    <w:rsid w:val="466C2476"/>
    <w:rsid w:val="466E61EE"/>
    <w:rsid w:val="46731A57"/>
    <w:rsid w:val="467558AA"/>
    <w:rsid w:val="4676292B"/>
    <w:rsid w:val="46771813"/>
    <w:rsid w:val="4678706D"/>
    <w:rsid w:val="46794B93"/>
    <w:rsid w:val="467D6655"/>
    <w:rsid w:val="467F1EF6"/>
    <w:rsid w:val="468772B0"/>
    <w:rsid w:val="468A0B4E"/>
    <w:rsid w:val="468F05E0"/>
    <w:rsid w:val="469043B7"/>
    <w:rsid w:val="46932F3D"/>
    <w:rsid w:val="4693751F"/>
    <w:rsid w:val="469618BE"/>
    <w:rsid w:val="46997B6B"/>
    <w:rsid w:val="469D4D26"/>
    <w:rsid w:val="46A2582F"/>
    <w:rsid w:val="46A460B4"/>
    <w:rsid w:val="46A63BDA"/>
    <w:rsid w:val="46A75BA4"/>
    <w:rsid w:val="46AC6D17"/>
    <w:rsid w:val="46BB09F6"/>
    <w:rsid w:val="46BD2376"/>
    <w:rsid w:val="46BF4C9C"/>
    <w:rsid w:val="46C16C66"/>
    <w:rsid w:val="46C968D6"/>
    <w:rsid w:val="46CD624D"/>
    <w:rsid w:val="46CE3136"/>
    <w:rsid w:val="46D057AD"/>
    <w:rsid w:val="46D257FF"/>
    <w:rsid w:val="46D544C0"/>
    <w:rsid w:val="46D955A7"/>
    <w:rsid w:val="46DD20EA"/>
    <w:rsid w:val="46DF0E9A"/>
    <w:rsid w:val="46E12E64"/>
    <w:rsid w:val="46E26BDC"/>
    <w:rsid w:val="46E63CA2"/>
    <w:rsid w:val="46EC3161"/>
    <w:rsid w:val="46EF15F6"/>
    <w:rsid w:val="46F30DEA"/>
    <w:rsid w:val="46F414DE"/>
    <w:rsid w:val="46F74436"/>
    <w:rsid w:val="46FC1A4C"/>
    <w:rsid w:val="46FD7572"/>
    <w:rsid w:val="46FF32EA"/>
    <w:rsid w:val="47006408"/>
    <w:rsid w:val="470152B5"/>
    <w:rsid w:val="47044DA5"/>
    <w:rsid w:val="470B7EE1"/>
    <w:rsid w:val="470D3C59"/>
    <w:rsid w:val="470F32CA"/>
    <w:rsid w:val="47107AE3"/>
    <w:rsid w:val="471274C2"/>
    <w:rsid w:val="47133957"/>
    <w:rsid w:val="4714586B"/>
    <w:rsid w:val="471634EF"/>
    <w:rsid w:val="471843AC"/>
    <w:rsid w:val="471A1ED2"/>
    <w:rsid w:val="471C20EE"/>
    <w:rsid w:val="471E7C15"/>
    <w:rsid w:val="47255CCC"/>
    <w:rsid w:val="472745EF"/>
    <w:rsid w:val="47294F27"/>
    <w:rsid w:val="472B0583"/>
    <w:rsid w:val="47354F5E"/>
    <w:rsid w:val="47357936"/>
    <w:rsid w:val="473A1529"/>
    <w:rsid w:val="473E4A11"/>
    <w:rsid w:val="473E5455"/>
    <w:rsid w:val="4743112D"/>
    <w:rsid w:val="47460F19"/>
    <w:rsid w:val="47484C91"/>
    <w:rsid w:val="474E655E"/>
    <w:rsid w:val="474F593B"/>
    <w:rsid w:val="47526C95"/>
    <w:rsid w:val="475353E4"/>
    <w:rsid w:val="47590C4D"/>
    <w:rsid w:val="475C1953"/>
    <w:rsid w:val="475F022D"/>
    <w:rsid w:val="475F6CDE"/>
    <w:rsid w:val="47605F31"/>
    <w:rsid w:val="476B1542"/>
    <w:rsid w:val="476C2810"/>
    <w:rsid w:val="476E50DC"/>
    <w:rsid w:val="47712FE6"/>
    <w:rsid w:val="47724B3E"/>
    <w:rsid w:val="47727BCE"/>
    <w:rsid w:val="47783581"/>
    <w:rsid w:val="47784E4E"/>
    <w:rsid w:val="477A6E15"/>
    <w:rsid w:val="477B3A7A"/>
    <w:rsid w:val="477C68EF"/>
    <w:rsid w:val="477E0A07"/>
    <w:rsid w:val="47811F51"/>
    <w:rsid w:val="47812160"/>
    <w:rsid w:val="47834097"/>
    <w:rsid w:val="47867568"/>
    <w:rsid w:val="47886D63"/>
    <w:rsid w:val="47887784"/>
    <w:rsid w:val="478B1022"/>
    <w:rsid w:val="478C50BE"/>
    <w:rsid w:val="478D6088"/>
    <w:rsid w:val="47905A6E"/>
    <w:rsid w:val="47924127"/>
    <w:rsid w:val="479836D8"/>
    <w:rsid w:val="479C6D8B"/>
    <w:rsid w:val="47A0155D"/>
    <w:rsid w:val="47A07E0C"/>
    <w:rsid w:val="47A143A2"/>
    <w:rsid w:val="47A278EA"/>
    <w:rsid w:val="47A45C40"/>
    <w:rsid w:val="47A57E40"/>
    <w:rsid w:val="47A81BD4"/>
    <w:rsid w:val="47AA5527"/>
    <w:rsid w:val="47B474C1"/>
    <w:rsid w:val="47B55DC2"/>
    <w:rsid w:val="47B562F9"/>
    <w:rsid w:val="47BB1907"/>
    <w:rsid w:val="47C016D8"/>
    <w:rsid w:val="47C66525"/>
    <w:rsid w:val="47C85937"/>
    <w:rsid w:val="47CA1B4A"/>
    <w:rsid w:val="47CF4628"/>
    <w:rsid w:val="47D12ED9"/>
    <w:rsid w:val="47D261CA"/>
    <w:rsid w:val="47D32D03"/>
    <w:rsid w:val="47D507E1"/>
    <w:rsid w:val="47D6229D"/>
    <w:rsid w:val="47D77DC3"/>
    <w:rsid w:val="47D93B3C"/>
    <w:rsid w:val="47DB78B4"/>
    <w:rsid w:val="47DE73A4"/>
    <w:rsid w:val="47E0136E"/>
    <w:rsid w:val="47E11690"/>
    <w:rsid w:val="47E349BA"/>
    <w:rsid w:val="47E4305E"/>
    <w:rsid w:val="47E758BF"/>
    <w:rsid w:val="47ED5839"/>
    <w:rsid w:val="47EE3067"/>
    <w:rsid w:val="47F14B4E"/>
    <w:rsid w:val="47F54EC2"/>
    <w:rsid w:val="47F70466"/>
    <w:rsid w:val="47FC782A"/>
    <w:rsid w:val="47FD3CCE"/>
    <w:rsid w:val="480171CC"/>
    <w:rsid w:val="480768FB"/>
    <w:rsid w:val="48084421"/>
    <w:rsid w:val="480908C5"/>
    <w:rsid w:val="480B000A"/>
    <w:rsid w:val="480B7815"/>
    <w:rsid w:val="480C641B"/>
    <w:rsid w:val="480D365E"/>
    <w:rsid w:val="480F755D"/>
    <w:rsid w:val="48111527"/>
    <w:rsid w:val="481A198A"/>
    <w:rsid w:val="481C1C7A"/>
    <w:rsid w:val="481D7ECC"/>
    <w:rsid w:val="481E1E96"/>
    <w:rsid w:val="481E4FF0"/>
    <w:rsid w:val="481E59F2"/>
    <w:rsid w:val="48213971"/>
    <w:rsid w:val="482252DB"/>
    <w:rsid w:val="48230E62"/>
    <w:rsid w:val="48231AD1"/>
    <w:rsid w:val="48236291"/>
    <w:rsid w:val="48254FD3"/>
    <w:rsid w:val="48257543"/>
    <w:rsid w:val="4826016A"/>
    <w:rsid w:val="48270D4B"/>
    <w:rsid w:val="48297ACF"/>
    <w:rsid w:val="482A083B"/>
    <w:rsid w:val="482D3655"/>
    <w:rsid w:val="48313978"/>
    <w:rsid w:val="48343468"/>
    <w:rsid w:val="483A12F6"/>
    <w:rsid w:val="483F12A6"/>
    <w:rsid w:val="483F42E6"/>
    <w:rsid w:val="4841003D"/>
    <w:rsid w:val="48474F49"/>
    <w:rsid w:val="484A4A39"/>
    <w:rsid w:val="48523EE0"/>
    <w:rsid w:val="4856518C"/>
    <w:rsid w:val="485760FA"/>
    <w:rsid w:val="485B09F4"/>
    <w:rsid w:val="48610E04"/>
    <w:rsid w:val="48651873"/>
    <w:rsid w:val="48657127"/>
    <w:rsid w:val="486C48F3"/>
    <w:rsid w:val="486C49B0"/>
    <w:rsid w:val="486D24D6"/>
    <w:rsid w:val="486F44A0"/>
    <w:rsid w:val="4870272E"/>
    <w:rsid w:val="4876196E"/>
    <w:rsid w:val="487844BA"/>
    <w:rsid w:val="487A0B7F"/>
    <w:rsid w:val="487A531F"/>
    <w:rsid w:val="487B1097"/>
    <w:rsid w:val="487B4BF3"/>
    <w:rsid w:val="487D6BBD"/>
    <w:rsid w:val="487E14B9"/>
    <w:rsid w:val="488241D3"/>
    <w:rsid w:val="48825891"/>
    <w:rsid w:val="488345C4"/>
    <w:rsid w:val="48853CC3"/>
    <w:rsid w:val="48866ABE"/>
    <w:rsid w:val="48873598"/>
    <w:rsid w:val="488E4926"/>
    <w:rsid w:val="489363E0"/>
    <w:rsid w:val="48943F06"/>
    <w:rsid w:val="48985AF3"/>
    <w:rsid w:val="489A776F"/>
    <w:rsid w:val="489D2268"/>
    <w:rsid w:val="489D2DBB"/>
    <w:rsid w:val="489D6C31"/>
    <w:rsid w:val="48A24A5C"/>
    <w:rsid w:val="48A837B8"/>
    <w:rsid w:val="48A95C04"/>
    <w:rsid w:val="48AD4CBD"/>
    <w:rsid w:val="48AF2AEE"/>
    <w:rsid w:val="48B06F92"/>
    <w:rsid w:val="48B30830"/>
    <w:rsid w:val="48B84099"/>
    <w:rsid w:val="48C200B9"/>
    <w:rsid w:val="48C20A74"/>
    <w:rsid w:val="48C36255"/>
    <w:rsid w:val="48C400DF"/>
    <w:rsid w:val="48C540C0"/>
    <w:rsid w:val="48C90054"/>
    <w:rsid w:val="48C91E02"/>
    <w:rsid w:val="48CA190C"/>
    <w:rsid w:val="48CC544E"/>
    <w:rsid w:val="48CF053E"/>
    <w:rsid w:val="48D819DB"/>
    <w:rsid w:val="48D90193"/>
    <w:rsid w:val="48DF1625"/>
    <w:rsid w:val="48E00EFA"/>
    <w:rsid w:val="48E64762"/>
    <w:rsid w:val="48E649CB"/>
    <w:rsid w:val="48E95F2C"/>
    <w:rsid w:val="48F0064E"/>
    <w:rsid w:val="48F0738F"/>
    <w:rsid w:val="48F6071D"/>
    <w:rsid w:val="48F74BC1"/>
    <w:rsid w:val="48F778B5"/>
    <w:rsid w:val="48F9600A"/>
    <w:rsid w:val="48FA7DB5"/>
    <w:rsid w:val="48FD385A"/>
    <w:rsid w:val="48FF3A76"/>
    <w:rsid w:val="49000143"/>
    <w:rsid w:val="4901159C"/>
    <w:rsid w:val="49061806"/>
    <w:rsid w:val="49086FEA"/>
    <w:rsid w:val="490C1CEF"/>
    <w:rsid w:val="490C7F41"/>
    <w:rsid w:val="4911204F"/>
    <w:rsid w:val="49121A25"/>
    <w:rsid w:val="49132400"/>
    <w:rsid w:val="491F1A22"/>
    <w:rsid w:val="49221512"/>
    <w:rsid w:val="49236455"/>
    <w:rsid w:val="49242612"/>
    <w:rsid w:val="49261E05"/>
    <w:rsid w:val="492928A1"/>
    <w:rsid w:val="492C0803"/>
    <w:rsid w:val="492E7EB7"/>
    <w:rsid w:val="49311755"/>
    <w:rsid w:val="49326ECC"/>
    <w:rsid w:val="4933371F"/>
    <w:rsid w:val="49366904"/>
    <w:rsid w:val="49385DD0"/>
    <w:rsid w:val="493C0826"/>
    <w:rsid w:val="494067E1"/>
    <w:rsid w:val="49441489"/>
    <w:rsid w:val="49453928"/>
    <w:rsid w:val="49470F79"/>
    <w:rsid w:val="494A2C73"/>
    <w:rsid w:val="494B6CBB"/>
    <w:rsid w:val="494D2A33"/>
    <w:rsid w:val="494E2307"/>
    <w:rsid w:val="4956636B"/>
    <w:rsid w:val="49574C7D"/>
    <w:rsid w:val="49575660"/>
    <w:rsid w:val="4957740E"/>
    <w:rsid w:val="495A212D"/>
    <w:rsid w:val="495A5150"/>
    <w:rsid w:val="495A6EFE"/>
    <w:rsid w:val="495F62C2"/>
    <w:rsid w:val="4960094F"/>
    <w:rsid w:val="496B231B"/>
    <w:rsid w:val="496B2C2B"/>
    <w:rsid w:val="4970227E"/>
    <w:rsid w:val="49725FF6"/>
    <w:rsid w:val="49727175"/>
    <w:rsid w:val="49787384"/>
    <w:rsid w:val="497A5296"/>
    <w:rsid w:val="497A75A0"/>
    <w:rsid w:val="497C0C22"/>
    <w:rsid w:val="49804BB7"/>
    <w:rsid w:val="4981092F"/>
    <w:rsid w:val="49813AA3"/>
    <w:rsid w:val="49816239"/>
    <w:rsid w:val="498455FF"/>
    <w:rsid w:val="499633FD"/>
    <w:rsid w:val="49994AEF"/>
    <w:rsid w:val="499F0DB5"/>
    <w:rsid w:val="499F2B63"/>
    <w:rsid w:val="49A6332D"/>
    <w:rsid w:val="49AC20CF"/>
    <w:rsid w:val="49B20AE8"/>
    <w:rsid w:val="49B74FF4"/>
    <w:rsid w:val="49B87F49"/>
    <w:rsid w:val="49C10D2B"/>
    <w:rsid w:val="49C33CAB"/>
    <w:rsid w:val="49C34AA3"/>
    <w:rsid w:val="49C36851"/>
    <w:rsid w:val="49C565CB"/>
    <w:rsid w:val="49C600F0"/>
    <w:rsid w:val="49C83E68"/>
    <w:rsid w:val="49CC7DFC"/>
    <w:rsid w:val="49D767A1"/>
    <w:rsid w:val="49D83174"/>
    <w:rsid w:val="49D93703"/>
    <w:rsid w:val="49D97B26"/>
    <w:rsid w:val="49DB003F"/>
    <w:rsid w:val="49DC7715"/>
    <w:rsid w:val="49DE7602"/>
    <w:rsid w:val="49E52C6C"/>
    <w:rsid w:val="49EA64D4"/>
    <w:rsid w:val="49EE386C"/>
    <w:rsid w:val="49F033BE"/>
    <w:rsid w:val="49F509D5"/>
    <w:rsid w:val="49F96717"/>
    <w:rsid w:val="49FC061D"/>
    <w:rsid w:val="49FE4938"/>
    <w:rsid w:val="4A023139"/>
    <w:rsid w:val="4A0362EE"/>
    <w:rsid w:val="4A04706C"/>
    <w:rsid w:val="4A080F4F"/>
    <w:rsid w:val="4A0A4F59"/>
    <w:rsid w:val="4A0B4FC8"/>
    <w:rsid w:val="4A136062"/>
    <w:rsid w:val="4A174DEF"/>
    <w:rsid w:val="4A190B67"/>
    <w:rsid w:val="4A1A5BDD"/>
    <w:rsid w:val="4A1E7F2C"/>
    <w:rsid w:val="4A231555"/>
    <w:rsid w:val="4A244E51"/>
    <w:rsid w:val="4A2655C2"/>
    <w:rsid w:val="4A273284"/>
    <w:rsid w:val="4A286FFC"/>
    <w:rsid w:val="4A2C0FF8"/>
    <w:rsid w:val="4A2F40FA"/>
    <w:rsid w:val="4A3643D9"/>
    <w:rsid w:val="4A365275"/>
    <w:rsid w:val="4A393D33"/>
    <w:rsid w:val="4A3E412A"/>
    <w:rsid w:val="4A4008F9"/>
    <w:rsid w:val="4A407298"/>
    <w:rsid w:val="4A4C0E65"/>
    <w:rsid w:val="4A4D0DC4"/>
    <w:rsid w:val="4A4F1473"/>
    <w:rsid w:val="4A4F27DB"/>
    <w:rsid w:val="4A513E5D"/>
    <w:rsid w:val="4A534079"/>
    <w:rsid w:val="4A537EBC"/>
    <w:rsid w:val="4A557B68"/>
    <w:rsid w:val="4A574A47"/>
    <w:rsid w:val="4A5B5779"/>
    <w:rsid w:val="4A5D0A54"/>
    <w:rsid w:val="4A5E5ECC"/>
    <w:rsid w:val="4A6218ED"/>
    <w:rsid w:val="4A6313CC"/>
    <w:rsid w:val="4A69564B"/>
    <w:rsid w:val="4A6B434D"/>
    <w:rsid w:val="4A6D5FB3"/>
    <w:rsid w:val="4A6F415E"/>
    <w:rsid w:val="4A704956"/>
    <w:rsid w:val="4A72331D"/>
    <w:rsid w:val="4A743FEF"/>
    <w:rsid w:val="4A791606"/>
    <w:rsid w:val="4A791A90"/>
    <w:rsid w:val="4A7B576F"/>
    <w:rsid w:val="4A7E6C1C"/>
    <w:rsid w:val="4A805AFA"/>
    <w:rsid w:val="4A826450"/>
    <w:rsid w:val="4A864F1C"/>
    <w:rsid w:val="4A8741CA"/>
    <w:rsid w:val="4A883874"/>
    <w:rsid w:val="4A895CED"/>
    <w:rsid w:val="4A8C758B"/>
    <w:rsid w:val="4A977AF4"/>
    <w:rsid w:val="4A995804"/>
    <w:rsid w:val="4A9A1CA8"/>
    <w:rsid w:val="4A9B3F37"/>
    <w:rsid w:val="4A9B5A20"/>
    <w:rsid w:val="4A9D3546"/>
    <w:rsid w:val="4AA5206A"/>
    <w:rsid w:val="4AA777F9"/>
    <w:rsid w:val="4AA9758C"/>
    <w:rsid w:val="4AAA17BF"/>
    <w:rsid w:val="4AAA61F4"/>
    <w:rsid w:val="4AAB06A4"/>
    <w:rsid w:val="4AAB42E1"/>
    <w:rsid w:val="4AAC13D6"/>
    <w:rsid w:val="4AAC19DB"/>
    <w:rsid w:val="4AAC3789"/>
    <w:rsid w:val="4AAE7501"/>
    <w:rsid w:val="4AAF6DD6"/>
    <w:rsid w:val="4AB12B4E"/>
    <w:rsid w:val="4AB42FE3"/>
    <w:rsid w:val="4AB56947"/>
    <w:rsid w:val="4AB56AE2"/>
    <w:rsid w:val="4AB65807"/>
    <w:rsid w:val="4AB80EF1"/>
    <w:rsid w:val="4AB83EDC"/>
    <w:rsid w:val="4AB97C54"/>
    <w:rsid w:val="4ABB0962"/>
    <w:rsid w:val="4ABB1C1E"/>
    <w:rsid w:val="4ABB577A"/>
    <w:rsid w:val="4ABF260A"/>
    <w:rsid w:val="4AC03421"/>
    <w:rsid w:val="4AC043E2"/>
    <w:rsid w:val="4AC22FAD"/>
    <w:rsid w:val="4AC359AB"/>
    <w:rsid w:val="4AC46D25"/>
    <w:rsid w:val="4AC5077F"/>
    <w:rsid w:val="4AC7411F"/>
    <w:rsid w:val="4ACA1E61"/>
    <w:rsid w:val="4ACB608C"/>
    <w:rsid w:val="4ACC5BD9"/>
    <w:rsid w:val="4ACE54AE"/>
    <w:rsid w:val="4AD14F9E"/>
    <w:rsid w:val="4ADB406F"/>
    <w:rsid w:val="4ADD3943"/>
    <w:rsid w:val="4ADF6F8E"/>
    <w:rsid w:val="4AE12FEF"/>
    <w:rsid w:val="4AE66C9B"/>
    <w:rsid w:val="4AED7781"/>
    <w:rsid w:val="4AF173EE"/>
    <w:rsid w:val="4AF314C2"/>
    <w:rsid w:val="4AF31F03"/>
    <w:rsid w:val="4AF40715"/>
    <w:rsid w:val="4AF561A9"/>
    <w:rsid w:val="4AFA2747"/>
    <w:rsid w:val="4AFA62A3"/>
    <w:rsid w:val="4B010E98"/>
    <w:rsid w:val="4B032EF2"/>
    <w:rsid w:val="4B054C48"/>
    <w:rsid w:val="4B0C247A"/>
    <w:rsid w:val="4B0D3501"/>
    <w:rsid w:val="4B0F5536"/>
    <w:rsid w:val="4B155E93"/>
    <w:rsid w:val="4B157580"/>
    <w:rsid w:val="4B1F0583"/>
    <w:rsid w:val="4B201A81"/>
    <w:rsid w:val="4B204964"/>
    <w:rsid w:val="4B20746B"/>
    <w:rsid w:val="4B21533E"/>
    <w:rsid w:val="4B231661"/>
    <w:rsid w:val="4B231D77"/>
    <w:rsid w:val="4B26353C"/>
    <w:rsid w:val="4B277FE2"/>
    <w:rsid w:val="4B2B3358"/>
    <w:rsid w:val="4B2E1FB3"/>
    <w:rsid w:val="4B2F3F16"/>
    <w:rsid w:val="4B3127A6"/>
    <w:rsid w:val="4B3A0D95"/>
    <w:rsid w:val="4B3C2D5F"/>
    <w:rsid w:val="4B46598C"/>
    <w:rsid w:val="4B49722A"/>
    <w:rsid w:val="4B4B4D50"/>
    <w:rsid w:val="4B4B6AFE"/>
    <w:rsid w:val="4B4C4BB5"/>
    <w:rsid w:val="4B4C652C"/>
    <w:rsid w:val="4B4D2F01"/>
    <w:rsid w:val="4B4E2A92"/>
    <w:rsid w:val="4B5C0D0B"/>
    <w:rsid w:val="4B606F5E"/>
    <w:rsid w:val="4B62206D"/>
    <w:rsid w:val="4B642058"/>
    <w:rsid w:val="4B657589"/>
    <w:rsid w:val="4B69167A"/>
    <w:rsid w:val="4B6928EF"/>
    <w:rsid w:val="4B6B0F4E"/>
    <w:rsid w:val="4B6B5250"/>
    <w:rsid w:val="4B6B5BFE"/>
    <w:rsid w:val="4B6D116B"/>
    <w:rsid w:val="4B6D697A"/>
    <w:rsid w:val="4B702A09"/>
    <w:rsid w:val="4B751DCD"/>
    <w:rsid w:val="4B756271"/>
    <w:rsid w:val="4B7615CC"/>
    <w:rsid w:val="4B775B45"/>
    <w:rsid w:val="4B7A23E3"/>
    <w:rsid w:val="4B7F0E9E"/>
    <w:rsid w:val="4B7F692D"/>
    <w:rsid w:val="4B833BA4"/>
    <w:rsid w:val="4B9220FD"/>
    <w:rsid w:val="4B922FB7"/>
    <w:rsid w:val="4B9270AF"/>
    <w:rsid w:val="4B942AC7"/>
    <w:rsid w:val="4B950DF6"/>
    <w:rsid w:val="4B9668A1"/>
    <w:rsid w:val="4B9A5CD8"/>
    <w:rsid w:val="4B9B157C"/>
    <w:rsid w:val="4B9C1A50"/>
    <w:rsid w:val="4B9F509C"/>
    <w:rsid w:val="4BAD77B9"/>
    <w:rsid w:val="4BB01057"/>
    <w:rsid w:val="4BB27A1B"/>
    <w:rsid w:val="4BB97642"/>
    <w:rsid w:val="4BBA1ED6"/>
    <w:rsid w:val="4BBC79FC"/>
    <w:rsid w:val="4BC426A7"/>
    <w:rsid w:val="4BC82845"/>
    <w:rsid w:val="4BD37D4A"/>
    <w:rsid w:val="4BD72A88"/>
    <w:rsid w:val="4BDA4326"/>
    <w:rsid w:val="4BDB1B8E"/>
    <w:rsid w:val="4BDB662F"/>
    <w:rsid w:val="4BE34F89"/>
    <w:rsid w:val="4BE551A5"/>
    <w:rsid w:val="4BE56F53"/>
    <w:rsid w:val="4BE62CCB"/>
    <w:rsid w:val="4BEB3203"/>
    <w:rsid w:val="4BED4059"/>
    <w:rsid w:val="4BF16188"/>
    <w:rsid w:val="4BF61160"/>
    <w:rsid w:val="4BF929FE"/>
    <w:rsid w:val="4BF947AC"/>
    <w:rsid w:val="4BFF5B3B"/>
    <w:rsid w:val="4C03387D"/>
    <w:rsid w:val="4C033D8E"/>
    <w:rsid w:val="4C03562B"/>
    <w:rsid w:val="4C0513A3"/>
    <w:rsid w:val="4C054E48"/>
    <w:rsid w:val="4C07336D"/>
    <w:rsid w:val="4C084CA1"/>
    <w:rsid w:val="4C101AF6"/>
    <w:rsid w:val="4C15535E"/>
    <w:rsid w:val="4C165D57"/>
    <w:rsid w:val="4C1A24B3"/>
    <w:rsid w:val="4C1C049B"/>
    <w:rsid w:val="4C1C493F"/>
    <w:rsid w:val="4C1C66ED"/>
    <w:rsid w:val="4C215AB1"/>
    <w:rsid w:val="4C297A70"/>
    <w:rsid w:val="4C2B677E"/>
    <w:rsid w:val="4C2D4A1A"/>
    <w:rsid w:val="4C2F6420"/>
    <w:rsid w:val="4C33502F"/>
    <w:rsid w:val="4C3C0B94"/>
    <w:rsid w:val="4C433793"/>
    <w:rsid w:val="4C435427"/>
    <w:rsid w:val="4C45358B"/>
    <w:rsid w:val="4C453E95"/>
    <w:rsid w:val="4C4A0649"/>
    <w:rsid w:val="4C4C6FD2"/>
    <w:rsid w:val="4C51463C"/>
    <w:rsid w:val="4C514CFA"/>
    <w:rsid w:val="4C527A4E"/>
    <w:rsid w:val="4C546E1B"/>
    <w:rsid w:val="4C59524B"/>
    <w:rsid w:val="4C5B411D"/>
    <w:rsid w:val="4C5B7215"/>
    <w:rsid w:val="4C5E40F0"/>
    <w:rsid w:val="4C5E497C"/>
    <w:rsid w:val="4C60482B"/>
    <w:rsid w:val="4C672C72"/>
    <w:rsid w:val="4C673E0C"/>
    <w:rsid w:val="4C675BBA"/>
    <w:rsid w:val="4C700260"/>
    <w:rsid w:val="4C716A38"/>
    <w:rsid w:val="4C725850"/>
    <w:rsid w:val="4C7402D7"/>
    <w:rsid w:val="4C7417E9"/>
    <w:rsid w:val="4C782D33"/>
    <w:rsid w:val="4C7918E8"/>
    <w:rsid w:val="4C7B1918"/>
    <w:rsid w:val="4C7D380D"/>
    <w:rsid w:val="4C7D6CC5"/>
    <w:rsid w:val="4C7E5ECA"/>
    <w:rsid w:val="4C7E684D"/>
    <w:rsid w:val="4C806C7C"/>
    <w:rsid w:val="4C8546BB"/>
    <w:rsid w:val="4C85574F"/>
    <w:rsid w:val="4C87625C"/>
    <w:rsid w:val="4C876AA5"/>
    <w:rsid w:val="4C8F3363"/>
    <w:rsid w:val="4C9170DB"/>
    <w:rsid w:val="4C924C68"/>
    <w:rsid w:val="4C942727"/>
    <w:rsid w:val="4C9646F1"/>
    <w:rsid w:val="4CA25171"/>
    <w:rsid w:val="4CA54934"/>
    <w:rsid w:val="4CA55233"/>
    <w:rsid w:val="4CA60321"/>
    <w:rsid w:val="4CA77B53"/>
    <w:rsid w:val="4CA83BB4"/>
    <w:rsid w:val="4CA90867"/>
    <w:rsid w:val="4CAC5CC3"/>
    <w:rsid w:val="4CAE1A3B"/>
    <w:rsid w:val="4CAE2807"/>
    <w:rsid w:val="4CB00042"/>
    <w:rsid w:val="4CB16E35"/>
    <w:rsid w:val="4CB84667"/>
    <w:rsid w:val="4CB86415"/>
    <w:rsid w:val="4CB9218D"/>
    <w:rsid w:val="4CC254E6"/>
    <w:rsid w:val="4CC32763"/>
    <w:rsid w:val="4CC74F06"/>
    <w:rsid w:val="4CC86E8C"/>
    <w:rsid w:val="4CC90623"/>
    <w:rsid w:val="4CCC0113"/>
    <w:rsid w:val="4CCE79E7"/>
    <w:rsid w:val="4CCF6153"/>
    <w:rsid w:val="4CD05CDB"/>
    <w:rsid w:val="4CD174D7"/>
    <w:rsid w:val="4CD35BF3"/>
    <w:rsid w:val="4CD451B2"/>
    <w:rsid w:val="4CD55219"/>
    <w:rsid w:val="4CDA2830"/>
    <w:rsid w:val="4CDC02DD"/>
    <w:rsid w:val="4CDD40CE"/>
    <w:rsid w:val="4CE27CEC"/>
    <w:rsid w:val="4CE45D2F"/>
    <w:rsid w:val="4CE553D3"/>
    <w:rsid w:val="4CE7337C"/>
    <w:rsid w:val="4CEC4311"/>
    <w:rsid w:val="4CEE0089"/>
    <w:rsid w:val="4CEF4C08"/>
    <w:rsid w:val="4CF2277F"/>
    <w:rsid w:val="4CF23BFD"/>
    <w:rsid w:val="4CFB4554"/>
    <w:rsid w:val="4D07114B"/>
    <w:rsid w:val="4D0C49B3"/>
    <w:rsid w:val="4D0E00FB"/>
    <w:rsid w:val="4D0E072B"/>
    <w:rsid w:val="4D0F0CA0"/>
    <w:rsid w:val="4D102BD8"/>
    <w:rsid w:val="4D113D78"/>
    <w:rsid w:val="4D127F16"/>
    <w:rsid w:val="4D153050"/>
    <w:rsid w:val="4D176606"/>
    <w:rsid w:val="4D1F46E6"/>
    <w:rsid w:val="4D26767B"/>
    <w:rsid w:val="4D27359B"/>
    <w:rsid w:val="4D275349"/>
    <w:rsid w:val="4D292E6F"/>
    <w:rsid w:val="4D2B308B"/>
    <w:rsid w:val="4D2C295F"/>
    <w:rsid w:val="4D2C2AA8"/>
    <w:rsid w:val="4D354E86"/>
    <w:rsid w:val="4D357A66"/>
    <w:rsid w:val="4D386DC7"/>
    <w:rsid w:val="4D387556"/>
    <w:rsid w:val="4D3A1520"/>
    <w:rsid w:val="4D40640B"/>
    <w:rsid w:val="4D423F31"/>
    <w:rsid w:val="4D487C17"/>
    <w:rsid w:val="4D490DFC"/>
    <w:rsid w:val="4D4952BF"/>
    <w:rsid w:val="4D4E6D7A"/>
    <w:rsid w:val="4D50664E"/>
    <w:rsid w:val="4D522188"/>
    <w:rsid w:val="4D5467FC"/>
    <w:rsid w:val="4D564E3E"/>
    <w:rsid w:val="4D5679DC"/>
    <w:rsid w:val="4D572760"/>
    <w:rsid w:val="4D61085B"/>
    <w:rsid w:val="4D626381"/>
    <w:rsid w:val="4D64034B"/>
    <w:rsid w:val="4D662315"/>
    <w:rsid w:val="4D6640C3"/>
    <w:rsid w:val="4D6728D4"/>
    <w:rsid w:val="4D6777C0"/>
    <w:rsid w:val="4D6D6EEB"/>
    <w:rsid w:val="4D741C4E"/>
    <w:rsid w:val="4D782049"/>
    <w:rsid w:val="4D785BA5"/>
    <w:rsid w:val="4D7B7211"/>
    <w:rsid w:val="4D7C38E7"/>
    <w:rsid w:val="4D812E59"/>
    <w:rsid w:val="4D834C75"/>
    <w:rsid w:val="4D891B60"/>
    <w:rsid w:val="4D897DB2"/>
    <w:rsid w:val="4D8B1D7C"/>
    <w:rsid w:val="4D9549A9"/>
    <w:rsid w:val="4D981DA3"/>
    <w:rsid w:val="4D9A3C2A"/>
    <w:rsid w:val="4D9A3D6D"/>
    <w:rsid w:val="4D9C1893"/>
    <w:rsid w:val="4D9D6F07"/>
    <w:rsid w:val="4D9E721C"/>
    <w:rsid w:val="4D9F3131"/>
    <w:rsid w:val="4D9F42AD"/>
    <w:rsid w:val="4DA644C0"/>
    <w:rsid w:val="4DA8648A"/>
    <w:rsid w:val="4DA92202"/>
    <w:rsid w:val="4DA93FB0"/>
    <w:rsid w:val="4DAB41CC"/>
    <w:rsid w:val="4DAE15C6"/>
    <w:rsid w:val="4DAE7818"/>
    <w:rsid w:val="4DB766CD"/>
    <w:rsid w:val="4DB841F3"/>
    <w:rsid w:val="4DB90697"/>
    <w:rsid w:val="4DBC1F35"/>
    <w:rsid w:val="4DBC1FC0"/>
    <w:rsid w:val="4DC10516"/>
    <w:rsid w:val="4DC14713"/>
    <w:rsid w:val="4DC42480"/>
    <w:rsid w:val="4DC42B98"/>
    <w:rsid w:val="4DC94652"/>
    <w:rsid w:val="4DCD7C9F"/>
    <w:rsid w:val="4DCF2FAE"/>
    <w:rsid w:val="4DCF5D39"/>
    <w:rsid w:val="4DD03C33"/>
    <w:rsid w:val="4DD21759"/>
    <w:rsid w:val="4DD5524B"/>
    <w:rsid w:val="4DD67B6B"/>
    <w:rsid w:val="4DD70B1D"/>
    <w:rsid w:val="4DD76D6F"/>
    <w:rsid w:val="4DD908F3"/>
    <w:rsid w:val="4DD92AE7"/>
    <w:rsid w:val="4DDC25D7"/>
    <w:rsid w:val="4DDE00FE"/>
    <w:rsid w:val="4DE4216F"/>
    <w:rsid w:val="4DEC4FB0"/>
    <w:rsid w:val="4DED6593"/>
    <w:rsid w:val="4DEE5E67"/>
    <w:rsid w:val="4DF040E6"/>
    <w:rsid w:val="4DF25957"/>
    <w:rsid w:val="4DF53699"/>
    <w:rsid w:val="4DF67155"/>
    <w:rsid w:val="4DF72F6D"/>
    <w:rsid w:val="4DFD4457"/>
    <w:rsid w:val="4DFD4FEE"/>
    <w:rsid w:val="4E037EE6"/>
    <w:rsid w:val="4E04490D"/>
    <w:rsid w:val="4E075D8A"/>
    <w:rsid w:val="4E08517B"/>
    <w:rsid w:val="4E086F29"/>
    <w:rsid w:val="4E105DDD"/>
    <w:rsid w:val="4E116B08"/>
    <w:rsid w:val="4E127DA7"/>
    <w:rsid w:val="4E140B6A"/>
    <w:rsid w:val="4E16217E"/>
    <w:rsid w:val="4E1E04FA"/>
    <w:rsid w:val="4E1F1CD6"/>
    <w:rsid w:val="4E2023C2"/>
    <w:rsid w:val="4E231EC4"/>
    <w:rsid w:val="4E231FB4"/>
    <w:rsid w:val="4E261AA5"/>
    <w:rsid w:val="4E265601"/>
    <w:rsid w:val="4E2773C5"/>
    <w:rsid w:val="4E29093D"/>
    <w:rsid w:val="4E2D698F"/>
    <w:rsid w:val="4E346E10"/>
    <w:rsid w:val="4E37780E"/>
    <w:rsid w:val="4E3A10AC"/>
    <w:rsid w:val="4E404914"/>
    <w:rsid w:val="4E41243B"/>
    <w:rsid w:val="4E473EF5"/>
    <w:rsid w:val="4E4A2A64"/>
    <w:rsid w:val="4E4E165B"/>
    <w:rsid w:val="4E4F6905"/>
    <w:rsid w:val="4E50112E"/>
    <w:rsid w:val="4E5056C3"/>
    <w:rsid w:val="4E573A0C"/>
    <w:rsid w:val="4E5B174E"/>
    <w:rsid w:val="4E5B34FC"/>
    <w:rsid w:val="4E600FED"/>
    <w:rsid w:val="4E65437B"/>
    <w:rsid w:val="4E670344"/>
    <w:rsid w:val="4E673416"/>
    <w:rsid w:val="4E683E6B"/>
    <w:rsid w:val="4E6A7B35"/>
    <w:rsid w:val="4E6C0130"/>
    <w:rsid w:val="4E6D1482"/>
    <w:rsid w:val="4E74636C"/>
    <w:rsid w:val="4E7740AE"/>
    <w:rsid w:val="4E775E5C"/>
    <w:rsid w:val="4E7937FC"/>
    <w:rsid w:val="4E797A6F"/>
    <w:rsid w:val="4E7A070C"/>
    <w:rsid w:val="4E7C16C5"/>
    <w:rsid w:val="4E7D7917"/>
    <w:rsid w:val="4E7E543D"/>
    <w:rsid w:val="4E817FEA"/>
    <w:rsid w:val="4E826B4D"/>
    <w:rsid w:val="4E870795"/>
    <w:rsid w:val="4E874532"/>
    <w:rsid w:val="4E875D72"/>
    <w:rsid w:val="4E8D742E"/>
    <w:rsid w:val="4E8E4EBF"/>
    <w:rsid w:val="4E8F32E1"/>
    <w:rsid w:val="4E8F764A"/>
    <w:rsid w:val="4E9751B5"/>
    <w:rsid w:val="4E982DE8"/>
    <w:rsid w:val="4E9A7612"/>
    <w:rsid w:val="4E9B1B4B"/>
    <w:rsid w:val="4E9E5ADF"/>
    <w:rsid w:val="4EA07161"/>
    <w:rsid w:val="4EA33777"/>
    <w:rsid w:val="4EA604F0"/>
    <w:rsid w:val="4EA67DC6"/>
    <w:rsid w:val="4EAB0005"/>
    <w:rsid w:val="4EAC3D58"/>
    <w:rsid w:val="4EAD7AD0"/>
    <w:rsid w:val="4EAF6FA4"/>
    <w:rsid w:val="4EB41A1D"/>
    <w:rsid w:val="4EB90223"/>
    <w:rsid w:val="4EC00FAD"/>
    <w:rsid w:val="4EC45545"/>
    <w:rsid w:val="4EC866B8"/>
    <w:rsid w:val="4ECB50D3"/>
    <w:rsid w:val="4ECE0E1B"/>
    <w:rsid w:val="4ECE137E"/>
    <w:rsid w:val="4ECF3EEA"/>
    <w:rsid w:val="4ED63927"/>
    <w:rsid w:val="4EDB63EB"/>
    <w:rsid w:val="4EDE412D"/>
    <w:rsid w:val="4EE03A01"/>
    <w:rsid w:val="4EE554BC"/>
    <w:rsid w:val="4EE5726A"/>
    <w:rsid w:val="4EE852BE"/>
    <w:rsid w:val="4EE93705"/>
    <w:rsid w:val="4EEB0B92"/>
    <w:rsid w:val="4EF15C0F"/>
    <w:rsid w:val="4EFC670B"/>
    <w:rsid w:val="4F027D72"/>
    <w:rsid w:val="4F0752EA"/>
    <w:rsid w:val="4F0973FC"/>
    <w:rsid w:val="4F0C47F7"/>
    <w:rsid w:val="4F1162B1"/>
    <w:rsid w:val="4F132029"/>
    <w:rsid w:val="4F155DA1"/>
    <w:rsid w:val="4F18319B"/>
    <w:rsid w:val="4F192919"/>
    <w:rsid w:val="4F1F277C"/>
    <w:rsid w:val="4F203207"/>
    <w:rsid w:val="4F2204BE"/>
    <w:rsid w:val="4F241A49"/>
    <w:rsid w:val="4F280C4B"/>
    <w:rsid w:val="4F29214E"/>
    <w:rsid w:val="4F2C4E99"/>
    <w:rsid w:val="4F2D00A8"/>
    <w:rsid w:val="4F316F35"/>
    <w:rsid w:val="4F364A99"/>
    <w:rsid w:val="4F3B50DC"/>
    <w:rsid w:val="4F3F510F"/>
    <w:rsid w:val="4F4246BC"/>
    <w:rsid w:val="4F4421E2"/>
    <w:rsid w:val="4F4A3571"/>
    <w:rsid w:val="4F4F0B87"/>
    <w:rsid w:val="4F50502B"/>
    <w:rsid w:val="4F530677"/>
    <w:rsid w:val="4F5434AE"/>
    <w:rsid w:val="4F552161"/>
    <w:rsid w:val="4F561D6E"/>
    <w:rsid w:val="4F563EC7"/>
    <w:rsid w:val="4F5B577E"/>
    <w:rsid w:val="4F5D3557"/>
    <w:rsid w:val="4F5E4BF7"/>
    <w:rsid w:val="4F602D94"/>
    <w:rsid w:val="4F6E54B1"/>
    <w:rsid w:val="4F70160C"/>
    <w:rsid w:val="4F7505EE"/>
    <w:rsid w:val="4F781E8C"/>
    <w:rsid w:val="4F7A5C04"/>
    <w:rsid w:val="4F7C5E20"/>
    <w:rsid w:val="4F836983"/>
    <w:rsid w:val="4F844CD5"/>
    <w:rsid w:val="4F8731BA"/>
    <w:rsid w:val="4F895E47"/>
    <w:rsid w:val="4F8B6063"/>
    <w:rsid w:val="4F9071D6"/>
    <w:rsid w:val="4F9273F2"/>
    <w:rsid w:val="4F9843DC"/>
    <w:rsid w:val="4F9A44F8"/>
    <w:rsid w:val="4F9D2EEB"/>
    <w:rsid w:val="4F9D6DAE"/>
    <w:rsid w:val="4FA365AE"/>
    <w:rsid w:val="4FA42C81"/>
    <w:rsid w:val="4FA669F9"/>
    <w:rsid w:val="4FAB04B3"/>
    <w:rsid w:val="4FAF41AF"/>
    <w:rsid w:val="4FB21842"/>
    <w:rsid w:val="4FB37368"/>
    <w:rsid w:val="4FB437DA"/>
    <w:rsid w:val="4FB945F5"/>
    <w:rsid w:val="4FBA4253"/>
    <w:rsid w:val="4FBC621D"/>
    <w:rsid w:val="4FBE0032"/>
    <w:rsid w:val="4FC24FED"/>
    <w:rsid w:val="4FC450D1"/>
    <w:rsid w:val="4FC62A8C"/>
    <w:rsid w:val="4FCA6CA5"/>
    <w:rsid w:val="4FCB6460"/>
    <w:rsid w:val="4FCD042A"/>
    <w:rsid w:val="4FCD6FCF"/>
    <w:rsid w:val="4FCF3870"/>
    <w:rsid w:val="4FD60D23"/>
    <w:rsid w:val="4FD74E04"/>
    <w:rsid w:val="4FDA2B47"/>
    <w:rsid w:val="4FDB6D6F"/>
    <w:rsid w:val="4FE15C83"/>
    <w:rsid w:val="4FE20F0D"/>
    <w:rsid w:val="4FE329C0"/>
    <w:rsid w:val="4FE51552"/>
    <w:rsid w:val="4FE52E29"/>
    <w:rsid w:val="4FE6207D"/>
    <w:rsid w:val="4FE64355"/>
    <w:rsid w:val="4FE70DC0"/>
    <w:rsid w:val="4FEB4D54"/>
    <w:rsid w:val="4FEB4EA6"/>
    <w:rsid w:val="4FEE03A0"/>
    <w:rsid w:val="4FF357BC"/>
    <w:rsid w:val="4FF63590"/>
    <w:rsid w:val="4FF74123"/>
    <w:rsid w:val="4FF97471"/>
    <w:rsid w:val="4FFB7CBC"/>
    <w:rsid w:val="4FFD05E3"/>
    <w:rsid w:val="500100D3"/>
    <w:rsid w:val="50016325"/>
    <w:rsid w:val="50034A70"/>
    <w:rsid w:val="50041972"/>
    <w:rsid w:val="500600CE"/>
    <w:rsid w:val="500D0826"/>
    <w:rsid w:val="500D6A78"/>
    <w:rsid w:val="500F336D"/>
    <w:rsid w:val="50106AF7"/>
    <w:rsid w:val="50114CF8"/>
    <w:rsid w:val="50117328"/>
    <w:rsid w:val="50120139"/>
    <w:rsid w:val="501778F7"/>
    <w:rsid w:val="5019366F"/>
    <w:rsid w:val="501A1195"/>
    <w:rsid w:val="501D030A"/>
    <w:rsid w:val="502035AF"/>
    <w:rsid w:val="502344EE"/>
    <w:rsid w:val="50240F15"/>
    <w:rsid w:val="50275849"/>
    <w:rsid w:val="502B6EFE"/>
    <w:rsid w:val="502C2D69"/>
    <w:rsid w:val="502D0EE7"/>
    <w:rsid w:val="502D2C76"/>
    <w:rsid w:val="502D757B"/>
    <w:rsid w:val="502F2E92"/>
    <w:rsid w:val="503009B9"/>
    <w:rsid w:val="50324731"/>
    <w:rsid w:val="50337A0F"/>
    <w:rsid w:val="50342257"/>
    <w:rsid w:val="50355FCF"/>
    <w:rsid w:val="5039786D"/>
    <w:rsid w:val="503C55AF"/>
    <w:rsid w:val="503E30D6"/>
    <w:rsid w:val="50404F60"/>
    <w:rsid w:val="5042188F"/>
    <w:rsid w:val="504464B2"/>
    <w:rsid w:val="50447FC0"/>
    <w:rsid w:val="504A1A7A"/>
    <w:rsid w:val="504E31CD"/>
    <w:rsid w:val="50504C4B"/>
    <w:rsid w:val="50591CBD"/>
    <w:rsid w:val="505F4DFA"/>
    <w:rsid w:val="505F61C2"/>
    <w:rsid w:val="50616DC4"/>
    <w:rsid w:val="5066262C"/>
    <w:rsid w:val="506A3ECB"/>
    <w:rsid w:val="506B422D"/>
    <w:rsid w:val="506D15CA"/>
    <w:rsid w:val="506D39BB"/>
    <w:rsid w:val="506F4ACA"/>
    <w:rsid w:val="506F7733"/>
    <w:rsid w:val="50700DB5"/>
    <w:rsid w:val="507408A5"/>
    <w:rsid w:val="50767611"/>
    <w:rsid w:val="50771B24"/>
    <w:rsid w:val="50777124"/>
    <w:rsid w:val="507928A6"/>
    <w:rsid w:val="507A605D"/>
    <w:rsid w:val="507C775A"/>
    <w:rsid w:val="507E34D2"/>
    <w:rsid w:val="507E7AD2"/>
    <w:rsid w:val="50811214"/>
    <w:rsid w:val="50827466"/>
    <w:rsid w:val="508722C5"/>
    <w:rsid w:val="508C0995"/>
    <w:rsid w:val="508D7BB9"/>
    <w:rsid w:val="508F3EE3"/>
    <w:rsid w:val="50923421"/>
    <w:rsid w:val="50995822"/>
    <w:rsid w:val="509967E2"/>
    <w:rsid w:val="509B0528"/>
    <w:rsid w:val="509C1BAA"/>
    <w:rsid w:val="509C6E7C"/>
    <w:rsid w:val="509E6DA8"/>
    <w:rsid w:val="50A32F39"/>
    <w:rsid w:val="50A76ECD"/>
    <w:rsid w:val="50A8054F"/>
    <w:rsid w:val="50A82C45"/>
    <w:rsid w:val="50AA0969"/>
    <w:rsid w:val="50AE6CE7"/>
    <w:rsid w:val="50AF18DD"/>
    <w:rsid w:val="50AF7B2F"/>
    <w:rsid w:val="50B155D8"/>
    <w:rsid w:val="50B26176"/>
    <w:rsid w:val="50BA6169"/>
    <w:rsid w:val="50BB64D4"/>
    <w:rsid w:val="50BE4216"/>
    <w:rsid w:val="50C07F8E"/>
    <w:rsid w:val="50C25AB5"/>
    <w:rsid w:val="50C3182D"/>
    <w:rsid w:val="50C35389"/>
    <w:rsid w:val="50C64E79"/>
    <w:rsid w:val="50C8299F"/>
    <w:rsid w:val="50CC6933"/>
    <w:rsid w:val="50CE3876"/>
    <w:rsid w:val="50D35CFB"/>
    <w:rsid w:val="50D61560"/>
    <w:rsid w:val="50D852D8"/>
    <w:rsid w:val="50DB6B76"/>
    <w:rsid w:val="50DC591D"/>
    <w:rsid w:val="50E06E6F"/>
    <w:rsid w:val="50E0784F"/>
    <w:rsid w:val="50E579F5"/>
    <w:rsid w:val="50EC2B32"/>
    <w:rsid w:val="50EF617E"/>
    <w:rsid w:val="50F1639A"/>
    <w:rsid w:val="50F22BF1"/>
    <w:rsid w:val="50F310EB"/>
    <w:rsid w:val="50F43794"/>
    <w:rsid w:val="50F90EF1"/>
    <w:rsid w:val="50FB2D75"/>
    <w:rsid w:val="50FD6AED"/>
    <w:rsid w:val="5100397C"/>
    <w:rsid w:val="51023867"/>
    <w:rsid w:val="51042CAA"/>
    <w:rsid w:val="51074E73"/>
    <w:rsid w:val="51087629"/>
    <w:rsid w:val="510E0CFA"/>
    <w:rsid w:val="510F4A72"/>
    <w:rsid w:val="51100A1F"/>
    <w:rsid w:val="5110480D"/>
    <w:rsid w:val="511124D0"/>
    <w:rsid w:val="51114346"/>
    <w:rsid w:val="51121E6C"/>
    <w:rsid w:val="51165E00"/>
    <w:rsid w:val="511701B4"/>
    <w:rsid w:val="5119769F"/>
    <w:rsid w:val="511B51C5"/>
    <w:rsid w:val="511D718F"/>
    <w:rsid w:val="51221C8D"/>
    <w:rsid w:val="51226553"/>
    <w:rsid w:val="51246B4D"/>
    <w:rsid w:val="51275918"/>
    <w:rsid w:val="512E5668"/>
    <w:rsid w:val="512E5CBB"/>
    <w:rsid w:val="51315052"/>
    <w:rsid w:val="513242BC"/>
    <w:rsid w:val="51326923"/>
    <w:rsid w:val="51340035"/>
    <w:rsid w:val="513B13C3"/>
    <w:rsid w:val="513B77C9"/>
    <w:rsid w:val="513D41D6"/>
    <w:rsid w:val="514566E6"/>
    <w:rsid w:val="5149325D"/>
    <w:rsid w:val="514A5AAA"/>
    <w:rsid w:val="515046C1"/>
    <w:rsid w:val="51515016"/>
    <w:rsid w:val="51581F75"/>
    <w:rsid w:val="515B7CB7"/>
    <w:rsid w:val="515D37E6"/>
    <w:rsid w:val="515E0AC1"/>
    <w:rsid w:val="515E33F2"/>
    <w:rsid w:val="515F1555"/>
    <w:rsid w:val="51602E29"/>
    <w:rsid w:val="5162104E"/>
    <w:rsid w:val="5164091A"/>
    <w:rsid w:val="516528E4"/>
    <w:rsid w:val="5169372F"/>
    <w:rsid w:val="516B614C"/>
    <w:rsid w:val="516C329E"/>
    <w:rsid w:val="516C3454"/>
    <w:rsid w:val="516D233C"/>
    <w:rsid w:val="516D2BC8"/>
    <w:rsid w:val="516E081B"/>
    <w:rsid w:val="516E79EA"/>
    <w:rsid w:val="51714DE5"/>
    <w:rsid w:val="517174DB"/>
    <w:rsid w:val="51735001"/>
    <w:rsid w:val="5176064D"/>
    <w:rsid w:val="5179233C"/>
    <w:rsid w:val="517A013D"/>
    <w:rsid w:val="517A37CC"/>
    <w:rsid w:val="517B64FE"/>
    <w:rsid w:val="517C0EAD"/>
    <w:rsid w:val="517D5E7F"/>
    <w:rsid w:val="517E44CE"/>
    <w:rsid w:val="517F04CE"/>
    <w:rsid w:val="5181771E"/>
    <w:rsid w:val="51823496"/>
    <w:rsid w:val="51824B2F"/>
    <w:rsid w:val="5186233E"/>
    <w:rsid w:val="518A4C2E"/>
    <w:rsid w:val="518B2B6D"/>
    <w:rsid w:val="518E3BE9"/>
    <w:rsid w:val="51905BB3"/>
    <w:rsid w:val="51932B8B"/>
    <w:rsid w:val="51982AEC"/>
    <w:rsid w:val="519B00B4"/>
    <w:rsid w:val="519B17CF"/>
    <w:rsid w:val="519D3E2C"/>
    <w:rsid w:val="51A33E68"/>
    <w:rsid w:val="51A57EC9"/>
    <w:rsid w:val="51A8290C"/>
    <w:rsid w:val="51AC406F"/>
    <w:rsid w:val="51B13C95"/>
    <w:rsid w:val="51B64EEE"/>
    <w:rsid w:val="51B7353F"/>
    <w:rsid w:val="51B86EB8"/>
    <w:rsid w:val="51BC69A8"/>
    <w:rsid w:val="51BD002A"/>
    <w:rsid w:val="51BF1FF4"/>
    <w:rsid w:val="51C13FBE"/>
    <w:rsid w:val="51C8534D"/>
    <w:rsid w:val="51C93CBC"/>
    <w:rsid w:val="51CD2EE3"/>
    <w:rsid w:val="51CE4BF5"/>
    <w:rsid w:val="51D70186"/>
    <w:rsid w:val="51DC2BA6"/>
    <w:rsid w:val="51E13E09"/>
    <w:rsid w:val="51E1640E"/>
    <w:rsid w:val="51E24515"/>
    <w:rsid w:val="51E33AD4"/>
    <w:rsid w:val="51E47CAD"/>
    <w:rsid w:val="51E63A25"/>
    <w:rsid w:val="51EF4A62"/>
    <w:rsid w:val="51F31C9E"/>
    <w:rsid w:val="51F53C68"/>
    <w:rsid w:val="51F7178E"/>
    <w:rsid w:val="51FA302C"/>
    <w:rsid w:val="51FC4FF6"/>
    <w:rsid w:val="51FF0643"/>
    <w:rsid w:val="520143AC"/>
    <w:rsid w:val="52017044"/>
    <w:rsid w:val="52021EE1"/>
    <w:rsid w:val="52027454"/>
    <w:rsid w:val="520914C1"/>
    <w:rsid w:val="52093015"/>
    <w:rsid w:val="520A53DE"/>
    <w:rsid w:val="520B348B"/>
    <w:rsid w:val="520B5239"/>
    <w:rsid w:val="521014B6"/>
    <w:rsid w:val="521045FE"/>
    <w:rsid w:val="521340EE"/>
    <w:rsid w:val="52173BDE"/>
    <w:rsid w:val="521A1920"/>
    <w:rsid w:val="521A547C"/>
    <w:rsid w:val="521C2539"/>
    <w:rsid w:val="521D4F6D"/>
    <w:rsid w:val="52214A5D"/>
    <w:rsid w:val="5224454D"/>
    <w:rsid w:val="522A0E1C"/>
    <w:rsid w:val="5231233C"/>
    <w:rsid w:val="523227C6"/>
    <w:rsid w:val="52341504"/>
    <w:rsid w:val="523429E2"/>
    <w:rsid w:val="52350508"/>
    <w:rsid w:val="5237602E"/>
    <w:rsid w:val="523A18EA"/>
    <w:rsid w:val="523A5002"/>
    <w:rsid w:val="523C1897"/>
    <w:rsid w:val="523E212F"/>
    <w:rsid w:val="523F4EE3"/>
    <w:rsid w:val="52412A09"/>
    <w:rsid w:val="5244129E"/>
    <w:rsid w:val="524A218C"/>
    <w:rsid w:val="524C3D9F"/>
    <w:rsid w:val="525070F0"/>
    <w:rsid w:val="525210BA"/>
    <w:rsid w:val="5253098E"/>
    <w:rsid w:val="525420E5"/>
    <w:rsid w:val="525766D1"/>
    <w:rsid w:val="52576A5A"/>
    <w:rsid w:val="525941F7"/>
    <w:rsid w:val="525C3CE7"/>
    <w:rsid w:val="52642B9B"/>
    <w:rsid w:val="526A0F22"/>
    <w:rsid w:val="526B4A52"/>
    <w:rsid w:val="526C4F83"/>
    <w:rsid w:val="5272350A"/>
    <w:rsid w:val="527903F5"/>
    <w:rsid w:val="52790714"/>
    <w:rsid w:val="528172AA"/>
    <w:rsid w:val="52835444"/>
    <w:rsid w:val="52841AC9"/>
    <w:rsid w:val="52842DED"/>
    <w:rsid w:val="52880638"/>
    <w:rsid w:val="528B637A"/>
    <w:rsid w:val="528F17AD"/>
    <w:rsid w:val="5292739E"/>
    <w:rsid w:val="52927562"/>
    <w:rsid w:val="52943481"/>
    <w:rsid w:val="52964527"/>
    <w:rsid w:val="52965C40"/>
    <w:rsid w:val="529C2921"/>
    <w:rsid w:val="52A03BD4"/>
    <w:rsid w:val="52A82A88"/>
    <w:rsid w:val="52AE419A"/>
    <w:rsid w:val="52AE6E38"/>
    <w:rsid w:val="52AF3E17"/>
    <w:rsid w:val="52B21B59"/>
    <w:rsid w:val="52B24DFD"/>
    <w:rsid w:val="52B471BF"/>
    <w:rsid w:val="52B97271"/>
    <w:rsid w:val="52BC3CB1"/>
    <w:rsid w:val="52BE405A"/>
    <w:rsid w:val="52C06024"/>
    <w:rsid w:val="52C33D66"/>
    <w:rsid w:val="52C5188C"/>
    <w:rsid w:val="52C75604"/>
    <w:rsid w:val="52CA2422"/>
    <w:rsid w:val="52CA76D1"/>
    <w:rsid w:val="52CB0F9F"/>
    <w:rsid w:val="52CB118B"/>
    <w:rsid w:val="52CB7DB0"/>
    <w:rsid w:val="52CC2C1B"/>
    <w:rsid w:val="52CD24EF"/>
    <w:rsid w:val="52D26933"/>
    <w:rsid w:val="52D65C0F"/>
    <w:rsid w:val="52D7511B"/>
    <w:rsid w:val="52DC2732"/>
    <w:rsid w:val="52DE6FF1"/>
    <w:rsid w:val="52E2243E"/>
    <w:rsid w:val="52E27BEF"/>
    <w:rsid w:val="52E33975"/>
    <w:rsid w:val="52E71802"/>
    <w:rsid w:val="52EF6909"/>
    <w:rsid w:val="52F309E0"/>
    <w:rsid w:val="52F42171"/>
    <w:rsid w:val="52F43F1F"/>
    <w:rsid w:val="52F60BC6"/>
    <w:rsid w:val="52FE4D9E"/>
    <w:rsid w:val="53004672"/>
    <w:rsid w:val="53014F3B"/>
    <w:rsid w:val="5302488E"/>
    <w:rsid w:val="530323B4"/>
    <w:rsid w:val="53083527"/>
    <w:rsid w:val="530B16F1"/>
    <w:rsid w:val="530E5635"/>
    <w:rsid w:val="53192C34"/>
    <w:rsid w:val="532E73C1"/>
    <w:rsid w:val="53312A7E"/>
    <w:rsid w:val="53364407"/>
    <w:rsid w:val="53364538"/>
    <w:rsid w:val="533C0170"/>
    <w:rsid w:val="533E519B"/>
    <w:rsid w:val="534529CD"/>
    <w:rsid w:val="534A56F4"/>
    <w:rsid w:val="534D3630"/>
    <w:rsid w:val="535350EA"/>
    <w:rsid w:val="53536E98"/>
    <w:rsid w:val="53560736"/>
    <w:rsid w:val="535B5D4C"/>
    <w:rsid w:val="53623D58"/>
    <w:rsid w:val="53634F32"/>
    <w:rsid w:val="536410A5"/>
    <w:rsid w:val="53642E53"/>
    <w:rsid w:val="53656A60"/>
    <w:rsid w:val="536A42B3"/>
    <w:rsid w:val="536A7413"/>
    <w:rsid w:val="536C1DA8"/>
    <w:rsid w:val="536C7F5A"/>
    <w:rsid w:val="53723A45"/>
    <w:rsid w:val="53760DD8"/>
    <w:rsid w:val="5377193B"/>
    <w:rsid w:val="537A152F"/>
    <w:rsid w:val="537E791D"/>
    <w:rsid w:val="537F5A73"/>
    <w:rsid w:val="537F7C8D"/>
    <w:rsid w:val="53874C9A"/>
    <w:rsid w:val="538C4158"/>
    <w:rsid w:val="538C7248"/>
    <w:rsid w:val="538D0EFF"/>
    <w:rsid w:val="538E1C7E"/>
    <w:rsid w:val="538E6122"/>
    <w:rsid w:val="538E7F4B"/>
    <w:rsid w:val="538F1D42"/>
    <w:rsid w:val="538F59F6"/>
    <w:rsid w:val="53901E9A"/>
    <w:rsid w:val="53911318"/>
    <w:rsid w:val="539179C0"/>
    <w:rsid w:val="539478A6"/>
    <w:rsid w:val="539625C7"/>
    <w:rsid w:val="53964FD7"/>
    <w:rsid w:val="539A2ACF"/>
    <w:rsid w:val="539F4F0A"/>
    <w:rsid w:val="53A039CC"/>
    <w:rsid w:val="53A1505A"/>
    <w:rsid w:val="53A5604D"/>
    <w:rsid w:val="53A616BE"/>
    <w:rsid w:val="53AD7272"/>
    <w:rsid w:val="53B2032E"/>
    <w:rsid w:val="53B65679"/>
    <w:rsid w:val="53B813F1"/>
    <w:rsid w:val="53BA0CC5"/>
    <w:rsid w:val="53BB4A3D"/>
    <w:rsid w:val="53BC5A15"/>
    <w:rsid w:val="53C9189D"/>
    <w:rsid w:val="53CB2ED2"/>
    <w:rsid w:val="53CB7D68"/>
    <w:rsid w:val="53CD4419"/>
    <w:rsid w:val="53CE651E"/>
    <w:rsid w:val="53D1600F"/>
    <w:rsid w:val="53D9109E"/>
    <w:rsid w:val="53DF697E"/>
    <w:rsid w:val="53E72565"/>
    <w:rsid w:val="53E76A21"/>
    <w:rsid w:val="53EF1AED"/>
    <w:rsid w:val="53F25BF6"/>
    <w:rsid w:val="53F50F2E"/>
    <w:rsid w:val="53F65A75"/>
    <w:rsid w:val="53F843E0"/>
    <w:rsid w:val="53FA56F2"/>
    <w:rsid w:val="53FC0C6F"/>
    <w:rsid w:val="53FF0DCE"/>
    <w:rsid w:val="540006A2"/>
    <w:rsid w:val="54002702"/>
    <w:rsid w:val="54035863"/>
    <w:rsid w:val="540463E4"/>
    <w:rsid w:val="54063E08"/>
    <w:rsid w:val="540713B7"/>
    <w:rsid w:val="540873B8"/>
    <w:rsid w:val="540934A0"/>
    <w:rsid w:val="540E02F9"/>
    <w:rsid w:val="540E1011"/>
    <w:rsid w:val="540E7263"/>
    <w:rsid w:val="54102AF1"/>
    <w:rsid w:val="54106B37"/>
    <w:rsid w:val="54161C73"/>
    <w:rsid w:val="541A601C"/>
    <w:rsid w:val="541B305B"/>
    <w:rsid w:val="541C54DC"/>
    <w:rsid w:val="541F321E"/>
    <w:rsid w:val="541F6D7A"/>
    <w:rsid w:val="54221FF2"/>
    <w:rsid w:val="54232D0E"/>
    <w:rsid w:val="542645AC"/>
    <w:rsid w:val="54282946"/>
    <w:rsid w:val="543437E8"/>
    <w:rsid w:val="54344196"/>
    <w:rsid w:val="5434450B"/>
    <w:rsid w:val="5438608E"/>
    <w:rsid w:val="543F3BC9"/>
    <w:rsid w:val="543F40EB"/>
    <w:rsid w:val="5441678A"/>
    <w:rsid w:val="54440BD0"/>
    <w:rsid w:val="54505070"/>
    <w:rsid w:val="545155B0"/>
    <w:rsid w:val="545253A1"/>
    <w:rsid w:val="545311AD"/>
    <w:rsid w:val="5454111A"/>
    <w:rsid w:val="54547399"/>
    <w:rsid w:val="54563E63"/>
    <w:rsid w:val="54583372"/>
    <w:rsid w:val="54594C92"/>
    <w:rsid w:val="545A24A8"/>
    <w:rsid w:val="545D78A2"/>
    <w:rsid w:val="545E3D46"/>
    <w:rsid w:val="545F186C"/>
    <w:rsid w:val="546334E6"/>
    <w:rsid w:val="54646E83"/>
    <w:rsid w:val="54680721"/>
    <w:rsid w:val="54684BC5"/>
    <w:rsid w:val="546A517C"/>
    <w:rsid w:val="546D3F89"/>
    <w:rsid w:val="54717BEB"/>
    <w:rsid w:val="547277F2"/>
    <w:rsid w:val="54750DF4"/>
    <w:rsid w:val="547602E8"/>
    <w:rsid w:val="54770964"/>
    <w:rsid w:val="54781E2D"/>
    <w:rsid w:val="547846DC"/>
    <w:rsid w:val="5479292E"/>
    <w:rsid w:val="547B002C"/>
    <w:rsid w:val="547C3956"/>
    <w:rsid w:val="548062A4"/>
    <w:rsid w:val="54824E31"/>
    <w:rsid w:val="548808CD"/>
    <w:rsid w:val="54880DC3"/>
    <w:rsid w:val="5488491F"/>
    <w:rsid w:val="54935C02"/>
    <w:rsid w:val="54994D7E"/>
    <w:rsid w:val="549C03CB"/>
    <w:rsid w:val="549C661D"/>
    <w:rsid w:val="54A43723"/>
    <w:rsid w:val="54A74335"/>
    <w:rsid w:val="54A84FC1"/>
    <w:rsid w:val="54B020C8"/>
    <w:rsid w:val="54B11402"/>
    <w:rsid w:val="54B308BD"/>
    <w:rsid w:val="54B5148C"/>
    <w:rsid w:val="54B6663B"/>
    <w:rsid w:val="54B733AF"/>
    <w:rsid w:val="54B83F4D"/>
    <w:rsid w:val="54B90AA4"/>
    <w:rsid w:val="54B94928"/>
    <w:rsid w:val="54C3004D"/>
    <w:rsid w:val="54C44CF2"/>
    <w:rsid w:val="54C53DC5"/>
    <w:rsid w:val="54C55B73"/>
    <w:rsid w:val="54CA318A"/>
    <w:rsid w:val="54CB3308"/>
    <w:rsid w:val="54CC6443"/>
    <w:rsid w:val="54CF1508"/>
    <w:rsid w:val="54CF3A84"/>
    <w:rsid w:val="54D019CD"/>
    <w:rsid w:val="54D51B2F"/>
    <w:rsid w:val="54D77CBE"/>
    <w:rsid w:val="54D91D1C"/>
    <w:rsid w:val="54DA7145"/>
    <w:rsid w:val="54DE17A5"/>
    <w:rsid w:val="54DE4E87"/>
    <w:rsid w:val="54DF775C"/>
    <w:rsid w:val="54E12281"/>
    <w:rsid w:val="54E3424B"/>
    <w:rsid w:val="54E63F4E"/>
    <w:rsid w:val="54EC75A4"/>
    <w:rsid w:val="54F22BCE"/>
    <w:rsid w:val="54F46459"/>
    <w:rsid w:val="54F57D75"/>
    <w:rsid w:val="54F73313"/>
    <w:rsid w:val="54F80955"/>
    <w:rsid w:val="54F83FD0"/>
    <w:rsid w:val="54F93EBC"/>
    <w:rsid w:val="54FB77E7"/>
    <w:rsid w:val="54FE2E33"/>
    <w:rsid w:val="5501585F"/>
    <w:rsid w:val="5501635D"/>
    <w:rsid w:val="55023A07"/>
    <w:rsid w:val="55083CB2"/>
    <w:rsid w:val="55086E0C"/>
    <w:rsid w:val="550B72FE"/>
    <w:rsid w:val="55131712"/>
    <w:rsid w:val="55142CD8"/>
    <w:rsid w:val="55144C39"/>
    <w:rsid w:val="55180399"/>
    <w:rsid w:val="551B39E5"/>
    <w:rsid w:val="552110DA"/>
    <w:rsid w:val="55246450"/>
    <w:rsid w:val="55262C2B"/>
    <w:rsid w:val="5527238A"/>
    <w:rsid w:val="552A00CC"/>
    <w:rsid w:val="552A59CF"/>
    <w:rsid w:val="552B174F"/>
    <w:rsid w:val="553068CE"/>
    <w:rsid w:val="5536081F"/>
    <w:rsid w:val="55366A71"/>
    <w:rsid w:val="553978BF"/>
    <w:rsid w:val="553D1BAE"/>
    <w:rsid w:val="5540344C"/>
    <w:rsid w:val="55437CB7"/>
    <w:rsid w:val="55466588"/>
    <w:rsid w:val="55475325"/>
    <w:rsid w:val="554967A4"/>
    <w:rsid w:val="554A04C4"/>
    <w:rsid w:val="554D7917"/>
    <w:rsid w:val="555076EA"/>
    <w:rsid w:val="55515659"/>
    <w:rsid w:val="555170A7"/>
    <w:rsid w:val="55532F8B"/>
    <w:rsid w:val="55546EF7"/>
    <w:rsid w:val="555601F4"/>
    <w:rsid w:val="555E60BF"/>
    <w:rsid w:val="55603AEE"/>
    <w:rsid w:val="55605ECC"/>
    <w:rsid w:val="556709D9"/>
    <w:rsid w:val="55674E7D"/>
    <w:rsid w:val="55684751"/>
    <w:rsid w:val="55690BF5"/>
    <w:rsid w:val="556C4241"/>
    <w:rsid w:val="556E7FB9"/>
    <w:rsid w:val="556F274C"/>
    <w:rsid w:val="55707629"/>
    <w:rsid w:val="55717AA9"/>
    <w:rsid w:val="55757E11"/>
    <w:rsid w:val="557650C0"/>
    <w:rsid w:val="5576698E"/>
    <w:rsid w:val="55774994"/>
    <w:rsid w:val="55781B65"/>
    <w:rsid w:val="557A1E5A"/>
    <w:rsid w:val="557A24EF"/>
    <w:rsid w:val="557C1FAA"/>
    <w:rsid w:val="557C54B8"/>
    <w:rsid w:val="55805F3E"/>
    <w:rsid w:val="55817742"/>
    <w:rsid w:val="5587410C"/>
    <w:rsid w:val="5587536D"/>
    <w:rsid w:val="558A781D"/>
    <w:rsid w:val="559A1F44"/>
    <w:rsid w:val="559B174B"/>
    <w:rsid w:val="559B4B26"/>
    <w:rsid w:val="559E63C4"/>
    <w:rsid w:val="559F3F06"/>
    <w:rsid w:val="55A16B67"/>
    <w:rsid w:val="55A44A45"/>
    <w:rsid w:val="55A734CB"/>
    <w:rsid w:val="55A94F13"/>
    <w:rsid w:val="55AC3538"/>
    <w:rsid w:val="55AE2AAB"/>
    <w:rsid w:val="55B12F72"/>
    <w:rsid w:val="55B17EA6"/>
    <w:rsid w:val="55B31E70"/>
    <w:rsid w:val="55B57FD9"/>
    <w:rsid w:val="55BD4A9D"/>
    <w:rsid w:val="55C0633B"/>
    <w:rsid w:val="55C23E61"/>
    <w:rsid w:val="55C26090"/>
    <w:rsid w:val="55C27A0C"/>
    <w:rsid w:val="55CA36BF"/>
    <w:rsid w:val="55CE0CF4"/>
    <w:rsid w:val="55CE2806"/>
    <w:rsid w:val="55CF021E"/>
    <w:rsid w:val="55D25DC0"/>
    <w:rsid w:val="55D65B5E"/>
    <w:rsid w:val="55D83684"/>
    <w:rsid w:val="55DB4B03"/>
    <w:rsid w:val="55DB4F23"/>
    <w:rsid w:val="55DB7B79"/>
    <w:rsid w:val="55DD366F"/>
    <w:rsid w:val="55E054C6"/>
    <w:rsid w:val="55EC00A8"/>
    <w:rsid w:val="55EE2EA8"/>
    <w:rsid w:val="55F656C9"/>
    <w:rsid w:val="55F90F87"/>
    <w:rsid w:val="55FD14CE"/>
    <w:rsid w:val="56006FA6"/>
    <w:rsid w:val="56020701"/>
    <w:rsid w:val="56031AAA"/>
    <w:rsid w:val="56050C0A"/>
    <w:rsid w:val="560938C0"/>
    <w:rsid w:val="560C332E"/>
    <w:rsid w:val="560E354A"/>
    <w:rsid w:val="561002A3"/>
    <w:rsid w:val="56130B60"/>
    <w:rsid w:val="561647A5"/>
    <w:rsid w:val="56175E36"/>
    <w:rsid w:val="561F5757"/>
    <w:rsid w:val="56206DD9"/>
    <w:rsid w:val="562118B8"/>
    <w:rsid w:val="56244B1C"/>
    <w:rsid w:val="56252C91"/>
    <w:rsid w:val="562B7C58"/>
    <w:rsid w:val="562C39D0"/>
    <w:rsid w:val="562D7E5B"/>
    <w:rsid w:val="562E6D2C"/>
    <w:rsid w:val="5634450C"/>
    <w:rsid w:val="56350AD7"/>
    <w:rsid w:val="56352885"/>
    <w:rsid w:val="56356D29"/>
    <w:rsid w:val="56357D2E"/>
    <w:rsid w:val="56390E65"/>
    <w:rsid w:val="563D5622"/>
    <w:rsid w:val="56440D1A"/>
    <w:rsid w:val="56446F6C"/>
    <w:rsid w:val="56457822"/>
    <w:rsid w:val="56463D77"/>
    <w:rsid w:val="564B4592"/>
    <w:rsid w:val="564C5E20"/>
    <w:rsid w:val="564E1B99"/>
    <w:rsid w:val="565060B6"/>
    <w:rsid w:val="56530F5D"/>
    <w:rsid w:val="565365E0"/>
    <w:rsid w:val="565371AF"/>
    <w:rsid w:val="56554D73"/>
    <w:rsid w:val="565634E8"/>
    <w:rsid w:val="565D1FD4"/>
    <w:rsid w:val="565D5647"/>
    <w:rsid w:val="565E03C9"/>
    <w:rsid w:val="565F5B54"/>
    <w:rsid w:val="56603EC0"/>
    <w:rsid w:val="56653CED"/>
    <w:rsid w:val="56674A08"/>
    <w:rsid w:val="566A066C"/>
    <w:rsid w:val="566B0B84"/>
    <w:rsid w:val="56741476"/>
    <w:rsid w:val="56772E9D"/>
    <w:rsid w:val="567A0BDF"/>
    <w:rsid w:val="567C6706"/>
    <w:rsid w:val="56837A94"/>
    <w:rsid w:val="568810F8"/>
    <w:rsid w:val="568D26C1"/>
    <w:rsid w:val="56916F31"/>
    <w:rsid w:val="56975F64"/>
    <w:rsid w:val="56982E14"/>
    <w:rsid w:val="56995A62"/>
    <w:rsid w:val="569C2904"/>
    <w:rsid w:val="56A46336"/>
    <w:rsid w:val="56A83B38"/>
    <w:rsid w:val="56A85AB0"/>
    <w:rsid w:val="56AA1A38"/>
    <w:rsid w:val="56AE2637"/>
    <w:rsid w:val="56AF6ADB"/>
    <w:rsid w:val="56B22A9C"/>
    <w:rsid w:val="56B45E9F"/>
    <w:rsid w:val="56B51C18"/>
    <w:rsid w:val="56B539C6"/>
    <w:rsid w:val="56B61C6F"/>
    <w:rsid w:val="56B7122E"/>
    <w:rsid w:val="56B91708"/>
    <w:rsid w:val="56B934B6"/>
    <w:rsid w:val="56BA15D9"/>
    <w:rsid w:val="56BB5208"/>
    <w:rsid w:val="56BF65F2"/>
    <w:rsid w:val="56C06254"/>
    <w:rsid w:val="56C105BC"/>
    <w:rsid w:val="56C21310"/>
    <w:rsid w:val="56C43C09"/>
    <w:rsid w:val="56C4496D"/>
    <w:rsid w:val="56C836F9"/>
    <w:rsid w:val="56C97471"/>
    <w:rsid w:val="56CE6835"/>
    <w:rsid w:val="56CF468A"/>
    <w:rsid w:val="56CF75CE"/>
    <w:rsid w:val="56D007FF"/>
    <w:rsid w:val="56D11297"/>
    <w:rsid w:val="56D40E69"/>
    <w:rsid w:val="56D7455D"/>
    <w:rsid w:val="56D77DE0"/>
    <w:rsid w:val="56D8626A"/>
    <w:rsid w:val="56D976B4"/>
    <w:rsid w:val="56DA167E"/>
    <w:rsid w:val="56DC0634"/>
    <w:rsid w:val="56DE0514"/>
    <w:rsid w:val="56E542AB"/>
    <w:rsid w:val="56E61DD1"/>
    <w:rsid w:val="56EC2AE7"/>
    <w:rsid w:val="56ED7286"/>
    <w:rsid w:val="56EF1903"/>
    <w:rsid w:val="56EF6ED8"/>
    <w:rsid w:val="56F02C50"/>
    <w:rsid w:val="56F24C1A"/>
    <w:rsid w:val="56F72C39"/>
    <w:rsid w:val="56FA5424"/>
    <w:rsid w:val="57004346"/>
    <w:rsid w:val="5701216F"/>
    <w:rsid w:val="57034731"/>
    <w:rsid w:val="5705494D"/>
    <w:rsid w:val="57081358"/>
    <w:rsid w:val="570861EB"/>
    <w:rsid w:val="57087F99"/>
    <w:rsid w:val="570D3802"/>
    <w:rsid w:val="570D735E"/>
    <w:rsid w:val="571132F2"/>
    <w:rsid w:val="571406EC"/>
    <w:rsid w:val="571511AC"/>
    <w:rsid w:val="57154464"/>
    <w:rsid w:val="57160908"/>
    <w:rsid w:val="571737E6"/>
    <w:rsid w:val="571921A6"/>
    <w:rsid w:val="57193F55"/>
    <w:rsid w:val="5721105B"/>
    <w:rsid w:val="572439D1"/>
    <w:rsid w:val="5728063B"/>
    <w:rsid w:val="57292718"/>
    <w:rsid w:val="57295971"/>
    <w:rsid w:val="572A43B4"/>
    <w:rsid w:val="572A6162"/>
    <w:rsid w:val="572C3252"/>
    <w:rsid w:val="5730129E"/>
    <w:rsid w:val="573214BA"/>
    <w:rsid w:val="5732471A"/>
    <w:rsid w:val="57325016"/>
    <w:rsid w:val="57337753"/>
    <w:rsid w:val="573568B4"/>
    <w:rsid w:val="573963A5"/>
    <w:rsid w:val="573A3ECB"/>
    <w:rsid w:val="573B036F"/>
    <w:rsid w:val="573C5E95"/>
    <w:rsid w:val="573D2A2C"/>
    <w:rsid w:val="57454D4A"/>
    <w:rsid w:val="5748483A"/>
    <w:rsid w:val="574865E8"/>
    <w:rsid w:val="574A6804"/>
    <w:rsid w:val="574B60D8"/>
    <w:rsid w:val="574D3BFE"/>
    <w:rsid w:val="57572CCF"/>
    <w:rsid w:val="575B456D"/>
    <w:rsid w:val="575C02E5"/>
    <w:rsid w:val="575F582F"/>
    <w:rsid w:val="576176AA"/>
    <w:rsid w:val="57632145"/>
    <w:rsid w:val="57680A38"/>
    <w:rsid w:val="57684EDC"/>
    <w:rsid w:val="576A47B0"/>
    <w:rsid w:val="576A5063"/>
    <w:rsid w:val="57713D91"/>
    <w:rsid w:val="57715B3F"/>
    <w:rsid w:val="57720E26"/>
    <w:rsid w:val="5774562F"/>
    <w:rsid w:val="57747424"/>
    <w:rsid w:val="57783371"/>
    <w:rsid w:val="577949F3"/>
    <w:rsid w:val="577B4C0F"/>
    <w:rsid w:val="577B6069"/>
    <w:rsid w:val="577E61AF"/>
    <w:rsid w:val="57801216"/>
    <w:rsid w:val="57803FD4"/>
    <w:rsid w:val="57820578"/>
    <w:rsid w:val="578472E4"/>
    <w:rsid w:val="578A4E52"/>
    <w:rsid w:val="578B5B97"/>
    <w:rsid w:val="578C4726"/>
    <w:rsid w:val="578C5A5B"/>
    <w:rsid w:val="578D0413"/>
    <w:rsid w:val="578E03BF"/>
    <w:rsid w:val="57903EE4"/>
    <w:rsid w:val="57935BBE"/>
    <w:rsid w:val="579706B0"/>
    <w:rsid w:val="5797074A"/>
    <w:rsid w:val="579730CB"/>
    <w:rsid w:val="57A1050A"/>
    <w:rsid w:val="57A31574"/>
    <w:rsid w:val="57A64363"/>
    <w:rsid w:val="57A71560"/>
    <w:rsid w:val="57AA2DFF"/>
    <w:rsid w:val="57AC6B77"/>
    <w:rsid w:val="57AE0B41"/>
    <w:rsid w:val="57B11E20"/>
    <w:rsid w:val="57B22417"/>
    <w:rsid w:val="57B72A76"/>
    <w:rsid w:val="57B8376D"/>
    <w:rsid w:val="57BB04AB"/>
    <w:rsid w:val="57BD0D84"/>
    <w:rsid w:val="57C00874"/>
    <w:rsid w:val="57C3426C"/>
    <w:rsid w:val="57C540DC"/>
    <w:rsid w:val="57C71C02"/>
    <w:rsid w:val="57CA16F3"/>
    <w:rsid w:val="57CC77E6"/>
    <w:rsid w:val="57CE1F93"/>
    <w:rsid w:val="57D30256"/>
    <w:rsid w:val="57D554F9"/>
    <w:rsid w:val="57D653B4"/>
    <w:rsid w:val="57D76194"/>
    <w:rsid w:val="57D85BBE"/>
    <w:rsid w:val="57DD4F82"/>
    <w:rsid w:val="57E427B4"/>
    <w:rsid w:val="57E5652D"/>
    <w:rsid w:val="57E866C9"/>
    <w:rsid w:val="57EA58F1"/>
    <w:rsid w:val="57EB420C"/>
    <w:rsid w:val="57EC56B4"/>
    <w:rsid w:val="57EC78BB"/>
    <w:rsid w:val="57F16C7F"/>
    <w:rsid w:val="57F4051E"/>
    <w:rsid w:val="57F64296"/>
    <w:rsid w:val="57FA6D3D"/>
    <w:rsid w:val="57FC328C"/>
    <w:rsid w:val="57FD3876"/>
    <w:rsid w:val="57FE314A"/>
    <w:rsid w:val="58022051"/>
    <w:rsid w:val="5805272B"/>
    <w:rsid w:val="5806097D"/>
    <w:rsid w:val="58061F92"/>
    <w:rsid w:val="5806440C"/>
    <w:rsid w:val="58093FC9"/>
    <w:rsid w:val="580B4386"/>
    <w:rsid w:val="58102F6E"/>
    <w:rsid w:val="58122E6D"/>
    <w:rsid w:val="5813167F"/>
    <w:rsid w:val="58131F0B"/>
    <w:rsid w:val="5818245E"/>
    <w:rsid w:val="581A61D6"/>
    <w:rsid w:val="5820242B"/>
    <w:rsid w:val="5824666E"/>
    <w:rsid w:val="58247055"/>
    <w:rsid w:val="582B03E3"/>
    <w:rsid w:val="582B2191"/>
    <w:rsid w:val="582B2F73"/>
    <w:rsid w:val="582C7CB7"/>
    <w:rsid w:val="58315248"/>
    <w:rsid w:val="583152CE"/>
    <w:rsid w:val="58337298"/>
    <w:rsid w:val="58346B6C"/>
    <w:rsid w:val="58354DBE"/>
    <w:rsid w:val="583848AE"/>
    <w:rsid w:val="5839086E"/>
    <w:rsid w:val="583C439E"/>
    <w:rsid w:val="583D1EC5"/>
    <w:rsid w:val="583D3584"/>
    <w:rsid w:val="58407628"/>
    <w:rsid w:val="584119B5"/>
    <w:rsid w:val="58450D79"/>
    <w:rsid w:val="58490869"/>
    <w:rsid w:val="584A6390"/>
    <w:rsid w:val="584B1494"/>
    <w:rsid w:val="584B2674"/>
    <w:rsid w:val="584E7C2E"/>
    <w:rsid w:val="5851771E"/>
    <w:rsid w:val="585302EF"/>
    <w:rsid w:val="5853793A"/>
    <w:rsid w:val="585B7E33"/>
    <w:rsid w:val="585D4315"/>
    <w:rsid w:val="58613E05"/>
    <w:rsid w:val="58627CD5"/>
    <w:rsid w:val="58647451"/>
    <w:rsid w:val="5867186F"/>
    <w:rsid w:val="58676F42"/>
    <w:rsid w:val="586B689E"/>
    <w:rsid w:val="587005A3"/>
    <w:rsid w:val="58773629"/>
    <w:rsid w:val="587A0A23"/>
    <w:rsid w:val="587A4EC7"/>
    <w:rsid w:val="587C0C3F"/>
    <w:rsid w:val="587C29ED"/>
    <w:rsid w:val="587F6039"/>
    <w:rsid w:val="58801DB1"/>
    <w:rsid w:val="588743D1"/>
    <w:rsid w:val="5887701A"/>
    <w:rsid w:val="588820E6"/>
    <w:rsid w:val="58885EB3"/>
    <w:rsid w:val="588D4BFA"/>
    <w:rsid w:val="58900246"/>
    <w:rsid w:val="58912C9D"/>
    <w:rsid w:val="58966F98"/>
    <w:rsid w:val="58A2435B"/>
    <w:rsid w:val="58A27F7A"/>
    <w:rsid w:val="58AC2BA6"/>
    <w:rsid w:val="58AE2DC2"/>
    <w:rsid w:val="58B95CBA"/>
    <w:rsid w:val="58C12AF6"/>
    <w:rsid w:val="58C26DC4"/>
    <w:rsid w:val="58CC2633"/>
    <w:rsid w:val="58D1558C"/>
    <w:rsid w:val="58D75860"/>
    <w:rsid w:val="58DE7204"/>
    <w:rsid w:val="58E148D3"/>
    <w:rsid w:val="58E20813"/>
    <w:rsid w:val="58E442E2"/>
    <w:rsid w:val="58E660B8"/>
    <w:rsid w:val="58E80569"/>
    <w:rsid w:val="58E81E30"/>
    <w:rsid w:val="58F46A27"/>
    <w:rsid w:val="58F5454D"/>
    <w:rsid w:val="58F72073"/>
    <w:rsid w:val="58F76517"/>
    <w:rsid w:val="58FC6474"/>
    <w:rsid w:val="590656A1"/>
    <w:rsid w:val="590A1172"/>
    <w:rsid w:val="590A624B"/>
    <w:rsid w:val="590B3D71"/>
    <w:rsid w:val="59101387"/>
    <w:rsid w:val="5915057D"/>
    <w:rsid w:val="59154617"/>
    <w:rsid w:val="59172716"/>
    <w:rsid w:val="591744C4"/>
    <w:rsid w:val="591946E0"/>
    <w:rsid w:val="59201399"/>
    <w:rsid w:val="59262959"/>
    <w:rsid w:val="59275DC1"/>
    <w:rsid w:val="5927766A"/>
    <w:rsid w:val="5927777C"/>
    <w:rsid w:val="59284923"/>
    <w:rsid w:val="592941F7"/>
    <w:rsid w:val="592B7F6F"/>
    <w:rsid w:val="592F3F03"/>
    <w:rsid w:val="593212FE"/>
    <w:rsid w:val="59355B31"/>
    <w:rsid w:val="59376914"/>
    <w:rsid w:val="59392F0E"/>
    <w:rsid w:val="593C017D"/>
    <w:rsid w:val="593C03CE"/>
    <w:rsid w:val="593C3F2A"/>
    <w:rsid w:val="593D4460"/>
    <w:rsid w:val="593F6A60"/>
    <w:rsid w:val="594159E5"/>
    <w:rsid w:val="5943350B"/>
    <w:rsid w:val="594352B9"/>
    <w:rsid w:val="59460050"/>
    <w:rsid w:val="594B09EC"/>
    <w:rsid w:val="594C61F3"/>
    <w:rsid w:val="59575208"/>
    <w:rsid w:val="59594ADC"/>
    <w:rsid w:val="595F474F"/>
    <w:rsid w:val="59605E6B"/>
    <w:rsid w:val="59613991"/>
    <w:rsid w:val="59652B6F"/>
    <w:rsid w:val="596545F4"/>
    <w:rsid w:val="596A4A22"/>
    <w:rsid w:val="59722042"/>
    <w:rsid w:val="59724BDF"/>
    <w:rsid w:val="59741916"/>
    <w:rsid w:val="5974452F"/>
    <w:rsid w:val="59745DBA"/>
    <w:rsid w:val="597638E0"/>
    <w:rsid w:val="5976568E"/>
    <w:rsid w:val="59772EB0"/>
    <w:rsid w:val="597A115C"/>
    <w:rsid w:val="597A4A53"/>
    <w:rsid w:val="597B0EF6"/>
    <w:rsid w:val="598C16AA"/>
    <w:rsid w:val="598F535C"/>
    <w:rsid w:val="59943530"/>
    <w:rsid w:val="59995821"/>
    <w:rsid w:val="599B1326"/>
    <w:rsid w:val="599E6993"/>
    <w:rsid w:val="59A0270B"/>
    <w:rsid w:val="59A246D5"/>
    <w:rsid w:val="59A25358"/>
    <w:rsid w:val="59A33FA9"/>
    <w:rsid w:val="59A73A9A"/>
    <w:rsid w:val="59AA17DC"/>
    <w:rsid w:val="59AA358A"/>
    <w:rsid w:val="59AB25C2"/>
    <w:rsid w:val="59AE3969"/>
    <w:rsid w:val="59BA3C87"/>
    <w:rsid w:val="59BB12F3"/>
    <w:rsid w:val="59BE36F6"/>
    <w:rsid w:val="59C0439F"/>
    <w:rsid w:val="59C77E38"/>
    <w:rsid w:val="59C873C6"/>
    <w:rsid w:val="59CB4F0B"/>
    <w:rsid w:val="59CD1026"/>
    <w:rsid w:val="59CF1242"/>
    <w:rsid w:val="59CF4D9E"/>
    <w:rsid w:val="59D423B5"/>
    <w:rsid w:val="59D625D1"/>
    <w:rsid w:val="59D800A2"/>
    <w:rsid w:val="59DA102F"/>
    <w:rsid w:val="59DD570D"/>
    <w:rsid w:val="59E535D4"/>
    <w:rsid w:val="59E56370"/>
    <w:rsid w:val="59E6506C"/>
    <w:rsid w:val="59E76BED"/>
    <w:rsid w:val="59EA6DB2"/>
    <w:rsid w:val="59EE791A"/>
    <w:rsid w:val="59EF7044"/>
    <w:rsid w:val="59F20A8D"/>
    <w:rsid w:val="59F37F2E"/>
    <w:rsid w:val="59F456DA"/>
    <w:rsid w:val="5A0233C6"/>
    <w:rsid w:val="5A063515"/>
    <w:rsid w:val="5A0B523B"/>
    <w:rsid w:val="5A0E2010"/>
    <w:rsid w:val="5A102BB5"/>
    <w:rsid w:val="5A111C53"/>
    <w:rsid w:val="5A112DD4"/>
    <w:rsid w:val="5A140AEA"/>
    <w:rsid w:val="5A144EA7"/>
    <w:rsid w:val="5A146C55"/>
    <w:rsid w:val="5A1667A4"/>
    <w:rsid w:val="5A1804F3"/>
    <w:rsid w:val="5A184997"/>
    <w:rsid w:val="5A186250"/>
    <w:rsid w:val="5A1B4488"/>
    <w:rsid w:val="5A1D6815"/>
    <w:rsid w:val="5A1E3076"/>
    <w:rsid w:val="5A2C0443"/>
    <w:rsid w:val="5A2F1CE1"/>
    <w:rsid w:val="5A3317D1"/>
    <w:rsid w:val="5A3410A5"/>
    <w:rsid w:val="5A3572F7"/>
    <w:rsid w:val="5A3846D9"/>
    <w:rsid w:val="5A3E02F5"/>
    <w:rsid w:val="5A3E4763"/>
    <w:rsid w:val="5A405C9C"/>
    <w:rsid w:val="5A47527D"/>
    <w:rsid w:val="5A4A29A2"/>
    <w:rsid w:val="5A4E2167"/>
    <w:rsid w:val="5A533C21"/>
    <w:rsid w:val="5A5534F6"/>
    <w:rsid w:val="5A584D94"/>
    <w:rsid w:val="5A5A6D5E"/>
    <w:rsid w:val="5A623E64"/>
    <w:rsid w:val="5A67091C"/>
    <w:rsid w:val="5A6951F3"/>
    <w:rsid w:val="5A7320FF"/>
    <w:rsid w:val="5A765B75"/>
    <w:rsid w:val="5A7665C4"/>
    <w:rsid w:val="5A7D0C9E"/>
    <w:rsid w:val="5A824B01"/>
    <w:rsid w:val="5A8D7133"/>
    <w:rsid w:val="5A9164F8"/>
    <w:rsid w:val="5A932270"/>
    <w:rsid w:val="5A9346EC"/>
    <w:rsid w:val="5A9378D7"/>
    <w:rsid w:val="5A940FDE"/>
    <w:rsid w:val="5A95131E"/>
    <w:rsid w:val="5A9C7354"/>
    <w:rsid w:val="5A9D30EE"/>
    <w:rsid w:val="5A9E32D5"/>
    <w:rsid w:val="5AA02F74"/>
    <w:rsid w:val="5AA125D5"/>
    <w:rsid w:val="5AA71457"/>
    <w:rsid w:val="5AA71877"/>
    <w:rsid w:val="5AA813C5"/>
    <w:rsid w:val="5AA955EF"/>
    <w:rsid w:val="5AAE2C06"/>
    <w:rsid w:val="5AAF5488"/>
    <w:rsid w:val="5AB02B36"/>
    <w:rsid w:val="5AB04BD0"/>
    <w:rsid w:val="5AB20948"/>
    <w:rsid w:val="5AB346C0"/>
    <w:rsid w:val="5AB550E6"/>
    <w:rsid w:val="5AB81583"/>
    <w:rsid w:val="5ABA5A4E"/>
    <w:rsid w:val="5ABD109B"/>
    <w:rsid w:val="5ABE2233"/>
    <w:rsid w:val="5ABE706E"/>
    <w:rsid w:val="5ABE75FF"/>
    <w:rsid w:val="5AC62645"/>
    <w:rsid w:val="5AC715D3"/>
    <w:rsid w:val="5AC97A40"/>
    <w:rsid w:val="5ACA3A04"/>
    <w:rsid w:val="5ACB1A0A"/>
    <w:rsid w:val="5ACB37B8"/>
    <w:rsid w:val="5ACE03C8"/>
    <w:rsid w:val="5ACE32A8"/>
    <w:rsid w:val="5AD3323C"/>
    <w:rsid w:val="5AD5082A"/>
    <w:rsid w:val="5AD52888"/>
    <w:rsid w:val="5AD76600"/>
    <w:rsid w:val="5ADA1C4D"/>
    <w:rsid w:val="5AE32FE8"/>
    <w:rsid w:val="5AE8436A"/>
    <w:rsid w:val="5AE91E90"/>
    <w:rsid w:val="5AE95146"/>
    <w:rsid w:val="5AEB3E5A"/>
    <w:rsid w:val="5AF02F48"/>
    <w:rsid w:val="5AF04024"/>
    <w:rsid w:val="5AF2343A"/>
    <w:rsid w:val="5AF933C3"/>
    <w:rsid w:val="5AFA5E4B"/>
    <w:rsid w:val="5AFB7D2F"/>
    <w:rsid w:val="5AFF3461"/>
    <w:rsid w:val="5B0171D9"/>
    <w:rsid w:val="5B0E18F6"/>
    <w:rsid w:val="5B1038C0"/>
    <w:rsid w:val="5B1433B1"/>
    <w:rsid w:val="5B172EA1"/>
    <w:rsid w:val="5B1A5B33"/>
    <w:rsid w:val="5B1B7E91"/>
    <w:rsid w:val="5B1C4013"/>
    <w:rsid w:val="5B1C4F28"/>
    <w:rsid w:val="5B1E422F"/>
    <w:rsid w:val="5B220142"/>
    <w:rsid w:val="5B26797E"/>
    <w:rsid w:val="5B294420"/>
    <w:rsid w:val="5B2B4256"/>
    <w:rsid w:val="5B2F01EA"/>
    <w:rsid w:val="5B2F1F99"/>
    <w:rsid w:val="5B3409BC"/>
    <w:rsid w:val="5B372756"/>
    <w:rsid w:val="5B37709F"/>
    <w:rsid w:val="5B3E3A75"/>
    <w:rsid w:val="5B4041A6"/>
    <w:rsid w:val="5B442B97"/>
    <w:rsid w:val="5B484E08"/>
    <w:rsid w:val="5B485C9F"/>
    <w:rsid w:val="5B4A37DE"/>
    <w:rsid w:val="5B4B66A7"/>
    <w:rsid w:val="5B4C4EB2"/>
    <w:rsid w:val="5B4D20DA"/>
    <w:rsid w:val="5B4F6C44"/>
    <w:rsid w:val="5B5137E3"/>
    <w:rsid w:val="5B555777"/>
    <w:rsid w:val="5B570D03"/>
    <w:rsid w:val="5B57504B"/>
    <w:rsid w:val="5B5A7644"/>
    <w:rsid w:val="5B5B624A"/>
    <w:rsid w:val="5B653C0C"/>
    <w:rsid w:val="5B6C3892"/>
    <w:rsid w:val="5B706BB5"/>
    <w:rsid w:val="5B750EEC"/>
    <w:rsid w:val="5B767C9D"/>
    <w:rsid w:val="5B7E082A"/>
    <w:rsid w:val="5B81656C"/>
    <w:rsid w:val="5B8500D2"/>
    <w:rsid w:val="5B8C4589"/>
    <w:rsid w:val="5B914A01"/>
    <w:rsid w:val="5B922527"/>
    <w:rsid w:val="5B984E7B"/>
    <w:rsid w:val="5B995905"/>
    <w:rsid w:val="5B9B318D"/>
    <w:rsid w:val="5B9C33A6"/>
    <w:rsid w:val="5BA04C44"/>
    <w:rsid w:val="5BA5225B"/>
    <w:rsid w:val="5BB92529"/>
    <w:rsid w:val="5BB97AB4"/>
    <w:rsid w:val="5BBD57F6"/>
    <w:rsid w:val="5BBE50CA"/>
    <w:rsid w:val="5BC54734"/>
    <w:rsid w:val="5BCB77E7"/>
    <w:rsid w:val="5BCD355F"/>
    <w:rsid w:val="5BCE1271"/>
    <w:rsid w:val="5BCE7A03"/>
    <w:rsid w:val="5BCF64F4"/>
    <w:rsid w:val="5BD20B76"/>
    <w:rsid w:val="5BD42B40"/>
    <w:rsid w:val="5BD526B2"/>
    <w:rsid w:val="5BD8487B"/>
    <w:rsid w:val="5BDD1D35"/>
    <w:rsid w:val="5BDE39BF"/>
    <w:rsid w:val="5BDF5D95"/>
    <w:rsid w:val="5BE06663"/>
    <w:rsid w:val="5BEA4111"/>
    <w:rsid w:val="5BEA75B7"/>
    <w:rsid w:val="5BEE226D"/>
    <w:rsid w:val="5BEF34D6"/>
    <w:rsid w:val="5BF01B65"/>
    <w:rsid w:val="5BF07652"/>
    <w:rsid w:val="5BF62AB6"/>
    <w:rsid w:val="5BF705DC"/>
    <w:rsid w:val="5BFB1E7B"/>
    <w:rsid w:val="5BFB3C44"/>
    <w:rsid w:val="5BFD76F7"/>
    <w:rsid w:val="5BFE5E0F"/>
    <w:rsid w:val="5BFE7528"/>
    <w:rsid w:val="5C0B7D88"/>
    <w:rsid w:val="5C0C22DA"/>
    <w:rsid w:val="5C0F3B78"/>
    <w:rsid w:val="5C11169E"/>
    <w:rsid w:val="5C154B71"/>
    <w:rsid w:val="5C182A2D"/>
    <w:rsid w:val="5C190553"/>
    <w:rsid w:val="5C1949F7"/>
    <w:rsid w:val="5C1B076F"/>
    <w:rsid w:val="5C1B6F9F"/>
    <w:rsid w:val="5C20728C"/>
    <w:rsid w:val="5C2238AB"/>
    <w:rsid w:val="5C2465EF"/>
    <w:rsid w:val="5C25514A"/>
    <w:rsid w:val="5C270EC2"/>
    <w:rsid w:val="5C2C0286"/>
    <w:rsid w:val="5C2F421A"/>
    <w:rsid w:val="5C2F5FC8"/>
    <w:rsid w:val="5C341831"/>
    <w:rsid w:val="5C381F5A"/>
    <w:rsid w:val="5C38447A"/>
    <w:rsid w:val="5C3A2476"/>
    <w:rsid w:val="5C3B7859"/>
    <w:rsid w:val="5C3F445D"/>
    <w:rsid w:val="5C400C30"/>
    <w:rsid w:val="5C401F83"/>
    <w:rsid w:val="5C425CFC"/>
    <w:rsid w:val="5C441EFA"/>
    <w:rsid w:val="5C495BD6"/>
    <w:rsid w:val="5C4B6CC8"/>
    <w:rsid w:val="5C4C6B7A"/>
    <w:rsid w:val="5C503EE0"/>
    <w:rsid w:val="5C545A2F"/>
    <w:rsid w:val="5C576CE3"/>
    <w:rsid w:val="5C5A1297"/>
    <w:rsid w:val="5C5B01E8"/>
    <w:rsid w:val="5C621EFA"/>
    <w:rsid w:val="5C6519EA"/>
    <w:rsid w:val="5C6914DA"/>
    <w:rsid w:val="5C693288"/>
    <w:rsid w:val="5C6A0DAE"/>
    <w:rsid w:val="5C6C6C7F"/>
    <w:rsid w:val="5C6E089F"/>
    <w:rsid w:val="5C6E6AF1"/>
    <w:rsid w:val="5C6F122F"/>
    <w:rsid w:val="5C734427"/>
    <w:rsid w:val="5C734DB5"/>
    <w:rsid w:val="5C7A1B04"/>
    <w:rsid w:val="5C7D4F86"/>
    <w:rsid w:val="5C7F3C67"/>
    <w:rsid w:val="5C7F525F"/>
    <w:rsid w:val="5C7F7D8A"/>
    <w:rsid w:val="5C8307D5"/>
    <w:rsid w:val="5C8445D7"/>
    <w:rsid w:val="5C8512CA"/>
    <w:rsid w:val="5C866026"/>
    <w:rsid w:val="5C871960"/>
    <w:rsid w:val="5C8C6F77"/>
    <w:rsid w:val="5C931C99"/>
    <w:rsid w:val="5C967EC6"/>
    <w:rsid w:val="5C9C2495"/>
    <w:rsid w:val="5CA11989"/>
    <w:rsid w:val="5CA70254"/>
    <w:rsid w:val="5CA73DB1"/>
    <w:rsid w:val="5CA865DA"/>
    <w:rsid w:val="5CAC13C7"/>
    <w:rsid w:val="5CB84210"/>
    <w:rsid w:val="5CBD1826"/>
    <w:rsid w:val="5CBF4A76"/>
    <w:rsid w:val="5CC2508E"/>
    <w:rsid w:val="5CC76FA3"/>
    <w:rsid w:val="5CCB5CF1"/>
    <w:rsid w:val="5CCB7A9F"/>
    <w:rsid w:val="5CCC6B20"/>
    <w:rsid w:val="5CCC728C"/>
    <w:rsid w:val="5CCD54FA"/>
    <w:rsid w:val="5CCF336E"/>
    <w:rsid w:val="5CD252D1"/>
    <w:rsid w:val="5CD332BF"/>
    <w:rsid w:val="5CD720ED"/>
    <w:rsid w:val="5CD821BC"/>
    <w:rsid w:val="5CD901EE"/>
    <w:rsid w:val="5CD93552"/>
    <w:rsid w:val="5CDC6150"/>
    <w:rsid w:val="5CE24DE9"/>
    <w:rsid w:val="5CE40B61"/>
    <w:rsid w:val="5CED3EB9"/>
    <w:rsid w:val="5CEF76FB"/>
    <w:rsid w:val="5CF4729D"/>
    <w:rsid w:val="5CFA4828"/>
    <w:rsid w:val="5CFE75E9"/>
    <w:rsid w:val="5CFF338A"/>
    <w:rsid w:val="5D017965"/>
    <w:rsid w:val="5D047455"/>
    <w:rsid w:val="5D07484F"/>
    <w:rsid w:val="5D107BA8"/>
    <w:rsid w:val="5D13446D"/>
    <w:rsid w:val="5D177188"/>
    <w:rsid w:val="5D1B2689"/>
    <w:rsid w:val="5D1C654D"/>
    <w:rsid w:val="5D1D4073"/>
    <w:rsid w:val="5D1E0517"/>
    <w:rsid w:val="5D290C69"/>
    <w:rsid w:val="5D2B6790"/>
    <w:rsid w:val="5D2E44D2"/>
    <w:rsid w:val="5D2F6C6E"/>
    <w:rsid w:val="5D302E54"/>
    <w:rsid w:val="5D415FB3"/>
    <w:rsid w:val="5D446827"/>
    <w:rsid w:val="5D46181B"/>
    <w:rsid w:val="5D4B0BE0"/>
    <w:rsid w:val="5D4D4958"/>
    <w:rsid w:val="5D5117B1"/>
    <w:rsid w:val="5D543F38"/>
    <w:rsid w:val="5D562BB6"/>
    <w:rsid w:val="5D5932FD"/>
    <w:rsid w:val="5D5A7075"/>
    <w:rsid w:val="5D5E2925"/>
    <w:rsid w:val="5D5F468B"/>
    <w:rsid w:val="5D5F6439"/>
    <w:rsid w:val="5D604C99"/>
    <w:rsid w:val="5D665842"/>
    <w:rsid w:val="5D6677C8"/>
    <w:rsid w:val="5D683540"/>
    <w:rsid w:val="5D69083A"/>
    <w:rsid w:val="5D6A2609"/>
    <w:rsid w:val="5D6B74D4"/>
    <w:rsid w:val="5D6C67EA"/>
    <w:rsid w:val="5D6D6DA8"/>
    <w:rsid w:val="5D704AEA"/>
    <w:rsid w:val="5D773C6B"/>
    <w:rsid w:val="5D7D7A37"/>
    <w:rsid w:val="5D8F31C2"/>
    <w:rsid w:val="5D917FA8"/>
    <w:rsid w:val="5D9541F5"/>
    <w:rsid w:val="5D9558F0"/>
    <w:rsid w:val="5D977EE5"/>
    <w:rsid w:val="5D994523"/>
    <w:rsid w:val="5D9C3D56"/>
    <w:rsid w:val="5D9C7014"/>
    <w:rsid w:val="5D9E1657"/>
    <w:rsid w:val="5D9F2F8E"/>
    <w:rsid w:val="5DA46C2D"/>
    <w:rsid w:val="5DAA7A9B"/>
    <w:rsid w:val="5DAD34DD"/>
    <w:rsid w:val="5DB22A0D"/>
    <w:rsid w:val="5DB449D7"/>
    <w:rsid w:val="5DB619E8"/>
    <w:rsid w:val="5DB823DE"/>
    <w:rsid w:val="5DBB5D65"/>
    <w:rsid w:val="5DBD47D0"/>
    <w:rsid w:val="5DCD5A99"/>
    <w:rsid w:val="5DD44371"/>
    <w:rsid w:val="5DD5494D"/>
    <w:rsid w:val="5DD65765"/>
    <w:rsid w:val="5DDB5030"/>
    <w:rsid w:val="5DDE3802"/>
    <w:rsid w:val="5DE352BC"/>
    <w:rsid w:val="5DE51034"/>
    <w:rsid w:val="5DE52DE2"/>
    <w:rsid w:val="5DE5381C"/>
    <w:rsid w:val="5DE548F0"/>
    <w:rsid w:val="5DE80B25"/>
    <w:rsid w:val="5DE84681"/>
    <w:rsid w:val="5DE968D8"/>
    <w:rsid w:val="5DEC42F2"/>
    <w:rsid w:val="5DED0D3E"/>
    <w:rsid w:val="5DEE0667"/>
    <w:rsid w:val="5DF11787"/>
    <w:rsid w:val="5DF42709"/>
    <w:rsid w:val="5DF47E0F"/>
    <w:rsid w:val="5DF631B4"/>
    <w:rsid w:val="5DF748C4"/>
    <w:rsid w:val="5DFB2606"/>
    <w:rsid w:val="5DFB43B4"/>
    <w:rsid w:val="5DFE3EA4"/>
    <w:rsid w:val="5E0314BA"/>
    <w:rsid w:val="5E033269"/>
    <w:rsid w:val="5E075446"/>
    <w:rsid w:val="5E0B4BE0"/>
    <w:rsid w:val="5E105508"/>
    <w:rsid w:val="5E176D14"/>
    <w:rsid w:val="5E1831B8"/>
    <w:rsid w:val="5E1B4A56"/>
    <w:rsid w:val="5E211941"/>
    <w:rsid w:val="5E2467F1"/>
    <w:rsid w:val="5E2558D5"/>
    <w:rsid w:val="5E275239"/>
    <w:rsid w:val="5E2B2F2A"/>
    <w:rsid w:val="5E2B3851"/>
    <w:rsid w:val="5E2D6537"/>
    <w:rsid w:val="5E327CC5"/>
    <w:rsid w:val="5E371164"/>
    <w:rsid w:val="5E3856CB"/>
    <w:rsid w:val="5E3B0C54"/>
    <w:rsid w:val="5E3B2A02"/>
    <w:rsid w:val="5E40626B"/>
    <w:rsid w:val="5E44774B"/>
    <w:rsid w:val="5E477161"/>
    <w:rsid w:val="5E4775F9"/>
    <w:rsid w:val="5E4843B7"/>
    <w:rsid w:val="5E4862B0"/>
    <w:rsid w:val="5E4C7EA6"/>
    <w:rsid w:val="5E522449"/>
    <w:rsid w:val="5E530AA5"/>
    <w:rsid w:val="5E53169C"/>
    <w:rsid w:val="5E531852"/>
    <w:rsid w:val="5E587A58"/>
    <w:rsid w:val="5E5A4FE2"/>
    <w:rsid w:val="5E5A53D0"/>
    <w:rsid w:val="5E5B12F6"/>
    <w:rsid w:val="5E5C2E6E"/>
    <w:rsid w:val="5E5D506F"/>
    <w:rsid w:val="5E5D6E1D"/>
    <w:rsid w:val="5E6261E1"/>
    <w:rsid w:val="5E655CD1"/>
    <w:rsid w:val="5E6837F3"/>
    <w:rsid w:val="5E6B1E51"/>
    <w:rsid w:val="5E702CD8"/>
    <w:rsid w:val="5E714676"/>
    <w:rsid w:val="5E770480"/>
    <w:rsid w:val="5E784952"/>
    <w:rsid w:val="5E785A05"/>
    <w:rsid w:val="5E7D126D"/>
    <w:rsid w:val="5E7E6D93"/>
    <w:rsid w:val="5E807125"/>
    <w:rsid w:val="5E8237B3"/>
    <w:rsid w:val="5E8720EC"/>
    <w:rsid w:val="5E877F0C"/>
    <w:rsid w:val="5E885F76"/>
    <w:rsid w:val="5E8C7702"/>
    <w:rsid w:val="5E8F0FA0"/>
    <w:rsid w:val="5E912F6A"/>
    <w:rsid w:val="5E940365"/>
    <w:rsid w:val="5E975130"/>
    <w:rsid w:val="5E9D546B"/>
    <w:rsid w:val="5E9F5687"/>
    <w:rsid w:val="5EA22A81"/>
    <w:rsid w:val="5EA56ECA"/>
    <w:rsid w:val="5EA92062"/>
    <w:rsid w:val="5EAC1043"/>
    <w:rsid w:val="5EB617B3"/>
    <w:rsid w:val="5EBA0657"/>
    <w:rsid w:val="5EBF176B"/>
    <w:rsid w:val="5EC82E34"/>
    <w:rsid w:val="5EC935C5"/>
    <w:rsid w:val="5ED052C1"/>
    <w:rsid w:val="5ED45FB3"/>
    <w:rsid w:val="5ED56562"/>
    <w:rsid w:val="5ED6097D"/>
    <w:rsid w:val="5ED82947"/>
    <w:rsid w:val="5EDB41E5"/>
    <w:rsid w:val="5EDD7BB4"/>
    <w:rsid w:val="5EDF5A84"/>
    <w:rsid w:val="5EE66E12"/>
    <w:rsid w:val="5EE94B54"/>
    <w:rsid w:val="5EEC1F4F"/>
    <w:rsid w:val="5EEE5CC7"/>
    <w:rsid w:val="5EF15D3B"/>
    <w:rsid w:val="5EF32416"/>
    <w:rsid w:val="5EF5571B"/>
    <w:rsid w:val="5EFA6DED"/>
    <w:rsid w:val="5EFB027D"/>
    <w:rsid w:val="5EFB31D0"/>
    <w:rsid w:val="5EFD5F0A"/>
    <w:rsid w:val="5F013C4C"/>
    <w:rsid w:val="5F024DA9"/>
    <w:rsid w:val="5F047298"/>
    <w:rsid w:val="5F0828D4"/>
    <w:rsid w:val="5F092B01"/>
    <w:rsid w:val="5F0B4827"/>
    <w:rsid w:val="5F0D2BDE"/>
    <w:rsid w:val="5F0E45BB"/>
    <w:rsid w:val="5F0F04E8"/>
    <w:rsid w:val="5F0F069E"/>
    <w:rsid w:val="5F102A07"/>
    <w:rsid w:val="5F1871E8"/>
    <w:rsid w:val="5F1A2B43"/>
    <w:rsid w:val="5F1C0A86"/>
    <w:rsid w:val="5F1D2B10"/>
    <w:rsid w:val="5F1F0576"/>
    <w:rsid w:val="5F1F2324"/>
    <w:rsid w:val="5F2711D9"/>
    <w:rsid w:val="5F2A478A"/>
    <w:rsid w:val="5F2B6F1B"/>
    <w:rsid w:val="5F2C67EF"/>
    <w:rsid w:val="5F2D2C93"/>
    <w:rsid w:val="5F2D7173"/>
    <w:rsid w:val="5F2F71B3"/>
    <w:rsid w:val="5F30162D"/>
    <w:rsid w:val="5F37766E"/>
    <w:rsid w:val="5F3C1128"/>
    <w:rsid w:val="5F3C5F70"/>
    <w:rsid w:val="5F3C7B1D"/>
    <w:rsid w:val="5F402847"/>
    <w:rsid w:val="5F41673E"/>
    <w:rsid w:val="5F4355E2"/>
    <w:rsid w:val="5F463D55"/>
    <w:rsid w:val="5F4C6694"/>
    <w:rsid w:val="5F4C7DD5"/>
    <w:rsid w:val="5F4E49B7"/>
    <w:rsid w:val="5F5024DD"/>
    <w:rsid w:val="5F5173A2"/>
    <w:rsid w:val="5F595AA3"/>
    <w:rsid w:val="5F5A15AE"/>
    <w:rsid w:val="5F5A335C"/>
    <w:rsid w:val="5F5C0E82"/>
    <w:rsid w:val="5F5D0FE7"/>
    <w:rsid w:val="5F5E46DA"/>
    <w:rsid w:val="5F5F4E16"/>
    <w:rsid w:val="5F610B8F"/>
    <w:rsid w:val="5F645F89"/>
    <w:rsid w:val="5F675552"/>
    <w:rsid w:val="5F6B30AD"/>
    <w:rsid w:val="5F6B5B87"/>
    <w:rsid w:val="5F6E0BB6"/>
    <w:rsid w:val="5F71128A"/>
    <w:rsid w:val="5F71541A"/>
    <w:rsid w:val="5F751F44"/>
    <w:rsid w:val="5F772160"/>
    <w:rsid w:val="5F857F66"/>
    <w:rsid w:val="5F887EC9"/>
    <w:rsid w:val="5F8D5D34"/>
    <w:rsid w:val="5F8E1258"/>
    <w:rsid w:val="5F8F3FA2"/>
    <w:rsid w:val="5F904FD0"/>
    <w:rsid w:val="5F906D7E"/>
    <w:rsid w:val="5F9525E6"/>
    <w:rsid w:val="5F97010C"/>
    <w:rsid w:val="5F9A5E4E"/>
    <w:rsid w:val="5F9E226B"/>
    <w:rsid w:val="5F9E593F"/>
    <w:rsid w:val="5F9F3465"/>
    <w:rsid w:val="5FA35DF8"/>
    <w:rsid w:val="5FA62A45"/>
    <w:rsid w:val="5FA665A1"/>
    <w:rsid w:val="5FA840C8"/>
    <w:rsid w:val="5FAF15CD"/>
    <w:rsid w:val="5FB1014A"/>
    <w:rsid w:val="5FB707AE"/>
    <w:rsid w:val="5FB837BB"/>
    <w:rsid w:val="5FBC7B73"/>
    <w:rsid w:val="5FBD49FF"/>
    <w:rsid w:val="5FC67DF6"/>
    <w:rsid w:val="5FC77564"/>
    <w:rsid w:val="5FC829BC"/>
    <w:rsid w:val="5FC86518"/>
    <w:rsid w:val="5FCB425A"/>
    <w:rsid w:val="5FCB4F59"/>
    <w:rsid w:val="5FCF5AF8"/>
    <w:rsid w:val="5FD27396"/>
    <w:rsid w:val="5FD74F92"/>
    <w:rsid w:val="5FD77B3B"/>
    <w:rsid w:val="5FDC0215"/>
    <w:rsid w:val="5FDC1FC3"/>
    <w:rsid w:val="5FDC6F72"/>
    <w:rsid w:val="5FDC7576"/>
    <w:rsid w:val="5FDF3861"/>
    <w:rsid w:val="5FE10B3E"/>
    <w:rsid w:val="5FE2576C"/>
    <w:rsid w:val="5FF27A39"/>
    <w:rsid w:val="5FF34165"/>
    <w:rsid w:val="5FFA3418"/>
    <w:rsid w:val="5FFA560E"/>
    <w:rsid w:val="5FFE1F39"/>
    <w:rsid w:val="600B26C3"/>
    <w:rsid w:val="600F4147"/>
    <w:rsid w:val="60114363"/>
    <w:rsid w:val="60116111"/>
    <w:rsid w:val="60123C37"/>
    <w:rsid w:val="601479AF"/>
    <w:rsid w:val="601620D0"/>
    <w:rsid w:val="601B6B5B"/>
    <w:rsid w:val="601F3433"/>
    <w:rsid w:val="602A71D2"/>
    <w:rsid w:val="602B19D6"/>
    <w:rsid w:val="602F410D"/>
    <w:rsid w:val="603264A4"/>
    <w:rsid w:val="603358AD"/>
    <w:rsid w:val="603B13E0"/>
    <w:rsid w:val="603B5196"/>
    <w:rsid w:val="603F0CC5"/>
    <w:rsid w:val="60403E83"/>
    <w:rsid w:val="60457B68"/>
    <w:rsid w:val="60471B32"/>
    <w:rsid w:val="60483ACF"/>
    <w:rsid w:val="604A33D1"/>
    <w:rsid w:val="604E1113"/>
    <w:rsid w:val="6052563D"/>
    <w:rsid w:val="60536729"/>
    <w:rsid w:val="605D1356"/>
    <w:rsid w:val="605D3104"/>
    <w:rsid w:val="605E5D75"/>
    <w:rsid w:val="6062071A"/>
    <w:rsid w:val="60621C6C"/>
    <w:rsid w:val="60675D31"/>
    <w:rsid w:val="60695E09"/>
    <w:rsid w:val="606A6400"/>
    <w:rsid w:val="606C79D7"/>
    <w:rsid w:val="606F1089"/>
    <w:rsid w:val="60756C21"/>
    <w:rsid w:val="60783253"/>
    <w:rsid w:val="60816EE5"/>
    <w:rsid w:val="608508AD"/>
    <w:rsid w:val="608633F2"/>
    <w:rsid w:val="608A17F0"/>
    <w:rsid w:val="608A1A1F"/>
    <w:rsid w:val="608B2E38"/>
    <w:rsid w:val="609127A3"/>
    <w:rsid w:val="60932FCA"/>
    <w:rsid w:val="6094136E"/>
    <w:rsid w:val="609F7D81"/>
    <w:rsid w:val="60A54AAB"/>
    <w:rsid w:val="60A800F7"/>
    <w:rsid w:val="60A96349"/>
    <w:rsid w:val="60A97348"/>
    <w:rsid w:val="60AA0313"/>
    <w:rsid w:val="60AB6843"/>
    <w:rsid w:val="60AB7C63"/>
    <w:rsid w:val="60AE7E03"/>
    <w:rsid w:val="60AF76D8"/>
    <w:rsid w:val="60B46A9C"/>
    <w:rsid w:val="60B74A52"/>
    <w:rsid w:val="60BB3C85"/>
    <w:rsid w:val="60BB42CE"/>
    <w:rsid w:val="60BB607C"/>
    <w:rsid w:val="60C211B9"/>
    <w:rsid w:val="60C2565D"/>
    <w:rsid w:val="60C2740B"/>
    <w:rsid w:val="60CA5E20"/>
    <w:rsid w:val="60CB110D"/>
    <w:rsid w:val="60CC405A"/>
    <w:rsid w:val="60CC7399"/>
    <w:rsid w:val="60CF5C87"/>
    <w:rsid w:val="60CF7DE0"/>
    <w:rsid w:val="60D13AF2"/>
    <w:rsid w:val="60D45F50"/>
    <w:rsid w:val="60D57568"/>
    <w:rsid w:val="60D62EB6"/>
    <w:rsid w:val="60DD4245"/>
    <w:rsid w:val="60E0004E"/>
    <w:rsid w:val="60E07891"/>
    <w:rsid w:val="60E12344"/>
    <w:rsid w:val="60E23609"/>
    <w:rsid w:val="60E276A3"/>
    <w:rsid w:val="60E867C1"/>
    <w:rsid w:val="60ED4ED1"/>
    <w:rsid w:val="60EE1FAE"/>
    <w:rsid w:val="60EF5D26"/>
    <w:rsid w:val="60F03E6D"/>
    <w:rsid w:val="60F13276"/>
    <w:rsid w:val="60F33A68"/>
    <w:rsid w:val="60FD0443"/>
    <w:rsid w:val="60FF240D"/>
    <w:rsid w:val="610362D4"/>
    <w:rsid w:val="610712C2"/>
    <w:rsid w:val="6109503A"/>
    <w:rsid w:val="61117208"/>
    <w:rsid w:val="61120392"/>
    <w:rsid w:val="61137C66"/>
    <w:rsid w:val="61182EFB"/>
    <w:rsid w:val="611C2F2E"/>
    <w:rsid w:val="61202383"/>
    <w:rsid w:val="61204131"/>
    <w:rsid w:val="61250DED"/>
    <w:rsid w:val="61251748"/>
    <w:rsid w:val="612A74C1"/>
    <w:rsid w:val="612E2CF2"/>
    <w:rsid w:val="61300818"/>
    <w:rsid w:val="613025C6"/>
    <w:rsid w:val="61311352"/>
    <w:rsid w:val="6131633F"/>
    <w:rsid w:val="613926B5"/>
    <w:rsid w:val="613A4C35"/>
    <w:rsid w:val="613C0293"/>
    <w:rsid w:val="613D1187"/>
    <w:rsid w:val="61450C58"/>
    <w:rsid w:val="61460452"/>
    <w:rsid w:val="61471C93"/>
    <w:rsid w:val="614942D8"/>
    <w:rsid w:val="614A018A"/>
    <w:rsid w:val="614C69A5"/>
    <w:rsid w:val="614E4C24"/>
    <w:rsid w:val="615314DD"/>
    <w:rsid w:val="61532759"/>
    <w:rsid w:val="615362B5"/>
    <w:rsid w:val="61572C72"/>
    <w:rsid w:val="61572FDD"/>
    <w:rsid w:val="615A3AE7"/>
    <w:rsid w:val="615C6058"/>
    <w:rsid w:val="615D0EE2"/>
    <w:rsid w:val="616218C1"/>
    <w:rsid w:val="61623F89"/>
    <w:rsid w:val="616404C2"/>
    <w:rsid w:val="616912AF"/>
    <w:rsid w:val="616927D7"/>
    <w:rsid w:val="616E1EF8"/>
    <w:rsid w:val="616E7593"/>
    <w:rsid w:val="61733CD6"/>
    <w:rsid w:val="61736957"/>
    <w:rsid w:val="61783F6D"/>
    <w:rsid w:val="617F70AA"/>
    <w:rsid w:val="618038BB"/>
    <w:rsid w:val="6183303E"/>
    <w:rsid w:val="61834DEC"/>
    <w:rsid w:val="6189617B"/>
    <w:rsid w:val="618D5C6B"/>
    <w:rsid w:val="61903065"/>
    <w:rsid w:val="61905EB4"/>
    <w:rsid w:val="619117A1"/>
    <w:rsid w:val="61922952"/>
    <w:rsid w:val="6192301D"/>
    <w:rsid w:val="619363FA"/>
    <w:rsid w:val="619C5EAE"/>
    <w:rsid w:val="61A11716"/>
    <w:rsid w:val="61A42FB4"/>
    <w:rsid w:val="61AC36FA"/>
    <w:rsid w:val="61B41449"/>
    <w:rsid w:val="61B7100E"/>
    <w:rsid w:val="61B72CE8"/>
    <w:rsid w:val="61B74A96"/>
    <w:rsid w:val="61BC02FE"/>
    <w:rsid w:val="61BE18D7"/>
    <w:rsid w:val="61BE6722"/>
    <w:rsid w:val="61C02E50"/>
    <w:rsid w:val="61C40F61"/>
    <w:rsid w:val="61C55405"/>
    <w:rsid w:val="61C55C3F"/>
    <w:rsid w:val="61C955FD"/>
    <w:rsid w:val="61CB22EF"/>
    <w:rsid w:val="61D34480"/>
    <w:rsid w:val="61D41430"/>
    <w:rsid w:val="61D5316E"/>
    <w:rsid w:val="61D54F1C"/>
    <w:rsid w:val="61D61932"/>
    <w:rsid w:val="61D75138"/>
    <w:rsid w:val="61D94C85"/>
    <w:rsid w:val="61D977DD"/>
    <w:rsid w:val="61DC62AA"/>
    <w:rsid w:val="61DD27C4"/>
    <w:rsid w:val="61E215D8"/>
    <w:rsid w:val="61EA6C19"/>
    <w:rsid w:val="61EC662C"/>
    <w:rsid w:val="61ED04B8"/>
    <w:rsid w:val="61EF4230"/>
    <w:rsid w:val="61F623AC"/>
    <w:rsid w:val="61FB0E26"/>
    <w:rsid w:val="61FD4B71"/>
    <w:rsid w:val="62037CDB"/>
    <w:rsid w:val="62045801"/>
    <w:rsid w:val="62055E3F"/>
    <w:rsid w:val="62061579"/>
    <w:rsid w:val="620D6DAC"/>
    <w:rsid w:val="621237CD"/>
    <w:rsid w:val="621B3775"/>
    <w:rsid w:val="62212D94"/>
    <w:rsid w:val="6223212B"/>
    <w:rsid w:val="622540F5"/>
    <w:rsid w:val="62274D59"/>
    <w:rsid w:val="622A170C"/>
    <w:rsid w:val="622A5268"/>
    <w:rsid w:val="622C1D7D"/>
    <w:rsid w:val="622D6B06"/>
    <w:rsid w:val="622E6543"/>
    <w:rsid w:val="622F0AD0"/>
    <w:rsid w:val="62314848"/>
    <w:rsid w:val="62344338"/>
    <w:rsid w:val="62353C0D"/>
    <w:rsid w:val="62364782"/>
    <w:rsid w:val="6236735A"/>
    <w:rsid w:val="62381D9E"/>
    <w:rsid w:val="623A499F"/>
    <w:rsid w:val="623B7383"/>
    <w:rsid w:val="623E3FDC"/>
    <w:rsid w:val="62420210"/>
    <w:rsid w:val="62425700"/>
    <w:rsid w:val="6247406C"/>
    <w:rsid w:val="624B3430"/>
    <w:rsid w:val="624B51DE"/>
    <w:rsid w:val="624C4B4A"/>
    <w:rsid w:val="624D3F53"/>
    <w:rsid w:val="62527017"/>
    <w:rsid w:val="62595B4D"/>
    <w:rsid w:val="625B7B17"/>
    <w:rsid w:val="625E13B5"/>
    <w:rsid w:val="62614A02"/>
    <w:rsid w:val="62643670"/>
    <w:rsid w:val="626B7569"/>
    <w:rsid w:val="62711AB7"/>
    <w:rsid w:val="62742987"/>
    <w:rsid w:val="627604AD"/>
    <w:rsid w:val="62782477"/>
    <w:rsid w:val="6279241D"/>
    <w:rsid w:val="627961EF"/>
    <w:rsid w:val="627E59B1"/>
    <w:rsid w:val="62807141"/>
    <w:rsid w:val="62811DE4"/>
    <w:rsid w:val="628250A4"/>
    <w:rsid w:val="62832BCA"/>
    <w:rsid w:val="62864468"/>
    <w:rsid w:val="6287136B"/>
    <w:rsid w:val="628C1A7E"/>
    <w:rsid w:val="628C5F22"/>
    <w:rsid w:val="628D0A61"/>
    <w:rsid w:val="628E1C9B"/>
    <w:rsid w:val="628F156F"/>
    <w:rsid w:val="6291178B"/>
    <w:rsid w:val="62922E0D"/>
    <w:rsid w:val="62A07F3E"/>
    <w:rsid w:val="62A52B40"/>
    <w:rsid w:val="62A73C99"/>
    <w:rsid w:val="62A768B8"/>
    <w:rsid w:val="62A96D2F"/>
    <w:rsid w:val="62B17737"/>
    <w:rsid w:val="62BB05B6"/>
    <w:rsid w:val="62BC7E8A"/>
    <w:rsid w:val="62BE3C02"/>
    <w:rsid w:val="62C03E1E"/>
    <w:rsid w:val="62C1664D"/>
    <w:rsid w:val="62C17E6C"/>
    <w:rsid w:val="62C27B96"/>
    <w:rsid w:val="62C456BC"/>
    <w:rsid w:val="62C544C2"/>
    <w:rsid w:val="62C70A69"/>
    <w:rsid w:val="62C70D09"/>
    <w:rsid w:val="62CA25A7"/>
    <w:rsid w:val="62CC27C3"/>
    <w:rsid w:val="62D003E9"/>
    <w:rsid w:val="62D13935"/>
    <w:rsid w:val="62D1763C"/>
    <w:rsid w:val="62D17D13"/>
    <w:rsid w:val="62D376AD"/>
    <w:rsid w:val="62D560D4"/>
    <w:rsid w:val="62D81168"/>
    <w:rsid w:val="62DF24F6"/>
    <w:rsid w:val="62E15CB8"/>
    <w:rsid w:val="62ED7B55"/>
    <w:rsid w:val="62EE4441"/>
    <w:rsid w:val="62EF1E79"/>
    <w:rsid w:val="62F06D62"/>
    <w:rsid w:val="62F2750C"/>
    <w:rsid w:val="62F51D1A"/>
    <w:rsid w:val="62FB6D2E"/>
    <w:rsid w:val="62FC561B"/>
    <w:rsid w:val="62FD297C"/>
    <w:rsid w:val="62FD43A6"/>
    <w:rsid w:val="63043D0B"/>
    <w:rsid w:val="630540BC"/>
    <w:rsid w:val="63063CC9"/>
    <w:rsid w:val="630930CF"/>
    <w:rsid w:val="630A3FE9"/>
    <w:rsid w:val="630B0B6F"/>
    <w:rsid w:val="630E2DDB"/>
    <w:rsid w:val="63122B97"/>
    <w:rsid w:val="631374A6"/>
    <w:rsid w:val="63182962"/>
    <w:rsid w:val="63184985"/>
    <w:rsid w:val="63185A08"/>
    <w:rsid w:val="631877B6"/>
    <w:rsid w:val="63190B09"/>
    <w:rsid w:val="631A1780"/>
    <w:rsid w:val="63212B0F"/>
    <w:rsid w:val="63241EDB"/>
    <w:rsid w:val="632443AD"/>
    <w:rsid w:val="632E120F"/>
    <w:rsid w:val="632E6FDA"/>
    <w:rsid w:val="632F68AE"/>
    <w:rsid w:val="63332842"/>
    <w:rsid w:val="63334465"/>
    <w:rsid w:val="63387E58"/>
    <w:rsid w:val="6339756B"/>
    <w:rsid w:val="633B16F7"/>
    <w:rsid w:val="63417E63"/>
    <w:rsid w:val="63424262"/>
    <w:rsid w:val="63452AE3"/>
    <w:rsid w:val="63453CB5"/>
    <w:rsid w:val="634A36E8"/>
    <w:rsid w:val="63583214"/>
    <w:rsid w:val="63583DC3"/>
    <w:rsid w:val="63584057"/>
    <w:rsid w:val="63585E05"/>
    <w:rsid w:val="63587A01"/>
    <w:rsid w:val="635B0A78"/>
    <w:rsid w:val="635D78BF"/>
    <w:rsid w:val="63617C53"/>
    <w:rsid w:val="63624A4A"/>
    <w:rsid w:val="63633268"/>
    <w:rsid w:val="63665AE4"/>
    <w:rsid w:val="636B2239"/>
    <w:rsid w:val="636B5105"/>
    <w:rsid w:val="636F0D32"/>
    <w:rsid w:val="636F1D94"/>
    <w:rsid w:val="637013A0"/>
    <w:rsid w:val="6370314E"/>
    <w:rsid w:val="6373359C"/>
    <w:rsid w:val="63754C08"/>
    <w:rsid w:val="637A5D7B"/>
    <w:rsid w:val="637C5F97"/>
    <w:rsid w:val="637E04B5"/>
    <w:rsid w:val="637F378A"/>
    <w:rsid w:val="637F7835"/>
    <w:rsid w:val="63807109"/>
    <w:rsid w:val="638210D3"/>
    <w:rsid w:val="63862972"/>
    <w:rsid w:val="63864720"/>
    <w:rsid w:val="638B7F88"/>
    <w:rsid w:val="638F6A62"/>
    <w:rsid w:val="6394356A"/>
    <w:rsid w:val="63A25979"/>
    <w:rsid w:val="63A454EE"/>
    <w:rsid w:val="63A948B2"/>
    <w:rsid w:val="63AE133F"/>
    <w:rsid w:val="63AE1B87"/>
    <w:rsid w:val="63B23D31"/>
    <w:rsid w:val="63B3128D"/>
    <w:rsid w:val="63B84AF5"/>
    <w:rsid w:val="63BB4D53"/>
    <w:rsid w:val="63BD3EBA"/>
    <w:rsid w:val="63BF6FD1"/>
    <w:rsid w:val="63C61B2C"/>
    <w:rsid w:val="63C630B6"/>
    <w:rsid w:val="63C77182"/>
    <w:rsid w:val="63C90AB0"/>
    <w:rsid w:val="63CB4828"/>
    <w:rsid w:val="63CE4319"/>
    <w:rsid w:val="63D00091"/>
    <w:rsid w:val="63D062E3"/>
    <w:rsid w:val="63D23E09"/>
    <w:rsid w:val="63D40BE9"/>
    <w:rsid w:val="63D516A2"/>
    <w:rsid w:val="63D61E2D"/>
    <w:rsid w:val="63E31B72"/>
    <w:rsid w:val="63E900A0"/>
    <w:rsid w:val="63E91153"/>
    <w:rsid w:val="63EB4ECB"/>
    <w:rsid w:val="63F0603D"/>
    <w:rsid w:val="63F21DB5"/>
    <w:rsid w:val="63F47351"/>
    <w:rsid w:val="63F75527"/>
    <w:rsid w:val="63F90676"/>
    <w:rsid w:val="63F91396"/>
    <w:rsid w:val="63F96639"/>
    <w:rsid w:val="63FE69AC"/>
    <w:rsid w:val="63FF44D2"/>
    <w:rsid w:val="64002891"/>
    <w:rsid w:val="64011719"/>
    <w:rsid w:val="64011E50"/>
    <w:rsid w:val="64032DE5"/>
    <w:rsid w:val="64033FC2"/>
    <w:rsid w:val="64047D3A"/>
    <w:rsid w:val="640B10C9"/>
    <w:rsid w:val="640D6BEF"/>
    <w:rsid w:val="640E0518"/>
    <w:rsid w:val="6410048D"/>
    <w:rsid w:val="64102317"/>
    <w:rsid w:val="64102431"/>
    <w:rsid w:val="64124205"/>
    <w:rsid w:val="64144421"/>
    <w:rsid w:val="641A755E"/>
    <w:rsid w:val="641C32D6"/>
    <w:rsid w:val="641C398C"/>
    <w:rsid w:val="641D1EBA"/>
    <w:rsid w:val="641E0EE5"/>
    <w:rsid w:val="641E2BAA"/>
    <w:rsid w:val="64210AF1"/>
    <w:rsid w:val="6421340B"/>
    <w:rsid w:val="6429154F"/>
    <w:rsid w:val="642B3519"/>
    <w:rsid w:val="642C4724"/>
    <w:rsid w:val="64306D81"/>
    <w:rsid w:val="6441217E"/>
    <w:rsid w:val="64422D1C"/>
    <w:rsid w:val="64430863"/>
    <w:rsid w:val="644316E4"/>
    <w:rsid w:val="6444268A"/>
    <w:rsid w:val="64455769"/>
    <w:rsid w:val="644736FB"/>
    <w:rsid w:val="64490689"/>
    <w:rsid w:val="64495B60"/>
    <w:rsid w:val="644A1BF1"/>
    <w:rsid w:val="644A5489"/>
    <w:rsid w:val="644C14E9"/>
    <w:rsid w:val="644C4C03"/>
    <w:rsid w:val="644D348F"/>
    <w:rsid w:val="644F0FB6"/>
    <w:rsid w:val="645038A3"/>
    <w:rsid w:val="645273AA"/>
    <w:rsid w:val="6454481E"/>
    <w:rsid w:val="64561E9B"/>
    <w:rsid w:val="645A7D56"/>
    <w:rsid w:val="645B2C7B"/>
    <w:rsid w:val="6461518D"/>
    <w:rsid w:val="6465395C"/>
    <w:rsid w:val="646627A3"/>
    <w:rsid w:val="64680734"/>
    <w:rsid w:val="6468651B"/>
    <w:rsid w:val="646A5DEF"/>
    <w:rsid w:val="646B7DB9"/>
    <w:rsid w:val="646E3CD1"/>
    <w:rsid w:val="646F5DDE"/>
    <w:rsid w:val="646F78AA"/>
    <w:rsid w:val="646F79E5"/>
    <w:rsid w:val="6472739A"/>
    <w:rsid w:val="6477675E"/>
    <w:rsid w:val="647B624F"/>
    <w:rsid w:val="648036D8"/>
    <w:rsid w:val="64881AC3"/>
    <w:rsid w:val="64904662"/>
    <w:rsid w:val="64930AC3"/>
    <w:rsid w:val="64933ABF"/>
    <w:rsid w:val="64963088"/>
    <w:rsid w:val="649656A7"/>
    <w:rsid w:val="64992502"/>
    <w:rsid w:val="649F0642"/>
    <w:rsid w:val="64A05CB5"/>
    <w:rsid w:val="64A07A63"/>
    <w:rsid w:val="64A31301"/>
    <w:rsid w:val="64A5243A"/>
    <w:rsid w:val="64A54544"/>
    <w:rsid w:val="64A82DBC"/>
    <w:rsid w:val="64AB7555"/>
    <w:rsid w:val="64AF7CA6"/>
    <w:rsid w:val="64B17EC2"/>
    <w:rsid w:val="64B27796"/>
    <w:rsid w:val="64B67287"/>
    <w:rsid w:val="64B8434A"/>
    <w:rsid w:val="64BD0AE6"/>
    <w:rsid w:val="64BE61B5"/>
    <w:rsid w:val="64C33752"/>
    <w:rsid w:val="64C86FBA"/>
    <w:rsid w:val="64CA4AE0"/>
    <w:rsid w:val="64CC6AAA"/>
    <w:rsid w:val="64D84B91"/>
    <w:rsid w:val="64E060B2"/>
    <w:rsid w:val="64E35BA2"/>
    <w:rsid w:val="64E53367"/>
    <w:rsid w:val="64E62552"/>
    <w:rsid w:val="64E738E4"/>
    <w:rsid w:val="64EE6A20"/>
    <w:rsid w:val="64EF13B8"/>
    <w:rsid w:val="64F102BF"/>
    <w:rsid w:val="64F34037"/>
    <w:rsid w:val="64F46001"/>
    <w:rsid w:val="64F47DAF"/>
    <w:rsid w:val="64F531DE"/>
    <w:rsid w:val="64F56864"/>
    <w:rsid w:val="64F642EB"/>
    <w:rsid w:val="64F67403"/>
    <w:rsid w:val="64FB738F"/>
    <w:rsid w:val="64FD162C"/>
    <w:rsid w:val="64FE4A36"/>
    <w:rsid w:val="64FF0C2E"/>
    <w:rsid w:val="650049A6"/>
    <w:rsid w:val="6502427A"/>
    <w:rsid w:val="65024B31"/>
    <w:rsid w:val="650B3FD7"/>
    <w:rsid w:val="6511270F"/>
    <w:rsid w:val="65130235"/>
    <w:rsid w:val="65180933"/>
    <w:rsid w:val="65183A9D"/>
    <w:rsid w:val="65190A7F"/>
    <w:rsid w:val="65207558"/>
    <w:rsid w:val="652775F6"/>
    <w:rsid w:val="652A557F"/>
    <w:rsid w:val="652C62FF"/>
    <w:rsid w:val="652E1513"/>
    <w:rsid w:val="65301C31"/>
    <w:rsid w:val="653528A1"/>
    <w:rsid w:val="65373578"/>
    <w:rsid w:val="65391870"/>
    <w:rsid w:val="653B0398"/>
    <w:rsid w:val="653E4B1A"/>
    <w:rsid w:val="6542378D"/>
    <w:rsid w:val="65444892"/>
    <w:rsid w:val="654A1084"/>
    <w:rsid w:val="654C1999"/>
    <w:rsid w:val="65565F75"/>
    <w:rsid w:val="65596886"/>
    <w:rsid w:val="655C1705"/>
    <w:rsid w:val="655F16CC"/>
    <w:rsid w:val="655F347A"/>
    <w:rsid w:val="655F4AD1"/>
    <w:rsid w:val="65615069"/>
    <w:rsid w:val="656211BC"/>
    <w:rsid w:val="65640A91"/>
    <w:rsid w:val="65644F35"/>
    <w:rsid w:val="656B62C3"/>
    <w:rsid w:val="657038D9"/>
    <w:rsid w:val="65705687"/>
    <w:rsid w:val="657C5702"/>
    <w:rsid w:val="657D1B52"/>
    <w:rsid w:val="658253BB"/>
    <w:rsid w:val="65836DB6"/>
    <w:rsid w:val="65837903"/>
    <w:rsid w:val="65847385"/>
    <w:rsid w:val="65855276"/>
    <w:rsid w:val="658A1B57"/>
    <w:rsid w:val="658C6239"/>
    <w:rsid w:val="658D7CCF"/>
    <w:rsid w:val="65913850"/>
    <w:rsid w:val="6593322E"/>
    <w:rsid w:val="65960E66"/>
    <w:rsid w:val="659770B8"/>
    <w:rsid w:val="65991E30"/>
    <w:rsid w:val="659A15A4"/>
    <w:rsid w:val="659F4066"/>
    <w:rsid w:val="65A05865"/>
    <w:rsid w:val="65A25C2E"/>
    <w:rsid w:val="65A65036"/>
    <w:rsid w:val="65A76BCF"/>
    <w:rsid w:val="65A9406D"/>
    <w:rsid w:val="65AB2B63"/>
    <w:rsid w:val="65B0017A"/>
    <w:rsid w:val="65B03CD6"/>
    <w:rsid w:val="65B043D2"/>
    <w:rsid w:val="65B23EF2"/>
    <w:rsid w:val="65BD2897"/>
    <w:rsid w:val="65BF1961"/>
    <w:rsid w:val="65C031DD"/>
    <w:rsid w:val="65C06580"/>
    <w:rsid w:val="65C15EE3"/>
    <w:rsid w:val="65C32D52"/>
    <w:rsid w:val="65C47781"/>
    <w:rsid w:val="65C92FEA"/>
    <w:rsid w:val="65CD2ADA"/>
    <w:rsid w:val="65CE0600"/>
    <w:rsid w:val="65CE6593"/>
    <w:rsid w:val="65D039F2"/>
    <w:rsid w:val="65D976D1"/>
    <w:rsid w:val="65DD6A95"/>
    <w:rsid w:val="65DF0A5F"/>
    <w:rsid w:val="65E035FB"/>
    <w:rsid w:val="65E10BD0"/>
    <w:rsid w:val="65E25E59"/>
    <w:rsid w:val="65E73470"/>
    <w:rsid w:val="65E9543A"/>
    <w:rsid w:val="65E971E8"/>
    <w:rsid w:val="65ED4F2A"/>
    <w:rsid w:val="65EF127F"/>
    <w:rsid w:val="65F52031"/>
    <w:rsid w:val="65FC516D"/>
    <w:rsid w:val="65FC7F22"/>
    <w:rsid w:val="65FF2BD8"/>
    <w:rsid w:val="66030B7B"/>
    <w:rsid w:val="66044CA8"/>
    <w:rsid w:val="660B3602"/>
    <w:rsid w:val="660C4E9E"/>
    <w:rsid w:val="660D548D"/>
    <w:rsid w:val="66124991"/>
    <w:rsid w:val="66127C81"/>
    <w:rsid w:val="661A4A9C"/>
    <w:rsid w:val="661D5DA5"/>
    <w:rsid w:val="66210C8B"/>
    <w:rsid w:val="66214BD4"/>
    <w:rsid w:val="66214FB2"/>
    <w:rsid w:val="662446C4"/>
    <w:rsid w:val="66287A2C"/>
    <w:rsid w:val="662918B0"/>
    <w:rsid w:val="662E55DC"/>
    <w:rsid w:val="662F7E8A"/>
    <w:rsid w:val="66367079"/>
    <w:rsid w:val="66372649"/>
    <w:rsid w:val="663A47D5"/>
    <w:rsid w:val="663F505A"/>
    <w:rsid w:val="663F56D8"/>
    <w:rsid w:val="66410DD2"/>
    <w:rsid w:val="66430FEE"/>
    <w:rsid w:val="66456B14"/>
    <w:rsid w:val="66482158"/>
    <w:rsid w:val="6648553C"/>
    <w:rsid w:val="66485A5D"/>
    <w:rsid w:val="66495ED8"/>
    <w:rsid w:val="664A412A"/>
    <w:rsid w:val="664D7777"/>
    <w:rsid w:val="6650370B"/>
    <w:rsid w:val="66544FA9"/>
    <w:rsid w:val="6655487D"/>
    <w:rsid w:val="665723A3"/>
    <w:rsid w:val="6659497C"/>
    <w:rsid w:val="665C3E5E"/>
    <w:rsid w:val="666004F6"/>
    <w:rsid w:val="66644AC0"/>
    <w:rsid w:val="66660410"/>
    <w:rsid w:val="666757F8"/>
    <w:rsid w:val="666A1054"/>
    <w:rsid w:val="666A3E65"/>
    <w:rsid w:val="666A5925"/>
    <w:rsid w:val="666E44D5"/>
    <w:rsid w:val="666F1DE3"/>
    <w:rsid w:val="667311A8"/>
    <w:rsid w:val="667473F9"/>
    <w:rsid w:val="66747608"/>
    <w:rsid w:val="66756CCD"/>
    <w:rsid w:val="66770C98"/>
    <w:rsid w:val="667747F4"/>
    <w:rsid w:val="667967BE"/>
    <w:rsid w:val="667D39EF"/>
    <w:rsid w:val="667E3DD4"/>
    <w:rsid w:val="6683763C"/>
    <w:rsid w:val="66851F70"/>
    <w:rsid w:val="66862C89"/>
    <w:rsid w:val="668A09CB"/>
    <w:rsid w:val="668B0E6A"/>
    <w:rsid w:val="668C6082"/>
    <w:rsid w:val="668D5985"/>
    <w:rsid w:val="668F7D8F"/>
    <w:rsid w:val="6692162D"/>
    <w:rsid w:val="669453A6"/>
    <w:rsid w:val="66976C44"/>
    <w:rsid w:val="6698193F"/>
    <w:rsid w:val="669929BC"/>
    <w:rsid w:val="669B46E7"/>
    <w:rsid w:val="669E0ACA"/>
    <w:rsid w:val="66A03D4A"/>
    <w:rsid w:val="66A76FE0"/>
    <w:rsid w:val="66A82BFF"/>
    <w:rsid w:val="66A97230"/>
    <w:rsid w:val="66AE1992"/>
    <w:rsid w:val="66B248B1"/>
    <w:rsid w:val="66B26720"/>
    <w:rsid w:val="66B42230"/>
    <w:rsid w:val="66BB0B84"/>
    <w:rsid w:val="66BC7DEC"/>
    <w:rsid w:val="66C13CC1"/>
    <w:rsid w:val="66C704BD"/>
    <w:rsid w:val="66C7577B"/>
    <w:rsid w:val="66C814F3"/>
    <w:rsid w:val="66C94BFB"/>
    <w:rsid w:val="66D6776C"/>
    <w:rsid w:val="66D734E4"/>
    <w:rsid w:val="66D9230F"/>
    <w:rsid w:val="66DE4873"/>
    <w:rsid w:val="66E07D14"/>
    <w:rsid w:val="66E60D72"/>
    <w:rsid w:val="66E612EE"/>
    <w:rsid w:val="66E63727"/>
    <w:rsid w:val="66F43AF7"/>
    <w:rsid w:val="66FD119D"/>
    <w:rsid w:val="67010561"/>
    <w:rsid w:val="670267B3"/>
    <w:rsid w:val="6703252B"/>
    <w:rsid w:val="670354A0"/>
    <w:rsid w:val="6707586B"/>
    <w:rsid w:val="670C5E0A"/>
    <w:rsid w:val="670E33AA"/>
    <w:rsid w:val="670F2C7E"/>
    <w:rsid w:val="671372D1"/>
    <w:rsid w:val="6716225F"/>
    <w:rsid w:val="6716400D"/>
    <w:rsid w:val="671812FC"/>
    <w:rsid w:val="67185FD7"/>
    <w:rsid w:val="671B3414"/>
    <w:rsid w:val="671F124A"/>
    <w:rsid w:val="67211A7B"/>
    <w:rsid w:val="67220C03"/>
    <w:rsid w:val="67226E55"/>
    <w:rsid w:val="6723497B"/>
    <w:rsid w:val="67236729"/>
    <w:rsid w:val="672465C3"/>
    <w:rsid w:val="67254250"/>
    <w:rsid w:val="67281F92"/>
    <w:rsid w:val="67283D40"/>
    <w:rsid w:val="672C55DE"/>
    <w:rsid w:val="672E57FA"/>
    <w:rsid w:val="672F3320"/>
    <w:rsid w:val="672F52F4"/>
    <w:rsid w:val="67303449"/>
    <w:rsid w:val="67311FC6"/>
    <w:rsid w:val="6735657C"/>
    <w:rsid w:val="673F4CC4"/>
    <w:rsid w:val="674A015A"/>
    <w:rsid w:val="674B3DF5"/>
    <w:rsid w:val="674B6EBA"/>
    <w:rsid w:val="674C3ED2"/>
    <w:rsid w:val="675039C2"/>
    <w:rsid w:val="675114E9"/>
    <w:rsid w:val="67513297"/>
    <w:rsid w:val="67521CAD"/>
    <w:rsid w:val="6753700F"/>
    <w:rsid w:val="67566AFF"/>
    <w:rsid w:val="6758271B"/>
    <w:rsid w:val="675A3622"/>
    <w:rsid w:val="675B44A0"/>
    <w:rsid w:val="675F3C06"/>
    <w:rsid w:val="675F7AC4"/>
    <w:rsid w:val="67616BD8"/>
    <w:rsid w:val="67642FCA"/>
    <w:rsid w:val="676A4E9C"/>
    <w:rsid w:val="676E5BF7"/>
    <w:rsid w:val="67717495"/>
    <w:rsid w:val="6776621A"/>
    <w:rsid w:val="67770DF7"/>
    <w:rsid w:val="677A33C6"/>
    <w:rsid w:val="677D408C"/>
    <w:rsid w:val="677F7E04"/>
    <w:rsid w:val="678061B5"/>
    <w:rsid w:val="6784541A"/>
    <w:rsid w:val="67876CB8"/>
    <w:rsid w:val="678F3DBF"/>
    <w:rsid w:val="67954634"/>
    <w:rsid w:val="6796339F"/>
    <w:rsid w:val="679715F1"/>
    <w:rsid w:val="67986541"/>
    <w:rsid w:val="67992F38"/>
    <w:rsid w:val="67A2480A"/>
    <w:rsid w:val="67B304D6"/>
    <w:rsid w:val="67B83777"/>
    <w:rsid w:val="67BA52E0"/>
    <w:rsid w:val="67BA708E"/>
    <w:rsid w:val="67BF28F6"/>
    <w:rsid w:val="67C75D7F"/>
    <w:rsid w:val="67C9107F"/>
    <w:rsid w:val="67CC6DC1"/>
    <w:rsid w:val="67CD7020"/>
    <w:rsid w:val="67D0065F"/>
    <w:rsid w:val="67D11C12"/>
    <w:rsid w:val="67D839B8"/>
    <w:rsid w:val="67D85766"/>
    <w:rsid w:val="67DA328C"/>
    <w:rsid w:val="67DC3DF5"/>
    <w:rsid w:val="67DC4CFB"/>
    <w:rsid w:val="67E24F39"/>
    <w:rsid w:val="67E34AD7"/>
    <w:rsid w:val="67E65CFE"/>
    <w:rsid w:val="67E662B3"/>
    <w:rsid w:val="67E8230A"/>
    <w:rsid w:val="67EB36EB"/>
    <w:rsid w:val="67EC2FBF"/>
    <w:rsid w:val="67EE1C9E"/>
    <w:rsid w:val="67EE266A"/>
    <w:rsid w:val="67F24A7A"/>
    <w:rsid w:val="67F500C6"/>
    <w:rsid w:val="67F56F1D"/>
    <w:rsid w:val="68042FE2"/>
    <w:rsid w:val="68091DC3"/>
    <w:rsid w:val="68093B71"/>
    <w:rsid w:val="680A680D"/>
    <w:rsid w:val="680F4F99"/>
    <w:rsid w:val="68150768"/>
    <w:rsid w:val="6817003C"/>
    <w:rsid w:val="68176EBD"/>
    <w:rsid w:val="681816C1"/>
    <w:rsid w:val="681E7723"/>
    <w:rsid w:val="681F6961"/>
    <w:rsid w:val="68242759"/>
    <w:rsid w:val="68246E0D"/>
    <w:rsid w:val="682F650F"/>
    <w:rsid w:val="68314155"/>
    <w:rsid w:val="6832131A"/>
    <w:rsid w:val="68323601"/>
    <w:rsid w:val="68336E40"/>
    <w:rsid w:val="68364B4E"/>
    <w:rsid w:val="68394457"/>
    <w:rsid w:val="683A01CF"/>
    <w:rsid w:val="683A60A0"/>
    <w:rsid w:val="683C3F47"/>
    <w:rsid w:val="683D381B"/>
    <w:rsid w:val="683D4A21"/>
    <w:rsid w:val="683E1A6D"/>
    <w:rsid w:val="683E7CBF"/>
    <w:rsid w:val="684150B9"/>
    <w:rsid w:val="68456D65"/>
    <w:rsid w:val="6848505F"/>
    <w:rsid w:val="6849625E"/>
    <w:rsid w:val="6853303E"/>
    <w:rsid w:val="68541290"/>
    <w:rsid w:val="6854749E"/>
    <w:rsid w:val="685605CA"/>
    <w:rsid w:val="68582403"/>
    <w:rsid w:val="6858777C"/>
    <w:rsid w:val="68595181"/>
    <w:rsid w:val="685A43CD"/>
    <w:rsid w:val="685C1945"/>
    <w:rsid w:val="685E3EBD"/>
    <w:rsid w:val="685F4325"/>
    <w:rsid w:val="685F7C35"/>
    <w:rsid w:val="68610A2F"/>
    <w:rsid w:val="6861446E"/>
    <w:rsid w:val="68617509"/>
    <w:rsid w:val="68633281"/>
    <w:rsid w:val="68677AAE"/>
    <w:rsid w:val="68684D0B"/>
    <w:rsid w:val="686B7FCA"/>
    <w:rsid w:val="686D39F6"/>
    <w:rsid w:val="686E384F"/>
    <w:rsid w:val="68700CAB"/>
    <w:rsid w:val="68701E42"/>
    <w:rsid w:val="68751207"/>
    <w:rsid w:val="68766035"/>
    <w:rsid w:val="687C2595"/>
    <w:rsid w:val="687E00BB"/>
    <w:rsid w:val="68805514"/>
    <w:rsid w:val="688C6BDF"/>
    <w:rsid w:val="688F051A"/>
    <w:rsid w:val="688F7FE1"/>
    <w:rsid w:val="68907DEF"/>
    <w:rsid w:val="689131FB"/>
    <w:rsid w:val="689167E5"/>
    <w:rsid w:val="689304E6"/>
    <w:rsid w:val="68945B31"/>
    <w:rsid w:val="68975621"/>
    <w:rsid w:val="68993147"/>
    <w:rsid w:val="68996CA3"/>
    <w:rsid w:val="689C6793"/>
    <w:rsid w:val="689D301A"/>
    <w:rsid w:val="68A044D6"/>
    <w:rsid w:val="68AD64E2"/>
    <w:rsid w:val="68AE42FB"/>
    <w:rsid w:val="68AF4719"/>
    <w:rsid w:val="68B43ADD"/>
    <w:rsid w:val="68B47F81"/>
    <w:rsid w:val="68B7537B"/>
    <w:rsid w:val="68BA0FB7"/>
    <w:rsid w:val="68BA37B8"/>
    <w:rsid w:val="68BC0BE4"/>
    <w:rsid w:val="68BC5088"/>
    <w:rsid w:val="68BC6E36"/>
    <w:rsid w:val="68C048DA"/>
    <w:rsid w:val="68C10D61"/>
    <w:rsid w:val="68C301C4"/>
    <w:rsid w:val="68C748AC"/>
    <w:rsid w:val="68C77CB4"/>
    <w:rsid w:val="68C83CB5"/>
    <w:rsid w:val="68CE5952"/>
    <w:rsid w:val="68D0468F"/>
    <w:rsid w:val="68D24E1F"/>
    <w:rsid w:val="68D26659"/>
    <w:rsid w:val="68E32614"/>
    <w:rsid w:val="68E819D9"/>
    <w:rsid w:val="68E94ED4"/>
    <w:rsid w:val="68EF0D46"/>
    <w:rsid w:val="68EF0FB9"/>
    <w:rsid w:val="68F0088D"/>
    <w:rsid w:val="68F264AC"/>
    <w:rsid w:val="68F30B57"/>
    <w:rsid w:val="69010363"/>
    <w:rsid w:val="69015441"/>
    <w:rsid w:val="69057E50"/>
    <w:rsid w:val="690757FD"/>
    <w:rsid w:val="69085BD7"/>
    <w:rsid w:val="690B56C7"/>
    <w:rsid w:val="690D6FEC"/>
    <w:rsid w:val="6910009B"/>
    <w:rsid w:val="69100406"/>
    <w:rsid w:val="69166546"/>
    <w:rsid w:val="691722BE"/>
    <w:rsid w:val="691B1DAE"/>
    <w:rsid w:val="691F00F6"/>
    <w:rsid w:val="69205616"/>
    <w:rsid w:val="692A62C2"/>
    <w:rsid w:val="692C3FBB"/>
    <w:rsid w:val="692C7B17"/>
    <w:rsid w:val="692F2F5C"/>
    <w:rsid w:val="692F5C49"/>
    <w:rsid w:val="692F7608"/>
    <w:rsid w:val="69316E2F"/>
    <w:rsid w:val="69330AC1"/>
    <w:rsid w:val="69344C1E"/>
    <w:rsid w:val="69360996"/>
    <w:rsid w:val="69362744"/>
    <w:rsid w:val="69382960"/>
    <w:rsid w:val="693966D8"/>
    <w:rsid w:val="693D1C6D"/>
    <w:rsid w:val="694A0D42"/>
    <w:rsid w:val="694C640B"/>
    <w:rsid w:val="694E2071"/>
    <w:rsid w:val="694E2BF2"/>
    <w:rsid w:val="69512A12"/>
    <w:rsid w:val="69513A22"/>
    <w:rsid w:val="6962178B"/>
    <w:rsid w:val="69635503"/>
    <w:rsid w:val="69641ECE"/>
    <w:rsid w:val="6965213E"/>
    <w:rsid w:val="69653029"/>
    <w:rsid w:val="69670B4F"/>
    <w:rsid w:val="69690D6B"/>
    <w:rsid w:val="696E2E35"/>
    <w:rsid w:val="69715E72"/>
    <w:rsid w:val="69731BEA"/>
    <w:rsid w:val="69733998"/>
    <w:rsid w:val="69766163"/>
    <w:rsid w:val="69767C4D"/>
    <w:rsid w:val="69790883"/>
    <w:rsid w:val="697A08A2"/>
    <w:rsid w:val="697A3B33"/>
    <w:rsid w:val="69825027"/>
    <w:rsid w:val="69872FA0"/>
    <w:rsid w:val="69894F6A"/>
    <w:rsid w:val="698C4A5A"/>
    <w:rsid w:val="698D1A90"/>
    <w:rsid w:val="698F62F8"/>
    <w:rsid w:val="699807EF"/>
    <w:rsid w:val="69992CD3"/>
    <w:rsid w:val="699A5B76"/>
    <w:rsid w:val="699C4651"/>
    <w:rsid w:val="699F29DF"/>
    <w:rsid w:val="699F478D"/>
    <w:rsid w:val="69A006B2"/>
    <w:rsid w:val="69A00D58"/>
    <w:rsid w:val="69A022B3"/>
    <w:rsid w:val="69A2077F"/>
    <w:rsid w:val="69A27DD9"/>
    <w:rsid w:val="69A94CB8"/>
    <w:rsid w:val="69AA0B6C"/>
    <w:rsid w:val="69AF0748"/>
    <w:rsid w:val="69AF5F2D"/>
    <w:rsid w:val="69B2153D"/>
    <w:rsid w:val="69B471CE"/>
    <w:rsid w:val="69B67D29"/>
    <w:rsid w:val="69B8584F"/>
    <w:rsid w:val="69B875FD"/>
    <w:rsid w:val="69B96DDD"/>
    <w:rsid w:val="69BD246B"/>
    <w:rsid w:val="69BE2739"/>
    <w:rsid w:val="69BF6BDD"/>
    <w:rsid w:val="69C00342"/>
    <w:rsid w:val="69C2248D"/>
    <w:rsid w:val="69C441F4"/>
    <w:rsid w:val="69CA5638"/>
    <w:rsid w:val="69D00DEB"/>
    <w:rsid w:val="69D16911"/>
    <w:rsid w:val="69D241B5"/>
    <w:rsid w:val="69D44760"/>
    <w:rsid w:val="69D56403"/>
    <w:rsid w:val="69D837FB"/>
    <w:rsid w:val="69D87C9F"/>
    <w:rsid w:val="69DD3507"/>
    <w:rsid w:val="69E228CC"/>
    <w:rsid w:val="69E403F2"/>
    <w:rsid w:val="69E76134"/>
    <w:rsid w:val="69E8497D"/>
    <w:rsid w:val="69EB1780"/>
    <w:rsid w:val="69EC0EDF"/>
    <w:rsid w:val="69EC3133"/>
    <w:rsid w:val="69EF0CCD"/>
    <w:rsid w:val="69F30635"/>
    <w:rsid w:val="69F951FB"/>
    <w:rsid w:val="69FA5E67"/>
    <w:rsid w:val="69FB1AFA"/>
    <w:rsid w:val="6A0057D5"/>
    <w:rsid w:val="6A0445F0"/>
    <w:rsid w:val="6A0942FC"/>
    <w:rsid w:val="6A1011E7"/>
    <w:rsid w:val="6A165448"/>
    <w:rsid w:val="6A1F3529"/>
    <w:rsid w:val="6A1F767C"/>
    <w:rsid w:val="6A220F1A"/>
    <w:rsid w:val="6A222ABC"/>
    <w:rsid w:val="6A222CC8"/>
    <w:rsid w:val="6A232065"/>
    <w:rsid w:val="6A256711"/>
    <w:rsid w:val="6A294057"/>
    <w:rsid w:val="6A2B7DCF"/>
    <w:rsid w:val="6A2C3362"/>
    <w:rsid w:val="6A2C5EAB"/>
    <w:rsid w:val="6A2C66C8"/>
    <w:rsid w:val="6A2F74E7"/>
    <w:rsid w:val="6A3500BE"/>
    <w:rsid w:val="6A3A5966"/>
    <w:rsid w:val="6A3A6264"/>
    <w:rsid w:val="6A3C258F"/>
    <w:rsid w:val="6A3C6480"/>
    <w:rsid w:val="6A3D70B5"/>
    <w:rsid w:val="6A42336B"/>
    <w:rsid w:val="6A424F36"/>
    <w:rsid w:val="6A463F7B"/>
    <w:rsid w:val="6A48221F"/>
    <w:rsid w:val="6A496345"/>
    <w:rsid w:val="6A4C5626"/>
    <w:rsid w:val="6A4D41E9"/>
    <w:rsid w:val="6A5135AE"/>
    <w:rsid w:val="6A520EC7"/>
    <w:rsid w:val="6A5407DE"/>
    <w:rsid w:val="6A585D6B"/>
    <w:rsid w:val="6A5D01A4"/>
    <w:rsid w:val="6A5E4D61"/>
    <w:rsid w:val="6A5F3F1C"/>
    <w:rsid w:val="6A5F4BDB"/>
    <w:rsid w:val="6A5F4F63"/>
    <w:rsid w:val="6A5F5CCB"/>
    <w:rsid w:val="6A6142D2"/>
    <w:rsid w:val="6A635FA8"/>
    <w:rsid w:val="6A672B3A"/>
    <w:rsid w:val="6A694D9B"/>
    <w:rsid w:val="6A724046"/>
    <w:rsid w:val="6A7259FE"/>
    <w:rsid w:val="6A760889"/>
    <w:rsid w:val="6A773014"/>
    <w:rsid w:val="6A791969"/>
    <w:rsid w:val="6A7B73F5"/>
    <w:rsid w:val="6A8614A9"/>
    <w:rsid w:val="6A8B3B03"/>
    <w:rsid w:val="6A8C42A6"/>
    <w:rsid w:val="6A8D425E"/>
    <w:rsid w:val="6A8F3B8F"/>
    <w:rsid w:val="6A8F4802"/>
    <w:rsid w:val="6A9040D6"/>
    <w:rsid w:val="6A920658"/>
    <w:rsid w:val="6A935974"/>
    <w:rsid w:val="6A9401BB"/>
    <w:rsid w:val="6A971908"/>
    <w:rsid w:val="6A9A030B"/>
    <w:rsid w:val="6A9C2F2D"/>
    <w:rsid w:val="6A9C6193"/>
    <w:rsid w:val="6A9E228F"/>
    <w:rsid w:val="6AA162E3"/>
    <w:rsid w:val="6AA61F40"/>
    <w:rsid w:val="6AA95198"/>
    <w:rsid w:val="6AA97307"/>
    <w:rsid w:val="6AAB53B4"/>
    <w:rsid w:val="6AAC3883"/>
    <w:rsid w:val="6AAD4C88"/>
    <w:rsid w:val="6AB16F29"/>
    <w:rsid w:val="6AB2229E"/>
    <w:rsid w:val="6AB4441A"/>
    <w:rsid w:val="6AB84307"/>
    <w:rsid w:val="6ABA55F7"/>
    <w:rsid w:val="6ABF49BB"/>
    <w:rsid w:val="6ABF6769"/>
    <w:rsid w:val="6AC23759"/>
    <w:rsid w:val="6AC34B1A"/>
    <w:rsid w:val="6AC56D3B"/>
    <w:rsid w:val="6AC82A01"/>
    <w:rsid w:val="6AC975E8"/>
    <w:rsid w:val="6ACE4BFE"/>
    <w:rsid w:val="6ACF1A99"/>
    <w:rsid w:val="6AD14E1A"/>
    <w:rsid w:val="6AD30E33"/>
    <w:rsid w:val="6AD83AD4"/>
    <w:rsid w:val="6AD93563"/>
    <w:rsid w:val="6ADC37BF"/>
    <w:rsid w:val="6AE34B4E"/>
    <w:rsid w:val="6AE52674"/>
    <w:rsid w:val="6AED32D6"/>
    <w:rsid w:val="6AED777A"/>
    <w:rsid w:val="6AF04462"/>
    <w:rsid w:val="6AF87E20"/>
    <w:rsid w:val="6AFC5404"/>
    <w:rsid w:val="6B0074AE"/>
    <w:rsid w:val="6B013226"/>
    <w:rsid w:val="6B04081D"/>
    <w:rsid w:val="6B080110"/>
    <w:rsid w:val="6B09132D"/>
    <w:rsid w:val="6B0D1BCA"/>
    <w:rsid w:val="6B0D5727"/>
    <w:rsid w:val="6B0F11B6"/>
    <w:rsid w:val="6B0F64B4"/>
    <w:rsid w:val="6B160A7F"/>
    <w:rsid w:val="6B160B2E"/>
    <w:rsid w:val="6B1A3069"/>
    <w:rsid w:val="6B1E5B86"/>
    <w:rsid w:val="6B247F4F"/>
    <w:rsid w:val="6B272C8C"/>
    <w:rsid w:val="6B2A452A"/>
    <w:rsid w:val="6B2D401B"/>
    <w:rsid w:val="6B322639"/>
    <w:rsid w:val="6B3233DF"/>
    <w:rsid w:val="6B39651C"/>
    <w:rsid w:val="6B3C600C"/>
    <w:rsid w:val="6B3E6875"/>
    <w:rsid w:val="6B421874"/>
    <w:rsid w:val="6B4355EC"/>
    <w:rsid w:val="6B4636FB"/>
    <w:rsid w:val="6B476E8A"/>
    <w:rsid w:val="6B4B3EF8"/>
    <w:rsid w:val="6B4B624F"/>
    <w:rsid w:val="6B4C266D"/>
    <w:rsid w:val="6B4D6FDA"/>
    <w:rsid w:val="6B543DEF"/>
    <w:rsid w:val="6B56245F"/>
    <w:rsid w:val="6B564F76"/>
    <w:rsid w:val="6B570EC0"/>
    <w:rsid w:val="6B573788"/>
    <w:rsid w:val="6B59096C"/>
    <w:rsid w:val="6B5B6012"/>
    <w:rsid w:val="6B5D66AE"/>
    <w:rsid w:val="6B60619E"/>
    <w:rsid w:val="6B623CC4"/>
    <w:rsid w:val="6B625A72"/>
    <w:rsid w:val="6B6317EA"/>
    <w:rsid w:val="6B637A3C"/>
    <w:rsid w:val="6B673089"/>
    <w:rsid w:val="6B675D79"/>
    <w:rsid w:val="6B687C3F"/>
    <w:rsid w:val="6B6D2669"/>
    <w:rsid w:val="6B6F63E1"/>
    <w:rsid w:val="6B712159"/>
    <w:rsid w:val="6B722607"/>
    <w:rsid w:val="6B723D4F"/>
    <w:rsid w:val="6B76151E"/>
    <w:rsid w:val="6B767033"/>
    <w:rsid w:val="6B777044"/>
    <w:rsid w:val="6B792DBC"/>
    <w:rsid w:val="6B7B16D4"/>
    <w:rsid w:val="6B8145DD"/>
    <w:rsid w:val="6B841E8D"/>
    <w:rsid w:val="6B8665E7"/>
    <w:rsid w:val="6B891B2E"/>
    <w:rsid w:val="6B8F25DF"/>
    <w:rsid w:val="6B945E48"/>
    <w:rsid w:val="6B9B71D6"/>
    <w:rsid w:val="6B9C561F"/>
    <w:rsid w:val="6BA22313"/>
    <w:rsid w:val="6BA240C1"/>
    <w:rsid w:val="6BA4226C"/>
    <w:rsid w:val="6BA73DCD"/>
    <w:rsid w:val="6BA918F3"/>
    <w:rsid w:val="6BAA7419"/>
    <w:rsid w:val="6BAC75D4"/>
    <w:rsid w:val="6BAD1411"/>
    <w:rsid w:val="6BAF228A"/>
    <w:rsid w:val="6BB34520"/>
    <w:rsid w:val="6BB40495"/>
    <w:rsid w:val="6BB96FA1"/>
    <w:rsid w:val="6BBB054D"/>
    <w:rsid w:val="6BBC3C61"/>
    <w:rsid w:val="6BBE27E3"/>
    <w:rsid w:val="6BCC3834"/>
    <w:rsid w:val="6BCF0C2E"/>
    <w:rsid w:val="6BD14D48"/>
    <w:rsid w:val="6BD66460"/>
    <w:rsid w:val="6BD76A04"/>
    <w:rsid w:val="6BD85D34"/>
    <w:rsid w:val="6BD91AAD"/>
    <w:rsid w:val="6BDA7CFF"/>
    <w:rsid w:val="6BDB5825"/>
    <w:rsid w:val="6BDF3567"/>
    <w:rsid w:val="6BDF5191"/>
    <w:rsid w:val="6BDF5315"/>
    <w:rsid w:val="6BE24E05"/>
    <w:rsid w:val="6BE253A5"/>
    <w:rsid w:val="6BE54C14"/>
    <w:rsid w:val="6BE56D52"/>
    <w:rsid w:val="6BE61A61"/>
    <w:rsid w:val="6BE7241B"/>
    <w:rsid w:val="6BEE7306"/>
    <w:rsid w:val="6BF43F27"/>
    <w:rsid w:val="6BF568E6"/>
    <w:rsid w:val="6BF6440D"/>
    <w:rsid w:val="6BF728A8"/>
    <w:rsid w:val="6BFA6D45"/>
    <w:rsid w:val="6BFD39ED"/>
    <w:rsid w:val="6BFE24D8"/>
    <w:rsid w:val="6BFE3296"/>
    <w:rsid w:val="6BFF7765"/>
    <w:rsid w:val="6C016BE7"/>
    <w:rsid w:val="6C031E71"/>
    <w:rsid w:val="6C036F0B"/>
    <w:rsid w:val="6C046B2A"/>
    <w:rsid w:val="6C0C1E82"/>
    <w:rsid w:val="6C0C3C30"/>
    <w:rsid w:val="6C103720"/>
    <w:rsid w:val="6C1146AE"/>
    <w:rsid w:val="6C1274B0"/>
    <w:rsid w:val="6C1A459F"/>
    <w:rsid w:val="6C1B20C5"/>
    <w:rsid w:val="6C1B20D8"/>
    <w:rsid w:val="6C1B5205"/>
    <w:rsid w:val="6C1F1BB5"/>
    <w:rsid w:val="6C283C06"/>
    <w:rsid w:val="6C2842F1"/>
    <w:rsid w:val="6C2947E2"/>
    <w:rsid w:val="6C2C6080"/>
    <w:rsid w:val="6C2E004A"/>
    <w:rsid w:val="6C30706D"/>
    <w:rsid w:val="6C3158B3"/>
    <w:rsid w:val="6C3311BD"/>
    <w:rsid w:val="6C332495"/>
    <w:rsid w:val="6C364E1E"/>
    <w:rsid w:val="6C37132C"/>
    <w:rsid w:val="6C384A25"/>
    <w:rsid w:val="6C3A079D"/>
    <w:rsid w:val="6C3C2767"/>
    <w:rsid w:val="6C3D028D"/>
    <w:rsid w:val="6C3D64DF"/>
    <w:rsid w:val="6C3E4C06"/>
    <w:rsid w:val="6C3F5DB4"/>
    <w:rsid w:val="6C4614AB"/>
    <w:rsid w:val="6C474C68"/>
    <w:rsid w:val="6C4F6C96"/>
    <w:rsid w:val="6C520E5F"/>
    <w:rsid w:val="6C5549B4"/>
    <w:rsid w:val="6C5850C7"/>
    <w:rsid w:val="6C5C4BB7"/>
    <w:rsid w:val="6C6121CE"/>
    <w:rsid w:val="6C636C38"/>
    <w:rsid w:val="6C647510"/>
    <w:rsid w:val="6C6B6BA9"/>
    <w:rsid w:val="6C6D154A"/>
    <w:rsid w:val="6C6D2921"/>
    <w:rsid w:val="6C6D7414"/>
    <w:rsid w:val="6C6E6699"/>
    <w:rsid w:val="6C7A3290"/>
    <w:rsid w:val="6C7F08A6"/>
    <w:rsid w:val="6C7F4402"/>
    <w:rsid w:val="6C843DE2"/>
    <w:rsid w:val="6C84721D"/>
    <w:rsid w:val="6C856090"/>
    <w:rsid w:val="6C866D48"/>
    <w:rsid w:val="6C8934D3"/>
    <w:rsid w:val="6C895281"/>
    <w:rsid w:val="6C8A0A72"/>
    <w:rsid w:val="6C8B0FF9"/>
    <w:rsid w:val="6C8B37C3"/>
    <w:rsid w:val="6C8C6B1F"/>
    <w:rsid w:val="6C923532"/>
    <w:rsid w:val="6C953C26"/>
    <w:rsid w:val="6C9600A2"/>
    <w:rsid w:val="6C960EAB"/>
    <w:rsid w:val="6C983716"/>
    <w:rsid w:val="6C9A123C"/>
    <w:rsid w:val="6C9C6D62"/>
    <w:rsid w:val="6CA20189"/>
    <w:rsid w:val="6CA779CB"/>
    <w:rsid w:val="6CA9147F"/>
    <w:rsid w:val="6CAA691B"/>
    <w:rsid w:val="6CAB6FEC"/>
    <w:rsid w:val="6CB24C1B"/>
    <w:rsid w:val="6CB467A2"/>
    <w:rsid w:val="6CB8441E"/>
    <w:rsid w:val="6CBD4FF6"/>
    <w:rsid w:val="6CC079EF"/>
    <w:rsid w:val="6CC12C6C"/>
    <w:rsid w:val="6CC30793"/>
    <w:rsid w:val="6CC83FFB"/>
    <w:rsid w:val="6CD40066"/>
    <w:rsid w:val="6CD96208"/>
    <w:rsid w:val="6CDC1854"/>
    <w:rsid w:val="6CDE0AE8"/>
    <w:rsid w:val="6CDE381E"/>
    <w:rsid w:val="6CDF1459"/>
    <w:rsid w:val="6CE1418C"/>
    <w:rsid w:val="6CE32BE3"/>
    <w:rsid w:val="6CE8644B"/>
    <w:rsid w:val="6CE93F71"/>
    <w:rsid w:val="6CEB5F3B"/>
    <w:rsid w:val="6CED3A62"/>
    <w:rsid w:val="6CEE4F56"/>
    <w:rsid w:val="6CF21078"/>
    <w:rsid w:val="6CF43042"/>
    <w:rsid w:val="6CF45339"/>
    <w:rsid w:val="6CF453EC"/>
    <w:rsid w:val="6CF50B68"/>
    <w:rsid w:val="6CF7043C"/>
    <w:rsid w:val="6CFF5543"/>
    <w:rsid w:val="6D02266E"/>
    <w:rsid w:val="6D033285"/>
    <w:rsid w:val="6D082649"/>
    <w:rsid w:val="6D093549"/>
    <w:rsid w:val="6D096503"/>
    <w:rsid w:val="6D140FEE"/>
    <w:rsid w:val="6D147240"/>
    <w:rsid w:val="6D156B14"/>
    <w:rsid w:val="6D17288C"/>
    <w:rsid w:val="6D1B05CF"/>
    <w:rsid w:val="6D1C7EA3"/>
    <w:rsid w:val="6D2154B9"/>
    <w:rsid w:val="6D25144D"/>
    <w:rsid w:val="6D2606B9"/>
    <w:rsid w:val="6D262AD0"/>
    <w:rsid w:val="6D277756"/>
    <w:rsid w:val="6D2B458A"/>
    <w:rsid w:val="6D2F5E28"/>
    <w:rsid w:val="6D305867"/>
    <w:rsid w:val="6D317DF2"/>
    <w:rsid w:val="6D341690"/>
    <w:rsid w:val="6D360C66"/>
    <w:rsid w:val="6D371181"/>
    <w:rsid w:val="6D394EF9"/>
    <w:rsid w:val="6D3B2A1F"/>
    <w:rsid w:val="6D3F3B91"/>
    <w:rsid w:val="6D3F740E"/>
    <w:rsid w:val="6D417909"/>
    <w:rsid w:val="6D443B19"/>
    <w:rsid w:val="6D4443A5"/>
    <w:rsid w:val="6D4653C0"/>
    <w:rsid w:val="6D4B1CBB"/>
    <w:rsid w:val="6D502F5C"/>
    <w:rsid w:val="6D5217F3"/>
    <w:rsid w:val="6D52740E"/>
    <w:rsid w:val="6D53184E"/>
    <w:rsid w:val="6D5369F3"/>
    <w:rsid w:val="6D556455"/>
    <w:rsid w:val="6D5A1EC1"/>
    <w:rsid w:val="6D5B6C1D"/>
    <w:rsid w:val="6D5E495F"/>
    <w:rsid w:val="6D61130D"/>
    <w:rsid w:val="6D620ACE"/>
    <w:rsid w:val="6D673814"/>
    <w:rsid w:val="6D68133A"/>
    <w:rsid w:val="6D6A50B2"/>
    <w:rsid w:val="6D6C0E2A"/>
    <w:rsid w:val="6D716441"/>
    <w:rsid w:val="6D7D0630"/>
    <w:rsid w:val="6D7F4CE1"/>
    <w:rsid w:val="6D803BC9"/>
    <w:rsid w:val="6D8141AA"/>
    <w:rsid w:val="6D8433DC"/>
    <w:rsid w:val="6D851EEC"/>
    <w:rsid w:val="6D8819DC"/>
    <w:rsid w:val="6D88510F"/>
    <w:rsid w:val="6D8A12B0"/>
    <w:rsid w:val="6D940381"/>
    <w:rsid w:val="6D9618B1"/>
    <w:rsid w:val="6D9C1930"/>
    <w:rsid w:val="6D9E059F"/>
    <w:rsid w:val="6D9E3E83"/>
    <w:rsid w:val="6D9E4D5C"/>
    <w:rsid w:val="6DA13F45"/>
    <w:rsid w:val="6DA531CF"/>
    <w:rsid w:val="6DA71E62"/>
    <w:rsid w:val="6DA83F86"/>
    <w:rsid w:val="6DA92F02"/>
    <w:rsid w:val="6DA93E2C"/>
    <w:rsid w:val="6DAB2C8A"/>
    <w:rsid w:val="6DAB4FF7"/>
    <w:rsid w:val="6DAC56CB"/>
    <w:rsid w:val="6DAD4F9F"/>
    <w:rsid w:val="6DB34098"/>
    <w:rsid w:val="6DB371CF"/>
    <w:rsid w:val="6DB545B6"/>
    <w:rsid w:val="6DB63E2B"/>
    <w:rsid w:val="6DBA50FC"/>
    <w:rsid w:val="6DBE5613"/>
    <w:rsid w:val="6DC75434"/>
    <w:rsid w:val="6DCA3DA3"/>
    <w:rsid w:val="6DCA78FF"/>
    <w:rsid w:val="6DD10452"/>
    <w:rsid w:val="6DD24A05"/>
    <w:rsid w:val="6DDB5FB0"/>
    <w:rsid w:val="6DDF784E"/>
    <w:rsid w:val="6DE02FB4"/>
    <w:rsid w:val="6DE035C6"/>
    <w:rsid w:val="6DE23EF6"/>
    <w:rsid w:val="6DE24C48"/>
    <w:rsid w:val="6DE2733E"/>
    <w:rsid w:val="6DE36966"/>
    <w:rsid w:val="6DE50BDD"/>
    <w:rsid w:val="6DE5298B"/>
    <w:rsid w:val="6DE72678"/>
    <w:rsid w:val="6DEC1F6B"/>
    <w:rsid w:val="6DEC3CE4"/>
    <w:rsid w:val="6DEC5AC7"/>
    <w:rsid w:val="6DEE7A91"/>
    <w:rsid w:val="6DF350A8"/>
    <w:rsid w:val="6DF66946"/>
    <w:rsid w:val="6DFC340E"/>
    <w:rsid w:val="6DFE57FA"/>
    <w:rsid w:val="6DFF5B12"/>
    <w:rsid w:val="6E003712"/>
    <w:rsid w:val="6E032E11"/>
    <w:rsid w:val="6E041063"/>
    <w:rsid w:val="6E0949F7"/>
    <w:rsid w:val="6E0D7EC3"/>
    <w:rsid w:val="6E0F52F8"/>
    <w:rsid w:val="6E103E75"/>
    <w:rsid w:val="6E13574A"/>
    <w:rsid w:val="6E14501E"/>
    <w:rsid w:val="6E160D96"/>
    <w:rsid w:val="6E173CD6"/>
    <w:rsid w:val="6E1B5EFB"/>
    <w:rsid w:val="6E1F7C4B"/>
    <w:rsid w:val="6E250FD9"/>
    <w:rsid w:val="6E276AFF"/>
    <w:rsid w:val="6E2C680B"/>
    <w:rsid w:val="6E2E03ED"/>
    <w:rsid w:val="6E2E49F3"/>
    <w:rsid w:val="6E2F47F9"/>
    <w:rsid w:val="6E34121C"/>
    <w:rsid w:val="6E394AF1"/>
    <w:rsid w:val="6E415A81"/>
    <w:rsid w:val="6E4B47B0"/>
    <w:rsid w:val="6E4E22DE"/>
    <w:rsid w:val="6E514CED"/>
    <w:rsid w:val="6E5210EE"/>
    <w:rsid w:val="6E5C4C9A"/>
    <w:rsid w:val="6E5E0A54"/>
    <w:rsid w:val="6E5E1360"/>
    <w:rsid w:val="6E5F273D"/>
    <w:rsid w:val="6E625D89"/>
    <w:rsid w:val="6E662F59"/>
    <w:rsid w:val="6E6637E5"/>
    <w:rsid w:val="6E691639"/>
    <w:rsid w:val="6E6A491D"/>
    <w:rsid w:val="6E6E59F0"/>
    <w:rsid w:val="6E740745"/>
    <w:rsid w:val="6E7475A2"/>
    <w:rsid w:val="6E773506"/>
    <w:rsid w:val="6E775756"/>
    <w:rsid w:val="6E777A87"/>
    <w:rsid w:val="6E781A51"/>
    <w:rsid w:val="6E7855AD"/>
    <w:rsid w:val="6E7A1325"/>
    <w:rsid w:val="6E7C1B49"/>
    <w:rsid w:val="6E7D0E15"/>
    <w:rsid w:val="6E810716"/>
    <w:rsid w:val="6E82467D"/>
    <w:rsid w:val="6E82642B"/>
    <w:rsid w:val="6E830E74"/>
    <w:rsid w:val="6E865F1C"/>
    <w:rsid w:val="6E867CCA"/>
    <w:rsid w:val="6E8C4383"/>
    <w:rsid w:val="6E8D6012"/>
    <w:rsid w:val="6E9028F6"/>
    <w:rsid w:val="6E916D44"/>
    <w:rsid w:val="6E94481B"/>
    <w:rsid w:val="6E9A5523"/>
    <w:rsid w:val="6E9E14B7"/>
    <w:rsid w:val="6EA04B62"/>
    <w:rsid w:val="6EA12D56"/>
    <w:rsid w:val="6EA136DF"/>
    <w:rsid w:val="6EA13A4A"/>
    <w:rsid w:val="6EA22C9D"/>
    <w:rsid w:val="6EA23374"/>
    <w:rsid w:val="6EA63EC8"/>
    <w:rsid w:val="6EA75E92"/>
    <w:rsid w:val="6EA77C40"/>
    <w:rsid w:val="6EA861BC"/>
    <w:rsid w:val="6EAA776F"/>
    <w:rsid w:val="6EAC5256"/>
    <w:rsid w:val="6EAF124A"/>
    <w:rsid w:val="6EB02F99"/>
    <w:rsid w:val="6EB1286D"/>
    <w:rsid w:val="6EB5223C"/>
    <w:rsid w:val="6EB563D5"/>
    <w:rsid w:val="6EB93246"/>
    <w:rsid w:val="6EBA19EF"/>
    <w:rsid w:val="6EBB192F"/>
    <w:rsid w:val="6EBF78EC"/>
    <w:rsid w:val="6EC46A44"/>
    <w:rsid w:val="6EC57260"/>
    <w:rsid w:val="6EC7099E"/>
    <w:rsid w:val="6EC86534"/>
    <w:rsid w:val="6ECB392F"/>
    <w:rsid w:val="6ED053E9"/>
    <w:rsid w:val="6ED20C37"/>
    <w:rsid w:val="6ED70525"/>
    <w:rsid w:val="6ED92677"/>
    <w:rsid w:val="6EE246B2"/>
    <w:rsid w:val="6EE24EE2"/>
    <w:rsid w:val="6EE67BF2"/>
    <w:rsid w:val="6EE94D7F"/>
    <w:rsid w:val="6EE964AB"/>
    <w:rsid w:val="6EED6160"/>
    <w:rsid w:val="6EED6D4C"/>
    <w:rsid w:val="6EF428F1"/>
    <w:rsid w:val="6EF530A1"/>
    <w:rsid w:val="6EF822A2"/>
    <w:rsid w:val="6EFD5556"/>
    <w:rsid w:val="6EFE1F56"/>
    <w:rsid w:val="6EFE46BB"/>
    <w:rsid w:val="6F0B4673"/>
    <w:rsid w:val="6F0B7163"/>
    <w:rsid w:val="6F0C32C3"/>
    <w:rsid w:val="6F0C5929"/>
    <w:rsid w:val="6F141779"/>
    <w:rsid w:val="6F160EC3"/>
    <w:rsid w:val="6F175262"/>
    <w:rsid w:val="6F1D7E93"/>
    <w:rsid w:val="6F1E43A6"/>
    <w:rsid w:val="6F1F39F4"/>
    <w:rsid w:val="6F225983"/>
    <w:rsid w:val="6F240401"/>
    <w:rsid w:val="6F2614AD"/>
    <w:rsid w:val="6F282B2F"/>
    <w:rsid w:val="6F285225"/>
    <w:rsid w:val="6F2968A7"/>
    <w:rsid w:val="6F2F210F"/>
    <w:rsid w:val="6F323B40"/>
    <w:rsid w:val="6F385CDC"/>
    <w:rsid w:val="6F3A0A5C"/>
    <w:rsid w:val="6F3B6D06"/>
    <w:rsid w:val="6F3B6F52"/>
    <w:rsid w:val="6F3C5F3C"/>
    <w:rsid w:val="6F40431D"/>
    <w:rsid w:val="6F492394"/>
    <w:rsid w:val="6F4A6F49"/>
    <w:rsid w:val="6F4B556B"/>
    <w:rsid w:val="6F4D083E"/>
    <w:rsid w:val="6F4E0CB0"/>
    <w:rsid w:val="6F526BC2"/>
    <w:rsid w:val="6F551878"/>
    <w:rsid w:val="6F565E30"/>
    <w:rsid w:val="6F5A6406"/>
    <w:rsid w:val="6F5C0A2B"/>
    <w:rsid w:val="6F6124E5"/>
    <w:rsid w:val="6F6322D5"/>
    <w:rsid w:val="6F656188"/>
    <w:rsid w:val="6F657689"/>
    <w:rsid w:val="6F667AFB"/>
    <w:rsid w:val="6F6D46CD"/>
    <w:rsid w:val="6F6D49E6"/>
    <w:rsid w:val="6F76182F"/>
    <w:rsid w:val="6F773AB6"/>
    <w:rsid w:val="6F7743DD"/>
    <w:rsid w:val="6F7A7103"/>
    <w:rsid w:val="6F7B79E8"/>
    <w:rsid w:val="6F7C5FB9"/>
    <w:rsid w:val="6F814935"/>
    <w:rsid w:val="6F83245B"/>
    <w:rsid w:val="6F8561D3"/>
    <w:rsid w:val="6F885CC3"/>
    <w:rsid w:val="6F8A5598"/>
    <w:rsid w:val="6F8B7571"/>
    <w:rsid w:val="6F8B7A92"/>
    <w:rsid w:val="6F8D32DA"/>
    <w:rsid w:val="6F8D6E36"/>
    <w:rsid w:val="6F8F7052"/>
    <w:rsid w:val="6F904202"/>
    <w:rsid w:val="6F930BF3"/>
    <w:rsid w:val="6F95026E"/>
    <w:rsid w:val="6F96218E"/>
    <w:rsid w:val="6F98353C"/>
    <w:rsid w:val="6F9957DB"/>
    <w:rsid w:val="6F9A5078"/>
    <w:rsid w:val="6F9B1553"/>
    <w:rsid w:val="6FA10B33"/>
    <w:rsid w:val="6FA36659"/>
    <w:rsid w:val="6FA67EF8"/>
    <w:rsid w:val="6FA81EC2"/>
    <w:rsid w:val="6FAB550E"/>
    <w:rsid w:val="6FAC1DA0"/>
    <w:rsid w:val="6FAC5D4C"/>
    <w:rsid w:val="6FB22D40"/>
    <w:rsid w:val="6FB67229"/>
    <w:rsid w:val="6FB71234"/>
    <w:rsid w:val="6FBE16E5"/>
    <w:rsid w:val="6FC2282B"/>
    <w:rsid w:val="6FC860C0"/>
    <w:rsid w:val="6FCA008A"/>
    <w:rsid w:val="6FCA2A16"/>
    <w:rsid w:val="6FD103AA"/>
    <w:rsid w:val="6FD14A67"/>
    <w:rsid w:val="6FD20CED"/>
    <w:rsid w:val="6FD42CB7"/>
    <w:rsid w:val="6FD607DD"/>
    <w:rsid w:val="6FE10349"/>
    <w:rsid w:val="6FE729EA"/>
    <w:rsid w:val="6FEC6252"/>
    <w:rsid w:val="6FEE5088"/>
    <w:rsid w:val="6FEF32A1"/>
    <w:rsid w:val="6FF0358B"/>
    <w:rsid w:val="6FF11ABB"/>
    <w:rsid w:val="6FF5639F"/>
    <w:rsid w:val="6FF62C2D"/>
    <w:rsid w:val="6FF9096F"/>
    <w:rsid w:val="6FFC5590"/>
    <w:rsid w:val="6FFD220E"/>
    <w:rsid w:val="6FFE7D34"/>
    <w:rsid w:val="6FFF7808"/>
    <w:rsid w:val="70017C18"/>
    <w:rsid w:val="70095D9A"/>
    <w:rsid w:val="700A5361"/>
    <w:rsid w:val="700D682A"/>
    <w:rsid w:val="700F0193"/>
    <w:rsid w:val="70136494"/>
    <w:rsid w:val="70141305"/>
    <w:rsid w:val="701A1D38"/>
    <w:rsid w:val="701C6F91"/>
    <w:rsid w:val="701D465E"/>
    <w:rsid w:val="702459EC"/>
    <w:rsid w:val="70251E31"/>
    <w:rsid w:val="70274864"/>
    <w:rsid w:val="70282154"/>
    <w:rsid w:val="702C48A1"/>
    <w:rsid w:val="702D46D3"/>
    <w:rsid w:val="7033349E"/>
    <w:rsid w:val="70335C2F"/>
    <w:rsid w:val="703419D5"/>
    <w:rsid w:val="70366B8A"/>
    <w:rsid w:val="703A6FBE"/>
    <w:rsid w:val="703D085C"/>
    <w:rsid w:val="703D260A"/>
    <w:rsid w:val="703E3AEF"/>
    <w:rsid w:val="70416FE8"/>
    <w:rsid w:val="70462679"/>
    <w:rsid w:val="70487260"/>
    <w:rsid w:val="704F058F"/>
    <w:rsid w:val="704F233D"/>
    <w:rsid w:val="70551791"/>
    <w:rsid w:val="70567B70"/>
    <w:rsid w:val="705A7660"/>
    <w:rsid w:val="705B6F34"/>
    <w:rsid w:val="705C0DE1"/>
    <w:rsid w:val="705C2D71"/>
    <w:rsid w:val="705D2CAC"/>
    <w:rsid w:val="70607562"/>
    <w:rsid w:val="706758D9"/>
    <w:rsid w:val="706C7393"/>
    <w:rsid w:val="706D1DD0"/>
    <w:rsid w:val="707029DF"/>
    <w:rsid w:val="707B1974"/>
    <w:rsid w:val="707C234E"/>
    <w:rsid w:val="707D50FC"/>
    <w:rsid w:val="707F0E75"/>
    <w:rsid w:val="708017B4"/>
    <w:rsid w:val="70853FB1"/>
    <w:rsid w:val="70856B87"/>
    <w:rsid w:val="7087270D"/>
    <w:rsid w:val="708E2E66"/>
    <w:rsid w:val="708E730A"/>
    <w:rsid w:val="70904E30"/>
    <w:rsid w:val="70951C1E"/>
    <w:rsid w:val="709541F4"/>
    <w:rsid w:val="709D16AE"/>
    <w:rsid w:val="709D4536"/>
    <w:rsid w:val="70A068F9"/>
    <w:rsid w:val="70A1528F"/>
    <w:rsid w:val="70A46B2D"/>
    <w:rsid w:val="70A611EB"/>
    <w:rsid w:val="70AA3FCA"/>
    <w:rsid w:val="70AE52B6"/>
    <w:rsid w:val="70B623BC"/>
    <w:rsid w:val="70BC3E77"/>
    <w:rsid w:val="70C1148D"/>
    <w:rsid w:val="70C40F7D"/>
    <w:rsid w:val="70C8281B"/>
    <w:rsid w:val="70C94159"/>
    <w:rsid w:val="70CA03E7"/>
    <w:rsid w:val="70CA09B8"/>
    <w:rsid w:val="70CB269D"/>
    <w:rsid w:val="70D016D0"/>
    <w:rsid w:val="70D5011B"/>
    <w:rsid w:val="70D527EE"/>
    <w:rsid w:val="70D53553"/>
    <w:rsid w:val="70DA254F"/>
    <w:rsid w:val="70DE203F"/>
    <w:rsid w:val="70DF5DB7"/>
    <w:rsid w:val="70E05BFC"/>
    <w:rsid w:val="70E1568B"/>
    <w:rsid w:val="70E3190F"/>
    <w:rsid w:val="70E645B8"/>
    <w:rsid w:val="70E64A50"/>
    <w:rsid w:val="70EF6E22"/>
    <w:rsid w:val="70F132F4"/>
    <w:rsid w:val="70FC4273"/>
    <w:rsid w:val="71000B1B"/>
    <w:rsid w:val="710238A4"/>
    <w:rsid w:val="7105445C"/>
    <w:rsid w:val="71063BA2"/>
    <w:rsid w:val="710B2708"/>
    <w:rsid w:val="710B44B6"/>
    <w:rsid w:val="710B6BAC"/>
    <w:rsid w:val="710C022E"/>
    <w:rsid w:val="71110948"/>
    <w:rsid w:val="711361A6"/>
    <w:rsid w:val="7113780F"/>
    <w:rsid w:val="711517D9"/>
    <w:rsid w:val="71184DC4"/>
    <w:rsid w:val="711C0290"/>
    <w:rsid w:val="71211781"/>
    <w:rsid w:val="71221260"/>
    <w:rsid w:val="71235CA4"/>
    <w:rsid w:val="712612F0"/>
    <w:rsid w:val="71297032"/>
    <w:rsid w:val="712B2DAA"/>
    <w:rsid w:val="71312ADB"/>
    <w:rsid w:val="71341527"/>
    <w:rsid w:val="71381023"/>
    <w:rsid w:val="713F0604"/>
    <w:rsid w:val="71423A9C"/>
    <w:rsid w:val="714670CB"/>
    <w:rsid w:val="71467BE4"/>
    <w:rsid w:val="7148395C"/>
    <w:rsid w:val="714D0F73"/>
    <w:rsid w:val="714D6337"/>
    <w:rsid w:val="71520337"/>
    <w:rsid w:val="71546C97"/>
    <w:rsid w:val="715A3DCC"/>
    <w:rsid w:val="715B5300"/>
    <w:rsid w:val="715E6CDC"/>
    <w:rsid w:val="716167CC"/>
    <w:rsid w:val="71685DAD"/>
    <w:rsid w:val="71692C8E"/>
    <w:rsid w:val="716952A0"/>
    <w:rsid w:val="71707F90"/>
    <w:rsid w:val="717618D6"/>
    <w:rsid w:val="71771B4C"/>
    <w:rsid w:val="717C1858"/>
    <w:rsid w:val="717C6E02"/>
    <w:rsid w:val="71812492"/>
    <w:rsid w:val="718161BB"/>
    <w:rsid w:val="71816E6E"/>
    <w:rsid w:val="71834994"/>
    <w:rsid w:val="7189340A"/>
    <w:rsid w:val="718D37B8"/>
    <w:rsid w:val="718D5813"/>
    <w:rsid w:val="718E0D4C"/>
    <w:rsid w:val="71946BA2"/>
    <w:rsid w:val="71947ED4"/>
    <w:rsid w:val="71964031"/>
    <w:rsid w:val="71983729"/>
    <w:rsid w:val="719941B8"/>
    <w:rsid w:val="719974E5"/>
    <w:rsid w:val="719B1CDE"/>
    <w:rsid w:val="719C5A56"/>
    <w:rsid w:val="719D0E3D"/>
    <w:rsid w:val="719E17CE"/>
    <w:rsid w:val="71A010A2"/>
    <w:rsid w:val="71A022C9"/>
    <w:rsid w:val="71A20079"/>
    <w:rsid w:val="71AC3EEB"/>
    <w:rsid w:val="71AE5C77"/>
    <w:rsid w:val="71B2527A"/>
    <w:rsid w:val="71B26913"/>
    <w:rsid w:val="71BB412E"/>
    <w:rsid w:val="71BC3A02"/>
    <w:rsid w:val="71BD65DB"/>
    <w:rsid w:val="71C05B60"/>
    <w:rsid w:val="71C11019"/>
    <w:rsid w:val="71C32FE3"/>
    <w:rsid w:val="71C34D91"/>
    <w:rsid w:val="71C35F39"/>
    <w:rsid w:val="71C36258"/>
    <w:rsid w:val="71C6046E"/>
    <w:rsid w:val="71CC00E9"/>
    <w:rsid w:val="71CD79BE"/>
    <w:rsid w:val="71CE33FE"/>
    <w:rsid w:val="71D02C6B"/>
    <w:rsid w:val="71D27F8A"/>
    <w:rsid w:val="71D47469"/>
    <w:rsid w:val="71D76A8E"/>
    <w:rsid w:val="71D92806"/>
    <w:rsid w:val="71DC2FB0"/>
    <w:rsid w:val="71DE7E1D"/>
    <w:rsid w:val="71E202B2"/>
    <w:rsid w:val="71E33685"/>
    <w:rsid w:val="71E35433"/>
    <w:rsid w:val="71E557A3"/>
    <w:rsid w:val="71E66C33"/>
    <w:rsid w:val="71E96704"/>
    <w:rsid w:val="71EC14E5"/>
    <w:rsid w:val="71ED00B9"/>
    <w:rsid w:val="71ED1E48"/>
    <w:rsid w:val="71F5711F"/>
    <w:rsid w:val="72014A6F"/>
    <w:rsid w:val="72071122"/>
    <w:rsid w:val="72073209"/>
    <w:rsid w:val="720A6E64"/>
    <w:rsid w:val="72101FFE"/>
    <w:rsid w:val="72121874"/>
    <w:rsid w:val="72135D18"/>
    <w:rsid w:val="72140101"/>
    <w:rsid w:val="72140DF5"/>
    <w:rsid w:val="72141A90"/>
    <w:rsid w:val="72183203"/>
    <w:rsid w:val="721904C7"/>
    <w:rsid w:val="721E46BD"/>
    <w:rsid w:val="721E6481"/>
    <w:rsid w:val="722021E3"/>
    <w:rsid w:val="72263F71"/>
    <w:rsid w:val="72264648"/>
    <w:rsid w:val="72281098"/>
    <w:rsid w:val="72295B7C"/>
    <w:rsid w:val="722F68CA"/>
    <w:rsid w:val="72324ED7"/>
    <w:rsid w:val="7238752D"/>
    <w:rsid w:val="723932A5"/>
    <w:rsid w:val="72395053"/>
    <w:rsid w:val="723D0341"/>
    <w:rsid w:val="723D2D95"/>
    <w:rsid w:val="7241451B"/>
    <w:rsid w:val="72440334"/>
    <w:rsid w:val="724539F8"/>
    <w:rsid w:val="7248033A"/>
    <w:rsid w:val="72485C58"/>
    <w:rsid w:val="724C122A"/>
    <w:rsid w:val="724E11C4"/>
    <w:rsid w:val="72536115"/>
    <w:rsid w:val="725400DF"/>
    <w:rsid w:val="72553024"/>
    <w:rsid w:val="72575F8A"/>
    <w:rsid w:val="725E2D0C"/>
    <w:rsid w:val="7262159C"/>
    <w:rsid w:val="72623B00"/>
    <w:rsid w:val="72642132"/>
    <w:rsid w:val="726447C6"/>
    <w:rsid w:val="72673320"/>
    <w:rsid w:val="72676064"/>
    <w:rsid w:val="72693B8A"/>
    <w:rsid w:val="726C367A"/>
    <w:rsid w:val="726E2F4F"/>
    <w:rsid w:val="7270316B"/>
    <w:rsid w:val="727051DB"/>
    <w:rsid w:val="727069B4"/>
    <w:rsid w:val="72710C91"/>
    <w:rsid w:val="727128B9"/>
    <w:rsid w:val="72716CD3"/>
    <w:rsid w:val="727366E6"/>
    <w:rsid w:val="727C7116"/>
    <w:rsid w:val="727D13E4"/>
    <w:rsid w:val="727D7636"/>
    <w:rsid w:val="72822E9E"/>
    <w:rsid w:val="72830A80"/>
    <w:rsid w:val="728409C4"/>
    <w:rsid w:val="72843DBF"/>
    <w:rsid w:val="72847679"/>
    <w:rsid w:val="72855C0C"/>
    <w:rsid w:val="72895FDA"/>
    <w:rsid w:val="728A0640"/>
    <w:rsid w:val="728B1DE3"/>
    <w:rsid w:val="728B2953"/>
    <w:rsid w:val="72930C07"/>
    <w:rsid w:val="729329B5"/>
    <w:rsid w:val="729B4FAB"/>
    <w:rsid w:val="729D3834"/>
    <w:rsid w:val="729D55E2"/>
    <w:rsid w:val="72A03324"/>
    <w:rsid w:val="72A746B3"/>
    <w:rsid w:val="72A76461"/>
    <w:rsid w:val="72A93F87"/>
    <w:rsid w:val="72AB13CD"/>
    <w:rsid w:val="72AB713A"/>
    <w:rsid w:val="72AC3A77"/>
    <w:rsid w:val="72B11A15"/>
    <w:rsid w:val="72B55021"/>
    <w:rsid w:val="72BB227F"/>
    <w:rsid w:val="72BE3DD7"/>
    <w:rsid w:val="72BF19FC"/>
    <w:rsid w:val="72C37A54"/>
    <w:rsid w:val="72C45265"/>
    <w:rsid w:val="72C65A98"/>
    <w:rsid w:val="72C871C1"/>
    <w:rsid w:val="72C877EB"/>
    <w:rsid w:val="72CA13FC"/>
    <w:rsid w:val="72CA465D"/>
    <w:rsid w:val="72CB65F3"/>
    <w:rsid w:val="72CB7383"/>
    <w:rsid w:val="72CC08E1"/>
    <w:rsid w:val="72D03C09"/>
    <w:rsid w:val="72D3107D"/>
    <w:rsid w:val="72D57472"/>
    <w:rsid w:val="72DA05E4"/>
    <w:rsid w:val="72DD00D4"/>
    <w:rsid w:val="72E2393D"/>
    <w:rsid w:val="72E66640"/>
    <w:rsid w:val="72E70F53"/>
    <w:rsid w:val="72E72D01"/>
    <w:rsid w:val="72EA3CCB"/>
    <w:rsid w:val="72EB0A43"/>
    <w:rsid w:val="72EE2610"/>
    <w:rsid w:val="72EF6671"/>
    <w:rsid w:val="72F34117"/>
    <w:rsid w:val="72F35CE0"/>
    <w:rsid w:val="72F378F8"/>
    <w:rsid w:val="72F62F44"/>
    <w:rsid w:val="72FA6ED8"/>
    <w:rsid w:val="72FC3F36"/>
    <w:rsid w:val="72FC49FE"/>
    <w:rsid w:val="72FD109F"/>
    <w:rsid w:val="73007857"/>
    <w:rsid w:val="73041B05"/>
    <w:rsid w:val="730579C3"/>
    <w:rsid w:val="731004AA"/>
    <w:rsid w:val="7311057B"/>
    <w:rsid w:val="73117D7E"/>
    <w:rsid w:val="73122968"/>
    <w:rsid w:val="73125FD0"/>
    <w:rsid w:val="73155AC0"/>
    <w:rsid w:val="73165394"/>
    <w:rsid w:val="73184578"/>
    <w:rsid w:val="731B2ABD"/>
    <w:rsid w:val="731C6E4F"/>
    <w:rsid w:val="731D465B"/>
    <w:rsid w:val="731D6723"/>
    <w:rsid w:val="731F5D5E"/>
    <w:rsid w:val="73216213"/>
    <w:rsid w:val="73261A7B"/>
    <w:rsid w:val="7329331A"/>
    <w:rsid w:val="732B25B2"/>
    <w:rsid w:val="7330258E"/>
    <w:rsid w:val="73311D53"/>
    <w:rsid w:val="733456E0"/>
    <w:rsid w:val="73373C88"/>
    <w:rsid w:val="733A0A1E"/>
    <w:rsid w:val="733A72D5"/>
    <w:rsid w:val="733D0DD5"/>
    <w:rsid w:val="733D60BC"/>
    <w:rsid w:val="734737A0"/>
    <w:rsid w:val="73482D7D"/>
    <w:rsid w:val="73487410"/>
    <w:rsid w:val="734A4ADE"/>
    <w:rsid w:val="734B3186"/>
    <w:rsid w:val="734C0DB6"/>
    <w:rsid w:val="734D7008"/>
    <w:rsid w:val="734E2D80"/>
    <w:rsid w:val="734E5E3C"/>
    <w:rsid w:val="73532145"/>
    <w:rsid w:val="73552361"/>
    <w:rsid w:val="7356781F"/>
    <w:rsid w:val="735C36EF"/>
    <w:rsid w:val="735E1767"/>
    <w:rsid w:val="735F2305"/>
    <w:rsid w:val="73636FEB"/>
    <w:rsid w:val="73653BD3"/>
    <w:rsid w:val="73666F0F"/>
    <w:rsid w:val="73667929"/>
    <w:rsid w:val="73674EC7"/>
    <w:rsid w:val="73697BBA"/>
    <w:rsid w:val="736B0D9F"/>
    <w:rsid w:val="736D356D"/>
    <w:rsid w:val="7372081D"/>
    <w:rsid w:val="737230F7"/>
    <w:rsid w:val="73724D47"/>
    <w:rsid w:val="73753AC8"/>
    <w:rsid w:val="737547B1"/>
    <w:rsid w:val="73797DFD"/>
    <w:rsid w:val="737A3B75"/>
    <w:rsid w:val="737E36A1"/>
    <w:rsid w:val="73815756"/>
    <w:rsid w:val="738467A2"/>
    <w:rsid w:val="73886292"/>
    <w:rsid w:val="738B5D82"/>
    <w:rsid w:val="73903399"/>
    <w:rsid w:val="739254E7"/>
    <w:rsid w:val="73925FA9"/>
    <w:rsid w:val="73970283"/>
    <w:rsid w:val="73972979"/>
    <w:rsid w:val="73977025"/>
    <w:rsid w:val="739B4217"/>
    <w:rsid w:val="739C491A"/>
    <w:rsid w:val="739E7864"/>
    <w:rsid w:val="73A03F23"/>
    <w:rsid w:val="73A330CC"/>
    <w:rsid w:val="73A86F97"/>
    <w:rsid w:val="73AD04B2"/>
    <w:rsid w:val="73AD50B0"/>
    <w:rsid w:val="73AD70AD"/>
    <w:rsid w:val="73AE23C8"/>
    <w:rsid w:val="73B12917"/>
    <w:rsid w:val="73B13A3B"/>
    <w:rsid w:val="73B928EF"/>
    <w:rsid w:val="73BA440F"/>
    <w:rsid w:val="73BB49CC"/>
    <w:rsid w:val="73BC418E"/>
    <w:rsid w:val="73BD2450"/>
    <w:rsid w:val="73BE3A62"/>
    <w:rsid w:val="73C179F6"/>
    <w:rsid w:val="73C51AD5"/>
    <w:rsid w:val="73C611F6"/>
    <w:rsid w:val="73C82B32"/>
    <w:rsid w:val="73CD639B"/>
    <w:rsid w:val="73CD672F"/>
    <w:rsid w:val="73D47E32"/>
    <w:rsid w:val="73DA238F"/>
    <w:rsid w:val="73DB10C1"/>
    <w:rsid w:val="73DB2866"/>
    <w:rsid w:val="73DD4224"/>
    <w:rsid w:val="73DE1B39"/>
    <w:rsid w:val="73DE5EB2"/>
    <w:rsid w:val="73E02D1E"/>
    <w:rsid w:val="73E13BF4"/>
    <w:rsid w:val="73E55492"/>
    <w:rsid w:val="73E757E1"/>
    <w:rsid w:val="73E942E0"/>
    <w:rsid w:val="73ED0347"/>
    <w:rsid w:val="73ED2599"/>
    <w:rsid w:val="73EF1E6D"/>
    <w:rsid w:val="73F03C80"/>
    <w:rsid w:val="73F207EA"/>
    <w:rsid w:val="73F2766C"/>
    <w:rsid w:val="73FF76A9"/>
    <w:rsid w:val="7400407A"/>
    <w:rsid w:val="74024296"/>
    <w:rsid w:val="740441DD"/>
    <w:rsid w:val="740C16A3"/>
    <w:rsid w:val="740D49E9"/>
    <w:rsid w:val="740F42BD"/>
    <w:rsid w:val="74162289"/>
    <w:rsid w:val="7416389E"/>
    <w:rsid w:val="741B5358"/>
    <w:rsid w:val="741E09A4"/>
    <w:rsid w:val="741E6BF6"/>
    <w:rsid w:val="741E793C"/>
    <w:rsid w:val="741F0407"/>
    <w:rsid w:val="7420471D"/>
    <w:rsid w:val="74220495"/>
    <w:rsid w:val="74235B7E"/>
    <w:rsid w:val="742C30C1"/>
    <w:rsid w:val="742F4960"/>
    <w:rsid w:val="743155FD"/>
    <w:rsid w:val="7431692A"/>
    <w:rsid w:val="743261FE"/>
    <w:rsid w:val="74337243"/>
    <w:rsid w:val="74343D24"/>
    <w:rsid w:val="74345F76"/>
    <w:rsid w:val="74363F40"/>
    <w:rsid w:val="743D52CE"/>
    <w:rsid w:val="743F6FC7"/>
    <w:rsid w:val="74406B6D"/>
    <w:rsid w:val="74432072"/>
    <w:rsid w:val="744523D5"/>
    <w:rsid w:val="744918F6"/>
    <w:rsid w:val="744F4027"/>
    <w:rsid w:val="74506D4C"/>
    <w:rsid w:val="74542618"/>
    <w:rsid w:val="7454695B"/>
    <w:rsid w:val="74584AC1"/>
    <w:rsid w:val="745E3944"/>
    <w:rsid w:val="74614EB2"/>
    <w:rsid w:val="7463285B"/>
    <w:rsid w:val="746411EC"/>
    <w:rsid w:val="746932B5"/>
    <w:rsid w:val="746C0790"/>
    <w:rsid w:val="746F2FAE"/>
    <w:rsid w:val="74711570"/>
    <w:rsid w:val="747405C4"/>
    <w:rsid w:val="7476258E"/>
    <w:rsid w:val="747671D2"/>
    <w:rsid w:val="747B5DF7"/>
    <w:rsid w:val="747C191A"/>
    <w:rsid w:val="747D391D"/>
    <w:rsid w:val="7480340D"/>
    <w:rsid w:val="74820899"/>
    <w:rsid w:val="74836A59"/>
    <w:rsid w:val="748922C2"/>
    <w:rsid w:val="748D3F5D"/>
    <w:rsid w:val="7496678D"/>
    <w:rsid w:val="74A4534E"/>
    <w:rsid w:val="74A569D0"/>
    <w:rsid w:val="74A60C5C"/>
    <w:rsid w:val="74A94712"/>
    <w:rsid w:val="74B45D96"/>
    <w:rsid w:val="74B549A6"/>
    <w:rsid w:val="74B708ED"/>
    <w:rsid w:val="74B83E64"/>
    <w:rsid w:val="74BA691F"/>
    <w:rsid w:val="74BF5CE3"/>
    <w:rsid w:val="74C07CAE"/>
    <w:rsid w:val="74C27582"/>
    <w:rsid w:val="74C432FA"/>
    <w:rsid w:val="74C652C4"/>
    <w:rsid w:val="74C72DEA"/>
    <w:rsid w:val="74C76EA4"/>
    <w:rsid w:val="74C90910"/>
    <w:rsid w:val="74CD10C1"/>
    <w:rsid w:val="74D0167A"/>
    <w:rsid w:val="74D3178F"/>
    <w:rsid w:val="74D379E1"/>
    <w:rsid w:val="74D629BE"/>
    <w:rsid w:val="74DA2B1D"/>
    <w:rsid w:val="74DF1EE2"/>
    <w:rsid w:val="74E145D6"/>
    <w:rsid w:val="74E36047"/>
    <w:rsid w:val="74E43205"/>
    <w:rsid w:val="74E4581B"/>
    <w:rsid w:val="74E514C2"/>
    <w:rsid w:val="74E67714"/>
    <w:rsid w:val="74E76FE8"/>
    <w:rsid w:val="74E90FB2"/>
    <w:rsid w:val="74F3598D"/>
    <w:rsid w:val="74FA1909"/>
    <w:rsid w:val="74FB06C4"/>
    <w:rsid w:val="74FE14DE"/>
    <w:rsid w:val="74FF07D6"/>
    <w:rsid w:val="74FF2584"/>
    <w:rsid w:val="75004B37"/>
    <w:rsid w:val="750115F9"/>
    <w:rsid w:val="75022074"/>
    <w:rsid w:val="75063912"/>
    <w:rsid w:val="750A13FE"/>
    <w:rsid w:val="750B0F29"/>
    <w:rsid w:val="750B67BD"/>
    <w:rsid w:val="750C5F2D"/>
    <w:rsid w:val="750D20D8"/>
    <w:rsid w:val="750E2E16"/>
    <w:rsid w:val="750E6C6B"/>
    <w:rsid w:val="75153B55"/>
    <w:rsid w:val="75175143"/>
    <w:rsid w:val="7518696C"/>
    <w:rsid w:val="7519750B"/>
    <w:rsid w:val="751A5610"/>
    <w:rsid w:val="751A73BE"/>
    <w:rsid w:val="751D2A0A"/>
    <w:rsid w:val="751D6BF6"/>
    <w:rsid w:val="751E0D72"/>
    <w:rsid w:val="75226272"/>
    <w:rsid w:val="75261019"/>
    <w:rsid w:val="752833A5"/>
    <w:rsid w:val="75297601"/>
    <w:rsid w:val="752B15CB"/>
    <w:rsid w:val="75330700"/>
    <w:rsid w:val="75330BC7"/>
    <w:rsid w:val="75387745"/>
    <w:rsid w:val="753B7E9C"/>
    <w:rsid w:val="753C37D8"/>
    <w:rsid w:val="754206C3"/>
    <w:rsid w:val="75463B3A"/>
    <w:rsid w:val="754B57C9"/>
    <w:rsid w:val="754F21BC"/>
    <w:rsid w:val="75502C1B"/>
    <w:rsid w:val="75524DAA"/>
    <w:rsid w:val="755723C0"/>
    <w:rsid w:val="75575F1C"/>
    <w:rsid w:val="755B2C17"/>
    <w:rsid w:val="755C3532"/>
    <w:rsid w:val="755E1F27"/>
    <w:rsid w:val="75630D65"/>
    <w:rsid w:val="75644ADD"/>
    <w:rsid w:val="7564688B"/>
    <w:rsid w:val="7567112B"/>
    <w:rsid w:val="75680129"/>
    <w:rsid w:val="756A5E7A"/>
    <w:rsid w:val="756B7C19"/>
    <w:rsid w:val="75703482"/>
    <w:rsid w:val="75734A68"/>
    <w:rsid w:val="75745B3A"/>
    <w:rsid w:val="757545F4"/>
    <w:rsid w:val="75774810"/>
    <w:rsid w:val="757C1E26"/>
    <w:rsid w:val="75897CC2"/>
    <w:rsid w:val="758B4975"/>
    <w:rsid w:val="758D62B1"/>
    <w:rsid w:val="758F74DF"/>
    <w:rsid w:val="75954C96"/>
    <w:rsid w:val="75A44ED9"/>
    <w:rsid w:val="75A82C1C"/>
    <w:rsid w:val="75A82E1A"/>
    <w:rsid w:val="75AB44BA"/>
    <w:rsid w:val="75AD1C8E"/>
    <w:rsid w:val="75AE311E"/>
    <w:rsid w:val="75AF3FAA"/>
    <w:rsid w:val="75AF76CD"/>
    <w:rsid w:val="75B0672C"/>
    <w:rsid w:val="75B07D22"/>
    <w:rsid w:val="75B122C2"/>
    <w:rsid w:val="75B33F76"/>
    <w:rsid w:val="75B55338"/>
    <w:rsid w:val="75B570E6"/>
    <w:rsid w:val="75BA294F"/>
    <w:rsid w:val="75BA6C76"/>
    <w:rsid w:val="75BB0783"/>
    <w:rsid w:val="75BF167C"/>
    <w:rsid w:val="75C0032F"/>
    <w:rsid w:val="75C0447D"/>
    <w:rsid w:val="75C106D6"/>
    <w:rsid w:val="75C169C3"/>
    <w:rsid w:val="75C22A1D"/>
    <w:rsid w:val="75C31803"/>
    <w:rsid w:val="75C31911"/>
    <w:rsid w:val="75C8506C"/>
    <w:rsid w:val="75CB2544"/>
    <w:rsid w:val="75CB4B5C"/>
    <w:rsid w:val="75D354CF"/>
    <w:rsid w:val="75D457BF"/>
    <w:rsid w:val="75D51537"/>
    <w:rsid w:val="75D532E5"/>
    <w:rsid w:val="75D7705D"/>
    <w:rsid w:val="75D91027"/>
    <w:rsid w:val="75D94B83"/>
    <w:rsid w:val="75DA47EA"/>
    <w:rsid w:val="75DC28C5"/>
    <w:rsid w:val="75E02D9C"/>
    <w:rsid w:val="75E0667F"/>
    <w:rsid w:val="75E17EDC"/>
    <w:rsid w:val="75E31EA6"/>
    <w:rsid w:val="75E33C54"/>
    <w:rsid w:val="75E34E1D"/>
    <w:rsid w:val="75E35A02"/>
    <w:rsid w:val="75E579CC"/>
    <w:rsid w:val="75E64A2B"/>
    <w:rsid w:val="75EE59E0"/>
    <w:rsid w:val="75F0011F"/>
    <w:rsid w:val="75F25C45"/>
    <w:rsid w:val="75F3479D"/>
    <w:rsid w:val="75F40514"/>
    <w:rsid w:val="75F55C43"/>
    <w:rsid w:val="75F776FF"/>
    <w:rsid w:val="75F87E73"/>
    <w:rsid w:val="7601232C"/>
    <w:rsid w:val="760435C5"/>
    <w:rsid w:val="76065F2E"/>
    <w:rsid w:val="7608190C"/>
    <w:rsid w:val="760A5684"/>
    <w:rsid w:val="760B4F58"/>
    <w:rsid w:val="760C6600"/>
    <w:rsid w:val="760F78EA"/>
    <w:rsid w:val="76157B85"/>
    <w:rsid w:val="761756AB"/>
    <w:rsid w:val="76204C41"/>
    <w:rsid w:val="76207785"/>
    <w:rsid w:val="76222067"/>
    <w:rsid w:val="7628109B"/>
    <w:rsid w:val="762A1882"/>
    <w:rsid w:val="762A7AD4"/>
    <w:rsid w:val="762B1157"/>
    <w:rsid w:val="762D1373"/>
    <w:rsid w:val="76300779"/>
    <w:rsid w:val="76320737"/>
    <w:rsid w:val="7635099D"/>
    <w:rsid w:val="7639378F"/>
    <w:rsid w:val="763B3A90"/>
    <w:rsid w:val="763D5EC9"/>
    <w:rsid w:val="763E1C7A"/>
    <w:rsid w:val="76405288"/>
    <w:rsid w:val="76413A4D"/>
    <w:rsid w:val="76435C5C"/>
    <w:rsid w:val="76443671"/>
    <w:rsid w:val="76450FFF"/>
    <w:rsid w:val="764D5571"/>
    <w:rsid w:val="76524935"/>
    <w:rsid w:val="765B5EE0"/>
    <w:rsid w:val="765B7C8E"/>
    <w:rsid w:val="765E777E"/>
    <w:rsid w:val="76612DCA"/>
    <w:rsid w:val="76633529"/>
    <w:rsid w:val="76653089"/>
    <w:rsid w:val="76666C8F"/>
    <w:rsid w:val="76684159"/>
    <w:rsid w:val="766A65BC"/>
    <w:rsid w:val="76796366"/>
    <w:rsid w:val="767D522A"/>
    <w:rsid w:val="768216BE"/>
    <w:rsid w:val="76852C06"/>
    <w:rsid w:val="76854D0B"/>
    <w:rsid w:val="76870C4E"/>
    <w:rsid w:val="7687478B"/>
    <w:rsid w:val="76880357"/>
    <w:rsid w:val="768A69CB"/>
    <w:rsid w:val="768C42EB"/>
    <w:rsid w:val="769211D6"/>
    <w:rsid w:val="7692374C"/>
    <w:rsid w:val="769B008A"/>
    <w:rsid w:val="769B62DC"/>
    <w:rsid w:val="769B7E77"/>
    <w:rsid w:val="769E7DAB"/>
    <w:rsid w:val="76A50E7A"/>
    <w:rsid w:val="76AA57A7"/>
    <w:rsid w:val="76AA651F"/>
    <w:rsid w:val="76B4114C"/>
    <w:rsid w:val="76BB24DB"/>
    <w:rsid w:val="76BC735B"/>
    <w:rsid w:val="76BE1FCB"/>
    <w:rsid w:val="76C27966"/>
    <w:rsid w:val="76C57FD5"/>
    <w:rsid w:val="76D05FFC"/>
    <w:rsid w:val="76D53B6A"/>
    <w:rsid w:val="76D65566"/>
    <w:rsid w:val="76D87530"/>
    <w:rsid w:val="76D90BB3"/>
    <w:rsid w:val="76DA3325"/>
    <w:rsid w:val="76DA5057"/>
    <w:rsid w:val="76DD5829"/>
    <w:rsid w:val="76DF08BF"/>
    <w:rsid w:val="76DF2F23"/>
    <w:rsid w:val="76E25CB9"/>
    <w:rsid w:val="76E35B18"/>
    <w:rsid w:val="76E41B79"/>
    <w:rsid w:val="76E9529A"/>
    <w:rsid w:val="76EA2DC0"/>
    <w:rsid w:val="76EB6545"/>
    <w:rsid w:val="76EC08E6"/>
    <w:rsid w:val="76EC6D39"/>
    <w:rsid w:val="76EE0B02"/>
    <w:rsid w:val="76EE28B0"/>
    <w:rsid w:val="76EF6628"/>
    <w:rsid w:val="76F0487A"/>
    <w:rsid w:val="76F16E91"/>
    <w:rsid w:val="76FB230D"/>
    <w:rsid w:val="76FF2D0F"/>
    <w:rsid w:val="77022531"/>
    <w:rsid w:val="770C71DA"/>
    <w:rsid w:val="770F14DB"/>
    <w:rsid w:val="77101B8D"/>
    <w:rsid w:val="77107706"/>
    <w:rsid w:val="77162DC0"/>
    <w:rsid w:val="771816DB"/>
    <w:rsid w:val="77194977"/>
    <w:rsid w:val="771C6966"/>
    <w:rsid w:val="772269FE"/>
    <w:rsid w:val="772462D2"/>
    <w:rsid w:val="772938E8"/>
    <w:rsid w:val="77367FC0"/>
    <w:rsid w:val="773A0A2A"/>
    <w:rsid w:val="773C186D"/>
    <w:rsid w:val="773D3837"/>
    <w:rsid w:val="773D7394"/>
    <w:rsid w:val="773E6472"/>
    <w:rsid w:val="773F4EBA"/>
    <w:rsid w:val="77416E84"/>
    <w:rsid w:val="77446974"/>
    <w:rsid w:val="77465256"/>
    <w:rsid w:val="77470212"/>
    <w:rsid w:val="774E68CA"/>
    <w:rsid w:val="77533A1A"/>
    <w:rsid w:val="775546DD"/>
    <w:rsid w:val="77562203"/>
    <w:rsid w:val="7758241F"/>
    <w:rsid w:val="775A7F45"/>
    <w:rsid w:val="775F37AE"/>
    <w:rsid w:val="77611433"/>
    <w:rsid w:val="77611976"/>
    <w:rsid w:val="7763329E"/>
    <w:rsid w:val="776500DC"/>
    <w:rsid w:val="77660698"/>
    <w:rsid w:val="77690189"/>
    <w:rsid w:val="776B6BD0"/>
    <w:rsid w:val="776C1A27"/>
    <w:rsid w:val="77707E71"/>
    <w:rsid w:val="77756B2D"/>
    <w:rsid w:val="77756E53"/>
    <w:rsid w:val="77762421"/>
    <w:rsid w:val="77796744"/>
    <w:rsid w:val="777C4360"/>
    <w:rsid w:val="777C610E"/>
    <w:rsid w:val="777F5641"/>
    <w:rsid w:val="778139C7"/>
    <w:rsid w:val="77814308"/>
    <w:rsid w:val="77844FC2"/>
    <w:rsid w:val="778D4E7A"/>
    <w:rsid w:val="778E7751"/>
    <w:rsid w:val="779A0A58"/>
    <w:rsid w:val="779C40BA"/>
    <w:rsid w:val="77A411C1"/>
    <w:rsid w:val="77A443EA"/>
    <w:rsid w:val="77A613DD"/>
    <w:rsid w:val="77A64F39"/>
    <w:rsid w:val="77AC105E"/>
    <w:rsid w:val="77B33899"/>
    <w:rsid w:val="77B56B1F"/>
    <w:rsid w:val="77B77146"/>
    <w:rsid w:val="77B8724A"/>
    <w:rsid w:val="77B8776B"/>
    <w:rsid w:val="77BD63B7"/>
    <w:rsid w:val="77C03844"/>
    <w:rsid w:val="77C33D3D"/>
    <w:rsid w:val="77C70C7A"/>
    <w:rsid w:val="77CA2DCE"/>
    <w:rsid w:val="77D53A70"/>
    <w:rsid w:val="77D53CE3"/>
    <w:rsid w:val="77DC6BAC"/>
    <w:rsid w:val="77E139D0"/>
    <w:rsid w:val="77E37423"/>
    <w:rsid w:val="77E42641"/>
    <w:rsid w:val="77E51F05"/>
    <w:rsid w:val="77E5503D"/>
    <w:rsid w:val="77E617D9"/>
    <w:rsid w:val="77E65C7D"/>
    <w:rsid w:val="77E66720"/>
    <w:rsid w:val="77E872FF"/>
    <w:rsid w:val="77EE0F37"/>
    <w:rsid w:val="77F008AA"/>
    <w:rsid w:val="77F4039A"/>
    <w:rsid w:val="77F42148"/>
    <w:rsid w:val="77F739E6"/>
    <w:rsid w:val="77FA2A0C"/>
    <w:rsid w:val="77FC247B"/>
    <w:rsid w:val="77FF627E"/>
    <w:rsid w:val="780103C1"/>
    <w:rsid w:val="78022363"/>
    <w:rsid w:val="780305DD"/>
    <w:rsid w:val="7805352D"/>
    <w:rsid w:val="780A196C"/>
    <w:rsid w:val="780C357D"/>
    <w:rsid w:val="780F09F4"/>
    <w:rsid w:val="7810554D"/>
    <w:rsid w:val="78122AB4"/>
    <w:rsid w:val="78127272"/>
    <w:rsid w:val="781476C3"/>
    <w:rsid w:val="78182DED"/>
    <w:rsid w:val="781B08C4"/>
    <w:rsid w:val="781C169F"/>
    <w:rsid w:val="781F09F2"/>
    <w:rsid w:val="78216CB5"/>
    <w:rsid w:val="782E0B97"/>
    <w:rsid w:val="782F3180"/>
    <w:rsid w:val="78324A1E"/>
    <w:rsid w:val="783469E8"/>
    <w:rsid w:val="783562BD"/>
    <w:rsid w:val="78393FFF"/>
    <w:rsid w:val="783A493F"/>
    <w:rsid w:val="783C3009"/>
    <w:rsid w:val="783E7867"/>
    <w:rsid w:val="783F5401"/>
    <w:rsid w:val="78433D12"/>
    <w:rsid w:val="78435E52"/>
    <w:rsid w:val="78450B7D"/>
    <w:rsid w:val="784C3D32"/>
    <w:rsid w:val="7851759A"/>
    <w:rsid w:val="78580D70"/>
    <w:rsid w:val="78615304"/>
    <w:rsid w:val="786A240A"/>
    <w:rsid w:val="786A41B8"/>
    <w:rsid w:val="78715547"/>
    <w:rsid w:val="78741648"/>
    <w:rsid w:val="78757DBE"/>
    <w:rsid w:val="78764C12"/>
    <w:rsid w:val="787943FB"/>
    <w:rsid w:val="7880578A"/>
    <w:rsid w:val="788077B1"/>
    <w:rsid w:val="78886D34"/>
    <w:rsid w:val="788D5D25"/>
    <w:rsid w:val="78911745"/>
    <w:rsid w:val="789254BD"/>
    <w:rsid w:val="78931DC3"/>
    <w:rsid w:val="789456D9"/>
    <w:rsid w:val="789631FF"/>
    <w:rsid w:val="78994A9D"/>
    <w:rsid w:val="789B0816"/>
    <w:rsid w:val="789D734B"/>
    <w:rsid w:val="789E20B4"/>
    <w:rsid w:val="78A0074A"/>
    <w:rsid w:val="78A23952"/>
    <w:rsid w:val="78A90480"/>
    <w:rsid w:val="78AC0EF3"/>
    <w:rsid w:val="78AC47D1"/>
    <w:rsid w:val="78B13B95"/>
    <w:rsid w:val="78B4062C"/>
    <w:rsid w:val="78BB0EB8"/>
    <w:rsid w:val="78BD53BB"/>
    <w:rsid w:val="78C37D6C"/>
    <w:rsid w:val="78C57641"/>
    <w:rsid w:val="78C63238"/>
    <w:rsid w:val="78CA10FB"/>
    <w:rsid w:val="78CA7FF1"/>
    <w:rsid w:val="78DC4B30"/>
    <w:rsid w:val="78DD498A"/>
    <w:rsid w:val="78E20BC8"/>
    <w:rsid w:val="78E214E9"/>
    <w:rsid w:val="78E8332F"/>
    <w:rsid w:val="78E93A29"/>
    <w:rsid w:val="78EA782E"/>
    <w:rsid w:val="78EE4DE9"/>
    <w:rsid w:val="78EE6B97"/>
    <w:rsid w:val="78EF290F"/>
    <w:rsid w:val="78F32400"/>
    <w:rsid w:val="78F46178"/>
    <w:rsid w:val="78F910A8"/>
    <w:rsid w:val="78FC33D7"/>
    <w:rsid w:val="79004B1D"/>
    <w:rsid w:val="79030169"/>
    <w:rsid w:val="7904460D"/>
    <w:rsid w:val="790649B1"/>
    <w:rsid w:val="79065900"/>
    <w:rsid w:val="790E2D96"/>
    <w:rsid w:val="79135C5D"/>
    <w:rsid w:val="79137A23"/>
    <w:rsid w:val="791A5BDE"/>
    <w:rsid w:val="791E130C"/>
    <w:rsid w:val="79273E57"/>
    <w:rsid w:val="7927654D"/>
    <w:rsid w:val="79282B5C"/>
    <w:rsid w:val="792A3948"/>
    <w:rsid w:val="792E0677"/>
    <w:rsid w:val="79314CD6"/>
    <w:rsid w:val="79352A18"/>
    <w:rsid w:val="79382508"/>
    <w:rsid w:val="7939786F"/>
    <w:rsid w:val="793B1C09"/>
    <w:rsid w:val="793B1DCD"/>
    <w:rsid w:val="793D18CD"/>
    <w:rsid w:val="793D1A38"/>
    <w:rsid w:val="793D3346"/>
    <w:rsid w:val="793F73F3"/>
    <w:rsid w:val="7940316B"/>
    <w:rsid w:val="7940719E"/>
    <w:rsid w:val="79415B65"/>
    <w:rsid w:val="79435DCB"/>
    <w:rsid w:val="79437F4F"/>
    <w:rsid w:val="79464C25"/>
    <w:rsid w:val="794C4611"/>
    <w:rsid w:val="794C6296"/>
    <w:rsid w:val="79516FD2"/>
    <w:rsid w:val="79544B74"/>
    <w:rsid w:val="79582587"/>
    <w:rsid w:val="795A247F"/>
    <w:rsid w:val="795C12C1"/>
    <w:rsid w:val="79607369"/>
    <w:rsid w:val="796450AB"/>
    <w:rsid w:val="79647A53"/>
    <w:rsid w:val="7965255A"/>
    <w:rsid w:val="79660E24"/>
    <w:rsid w:val="796912D5"/>
    <w:rsid w:val="796C18EC"/>
    <w:rsid w:val="79733540"/>
    <w:rsid w:val="79775971"/>
    <w:rsid w:val="79782905"/>
    <w:rsid w:val="797C182B"/>
    <w:rsid w:val="797F5A41"/>
    <w:rsid w:val="798219D5"/>
    <w:rsid w:val="798E2128"/>
    <w:rsid w:val="79927E6B"/>
    <w:rsid w:val="79951709"/>
    <w:rsid w:val="79955265"/>
    <w:rsid w:val="79960FDD"/>
    <w:rsid w:val="799754B2"/>
    <w:rsid w:val="799A32A2"/>
    <w:rsid w:val="799B65F3"/>
    <w:rsid w:val="799C290D"/>
    <w:rsid w:val="799C6142"/>
    <w:rsid w:val="799D236B"/>
    <w:rsid w:val="79A100AE"/>
    <w:rsid w:val="79A46034"/>
    <w:rsid w:val="79A61220"/>
    <w:rsid w:val="79A853AC"/>
    <w:rsid w:val="79A96F62"/>
    <w:rsid w:val="79AA1C59"/>
    <w:rsid w:val="79AB27E1"/>
    <w:rsid w:val="79AD6A52"/>
    <w:rsid w:val="79B00498"/>
    <w:rsid w:val="79B31B8F"/>
    <w:rsid w:val="79B6253C"/>
    <w:rsid w:val="79B7342D"/>
    <w:rsid w:val="79B973BC"/>
    <w:rsid w:val="79BC0D21"/>
    <w:rsid w:val="79BD2A0E"/>
    <w:rsid w:val="79C36276"/>
    <w:rsid w:val="79C43D9C"/>
    <w:rsid w:val="79C73965"/>
    <w:rsid w:val="79CD5581"/>
    <w:rsid w:val="79CE2C3C"/>
    <w:rsid w:val="79CF44E4"/>
    <w:rsid w:val="79D0629D"/>
    <w:rsid w:val="79D253CF"/>
    <w:rsid w:val="79D51B05"/>
    <w:rsid w:val="79D53106"/>
    <w:rsid w:val="79DA536E"/>
    <w:rsid w:val="79DA66F5"/>
    <w:rsid w:val="79E141A5"/>
    <w:rsid w:val="79E179F6"/>
    <w:rsid w:val="79E26208"/>
    <w:rsid w:val="79E47F9A"/>
    <w:rsid w:val="79EA1A55"/>
    <w:rsid w:val="79EB1329"/>
    <w:rsid w:val="79EB177C"/>
    <w:rsid w:val="79EB30D7"/>
    <w:rsid w:val="79ED50A1"/>
    <w:rsid w:val="79EF706B"/>
    <w:rsid w:val="79F2497C"/>
    <w:rsid w:val="79F301DD"/>
    <w:rsid w:val="79F3642F"/>
    <w:rsid w:val="79F65EAE"/>
    <w:rsid w:val="79F71A7C"/>
    <w:rsid w:val="79F83E01"/>
    <w:rsid w:val="79FC1788"/>
    <w:rsid w:val="79FC7A56"/>
    <w:rsid w:val="79FE5AF0"/>
    <w:rsid w:val="79FF4DD4"/>
    <w:rsid w:val="7A0047EA"/>
    <w:rsid w:val="7A016D9E"/>
    <w:rsid w:val="7A0348C4"/>
    <w:rsid w:val="7A075E8E"/>
    <w:rsid w:val="7A0A5C53"/>
    <w:rsid w:val="7A0D129F"/>
    <w:rsid w:val="7A0D74F1"/>
    <w:rsid w:val="7A0E4EF2"/>
    <w:rsid w:val="7A0F14BB"/>
    <w:rsid w:val="7A0F2EF6"/>
    <w:rsid w:val="7A186697"/>
    <w:rsid w:val="7A230AC3"/>
    <w:rsid w:val="7A23382F"/>
    <w:rsid w:val="7A234BEB"/>
    <w:rsid w:val="7A28432B"/>
    <w:rsid w:val="7A287E87"/>
    <w:rsid w:val="7A29688D"/>
    <w:rsid w:val="7A2B5BC9"/>
    <w:rsid w:val="7A2D7B93"/>
    <w:rsid w:val="7A2E1215"/>
    <w:rsid w:val="7A301431"/>
    <w:rsid w:val="7A3031E0"/>
    <w:rsid w:val="7A3251AA"/>
    <w:rsid w:val="7A364017"/>
    <w:rsid w:val="7A37456E"/>
    <w:rsid w:val="7A394F81"/>
    <w:rsid w:val="7A3C3932"/>
    <w:rsid w:val="7A3E58FC"/>
    <w:rsid w:val="7A406FE4"/>
    <w:rsid w:val="7A416D33"/>
    <w:rsid w:val="7A41719B"/>
    <w:rsid w:val="7A432F13"/>
    <w:rsid w:val="7A474D78"/>
    <w:rsid w:val="7A480094"/>
    <w:rsid w:val="7A496659"/>
    <w:rsid w:val="7A4B0019"/>
    <w:rsid w:val="7A4B1DC7"/>
    <w:rsid w:val="7A4D3D91"/>
    <w:rsid w:val="7A4F1436"/>
    <w:rsid w:val="7A513882"/>
    <w:rsid w:val="7A543372"/>
    <w:rsid w:val="7A550DC0"/>
    <w:rsid w:val="7A590988"/>
    <w:rsid w:val="7A5A200A"/>
    <w:rsid w:val="7A5C3FD5"/>
    <w:rsid w:val="7A612377"/>
    <w:rsid w:val="7A637111"/>
    <w:rsid w:val="7A6A4943"/>
    <w:rsid w:val="7A6D61E2"/>
    <w:rsid w:val="7A6F443F"/>
    <w:rsid w:val="7A715CD2"/>
    <w:rsid w:val="7A735C28"/>
    <w:rsid w:val="7A756E44"/>
    <w:rsid w:val="7A792DD8"/>
    <w:rsid w:val="7A794B87"/>
    <w:rsid w:val="7A7F1A71"/>
    <w:rsid w:val="7A7F7A06"/>
    <w:rsid w:val="7A810C91"/>
    <w:rsid w:val="7A817D39"/>
    <w:rsid w:val="7A8265E1"/>
    <w:rsid w:val="7A835A05"/>
    <w:rsid w:val="7A8363D5"/>
    <w:rsid w:val="7A8D0632"/>
    <w:rsid w:val="7A8D7D8D"/>
    <w:rsid w:val="7A8F421B"/>
    <w:rsid w:val="7A923E9A"/>
    <w:rsid w:val="7A9279F6"/>
    <w:rsid w:val="7A965738"/>
    <w:rsid w:val="7A990D85"/>
    <w:rsid w:val="7A9A4854"/>
    <w:rsid w:val="7A9B2D4F"/>
    <w:rsid w:val="7A9C0875"/>
    <w:rsid w:val="7AA2343E"/>
    <w:rsid w:val="7AA240DD"/>
    <w:rsid w:val="7AA37E55"/>
    <w:rsid w:val="7AA53BCD"/>
    <w:rsid w:val="7AA65250"/>
    <w:rsid w:val="7AA816BE"/>
    <w:rsid w:val="7AAB0A21"/>
    <w:rsid w:val="7AAC271B"/>
    <w:rsid w:val="7AAF1611"/>
    <w:rsid w:val="7AB01EB0"/>
    <w:rsid w:val="7ABC2F89"/>
    <w:rsid w:val="7ABD5276"/>
    <w:rsid w:val="7AC322A6"/>
    <w:rsid w:val="7AC77DFB"/>
    <w:rsid w:val="7ACA3634"/>
    <w:rsid w:val="7ACB4CB6"/>
    <w:rsid w:val="7ACE539E"/>
    <w:rsid w:val="7AD1051F"/>
    <w:rsid w:val="7AD63D87"/>
    <w:rsid w:val="7ADC1C22"/>
    <w:rsid w:val="7ADE5D3C"/>
    <w:rsid w:val="7AE30252"/>
    <w:rsid w:val="7AE446F6"/>
    <w:rsid w:val="7AE52BA4"/>
    <w:rsid w:val="7AE71AF0"/>
    <w:rsid w:val="7AEA5A84"/>
    <w:rsid w:val="7AEE41F0"/>
    <w:rsid w:val="7AF35C29"/>
    <w:rsid w:val="7AF62AFF"/>
    <w:rsid w:val="7AF81F4F"/>
    <w:rsid w:val="7AFB3DA0"/>
    <w:rsid w:val="7AFE32DE"/>
    <w:rsid w:val="7B007056"/>
    <w:rsid w:val="7B0271A1"/>
    <w:rsid w:val="7B0501C8"/>
    <w:rsid w:val="7B07599F"/>
    <w:rsid w:val="7B0B1050"/>
    <w:rsid w:val="7B0D631F"/>
    <w:rsid w:val="7B1120D2"/>
    <w:rsid w:val="7B113011"/>
    <w:rsid w:val="7B114DBF"/>
    <w:rsid w:val="7B166879"/>
    <w:rsid w:val="7B167881"/>
    <w:rsid w:val="7B1D5512"/>
    <w:rsid w:val="7B221855"/>
    <w:rsid w:val="7B2368A0"/>
    <w:rsid w:val="7B262B0D"/>
    <w:rsid w:val="7B2A5E81"/>
    <w:rsid w:val="7B2F5245"/>
    <w:rsid w:val="7B2F54B5"/>
    <w:rsid w:val="7B3308FA"/>
    <w:rsid w:val="7B38178B"/>
    <w:rsid w:val="7B3A4316"/>
    <w:rsid w:val="7B3D3B4B"/>
    <w:rsid w:val="7B3D5BB4"/>
    <w:rsid w:val="7B416626"/>
    <w:rsid w:val="7B42141C"/>
    <w:rsid w:val="7B4363F4"/>
    <w:rsid w:val="7B445194"/>
    <w:rsid w:val="7B452CBB"/>
    <w:rsid w:val="7B45789D"/>
    <w:rsid w:val="7B4909FD"/>
    <w:rsid w:val="7B500EA2"/>
    <w:rsid w:val="7B580C40"/>
    <w:rsid w:val="7B5F5B2A"/>
    <w:rsid w:val="7B686D42"/>
    <w:rsid w:val="7B690757"/>
    <w:rsid w:val="7B6A44CF"/>
    <w:rsid w:val="7B6D7A58"/>
    <w:rsid w:val="7B6E5B6C"/>
    <w:rsid w:val="7B707D38"/>
    <w:rsid w:val="7B71191C"/>
    <w:rsid w:val="7B722DAC"/>
    <w:rsid w:val="7B7244ED"/>
    <w:rsid w:val="7B733820"/>
    <w:rsid w:val="7B735A7A"/>
    <w:rsid w:val="7B737828"/>
    <w:rsid w:val="7B7535A0"/>
    <w:rsid w:val="7B77308E"/>
    <w:rsid w:val="7B784E3E"/>
    <w:rsid w:val="7B811F45"/>
    <w:rsid w:val="7B841746"/>
    <w:rsid w:val="7B841A35"/>
    <w:rsid w:val="7B856D6B"/>
    <w:rsid w:val="7B892BA7"/>
    <w:rsid w:val="7B8E624C"/>
    <w:rsid w:val="7B9003DA"/>
    <w:rsid w:val="7B902188"/>
    <w:rsid w:val="7B9652C4"/>
    <w:rsid w:val="7B98103C"/>
    <w:rsid w:val="7B9A3006"/>
    <w:rsid w:val="7B9B28DB"/>
    <w:rsid w:val="7B9D2AF7"/>
    <w:rsid w:val="7B9D48A5"/>
    <w:rsid w:val="7BA06143"/>
    <w:rsid w:val="7BA67BFD"/>
    <w:rsid w:val="7BA82956"/>
    <w:rsid w:val="7BAB6FC2"/>
    <w:rsid w:val="7BAD2EC7"/>
    <w:rsid w:val="7BAD79E8"/>
    <w:rsid w:val="7BAE0860"/>
    <w:rsid w:val="7BB045D8"/>
    <w:rsid w:val="7BB12DCE"/>
    <w:rsid w:val="7BB16306"/>
    <w:rsid w:val="7BB35E76"/>
    <w:rsid w:val="7BB544B9"/>
    <w:rsid w:val="7BB816DF"/>
    <w:rsid w:val="7BB95541"/>
    <w:rsid w:val="7BBD0AA3"/>
    <w:rsid w:val="7BC14128"/>
    <w:rsid w:val="7BC2430B"/>
    <w:rsid w:val="7BC6662D"/>
    <w:rsid w:val="7BCE4C5E"/>
    <w:rsid w:val="7BD5403F"/>
    <w:rsid w:val="7BDB0514"/>
    <w:rsid w:val="7BDF7C5F"/>
    <w:rsid w:val="7BE152AD"/>
    <w:rsid w:val="7BE67FFA"/>
    <w:rsid w:val="7BEE3352"/>
    <w:rsid w:val="7BEE58C1"/>
    <w:rsid w:val="7BF5023D"/>
    <w:rsid w:val="7BF87D2D"/>
    <w:rsid w:val="7BFC438D"/>
    <w:rsid w:val="7BFC5A6F"/>
    <w:rsid w:val="7C0466D2"/>
    <w:rsid w:val="7C05676B"/>
    <w:rsid w:val="7C0861C2"/>
    <w:rsid w:val="7C093CE8"/>
    <w:rsid w:val="7C0A1723"/>
    <w:rsid w:val="7C0B180E"/>
    <w:rsid w:val="7C0B3F04"/>
    <w:rsid w:val="7C0D1A2A"/>
    <w:rsid w:val="7C0D39D9"/>
    <w:rsid w:val="7C0D3A1B"/>
    <w:rsid w:val="7C1142D5"/>
    <w:rsid w:val="7C141B3C"/>
    <w:rsid w:val="7C186D38"/>
    <w:rsid w:val="7C1A3DCC"/>
    <w:rsid w:val="7C1A5EF5"/>
    <w:rsid w:val="7C2044CE"/>
    <w:rsid w:val="7C240B22"/>
    <w:rsid w:val="7C25544D"/>
    <w:rsid w:val="7C2559E9"/>
    <w:rsid w:val="7C2645C2"/>
    <w:rsid w:val="7C2823C0"/>
    <w:rsid w:val="7C2957C9"/>
    <w:rsid w:val="7C2D09BB"/>
    <w:rsid w:val="7C30396B"/>
    <w:rsid w:val="7C346BC6"/>
    <w:rsid w:val="7C347785"/>
    <w:rsid w:val="7C374CF9"/>
    <w:rsid w:val="7C417926"/>
    <w:rsid w:val="7C4202A8"/>
    <w:rsid w:val="7C464F3C"/>
    <w:rsid w:val="7C4F3DF1"/>
    <w:rsid w:val="7C5143D4"/>
    <w:rsid w:val="7C523CFD"/>
    <w:rsid w:val="7C52568F"/>
    <w:rsid w:val="7C550AD0"/>
    <w:rsid w:val="7C556F2D"/>
    <w:rsid w:val="7C5727BC"/>
    <w:rsid w:val="7C572CA5"/>
    <w:rsid w:val="7C574A54"/>
    <w:rsid w:val="7C594C70"/>
    <w:rsid w:val="7C596A1E"/>
    <w:rsid w:val="7C5A4544"/>
    <w:rsid w:val="7C5C703D"/>
    <w:rsid w:val="7C5D67F4"/>
    <w:rsid w:val="7C5E2286"/>
    <w:rsid w:val="7C5E4034"/>
    <w:rsid w:val="7C5F1E56"/>
    <w:rsid w:val="7C605FBA"/>
    <w:rsid w:val="7C620BCB"/>
    <w:rsid w:val="7C63789C"/>
    <w:rsid w:val="7C653614"/>
    <w:rsid w:val="7C655A51"/>
    <w:rsid w:val="7C6A6C95"/>
    <w:rsid w:val="7C6C5AC7"/>
    <w:rsid w:val="7C6C6483"/>
    <w:rsid w:val="7C6F7FEF"/>
    <w:rsid w:val="7C730D77"/>
    <w:rsid w:val="7C741AA9"/>
    <w:rsid w:val="7C773348"/>
    <w:rsid w:val="7C7E6484"/>
    <w:rsid w:val="7C80044E"/>
    <w:rsid w:val="7C823F1B"/>
    <w:rsid w:val="7C835849"/>
    <w:rsid w:val="7C85389C"/>
    <w:rsid w:val="7C857813"/>
    <w:rsid w:val="7C8B294F"/>
    <w:rsid w:val="7C8F243F"/>
    <w:rsid w:val="7C921F30"/>
    <w:rsid w:val="7C923CDE"/>
    <w:rsid w:val="7C9376EC"/>
    <w:rsid w:val="7C94286C"/>
    <w:rsid w:val="7C945CA8"/>
    <w:rsid w:val="7C964B73"/>
    <w:rsid w:val="7C9B5288"/>
    <w:rsid w:val="7C9C690A"/>
    <w:rsid w:val="7C9D6FAC"/>
    <w:rsid w:val="7CA51C63"/>
    <w:rsid w:val="7CA81753"/>
    <w:rsid w:val="7CA852AF"/>
    <w:rsid w:val="7CAA1BB7"/>
    <w:rsid w:val="7CAA54CB"/>
    <w:rsid w:val="7CAF2AE1"/>
    <w:rsid w:val="7CB127EC"/>
    <w:rsid w:val="7CB225D2"/>
    <w:rsid w:val="7CB400F8"/>
    <w:rsid w:val="7CB83544"/>
    <w:rsid w:val="7CB93960"/>
    <w:rsid w:val="7CB963F3"/>
    <w:rsid w:val="7CBA4472"/>
    <w:rsid w:val="7CBB75D8"/>
    <w:rsid w:val="7CBE03EA"/>
    <w:rsid w:val="7CBE3A2D"/>
    <w:rsid w:val="7CC06A9D"/>
    <w:rsid w:val="7CC540B3"/>
    <w:rsid w:val="7CC56BE8"/>
    <w:rsid w:val="7CC6544B"/>
    <w:rsid w:val="7CC67BF5"/>
    <w:rsid w:val="7CC869E7"/>
    <w:rsid w:val="7CC92281"/>
    <w:rsid w:val="7CCA3477"/>
    <w:rsid w:val="7CCE3522"/>
    <w:rsid w:val="7CD662C0"/>
    <w:rsid w:val="7CD728A0"/>
    <w:rsid w:val="7CE16A13"/>
    <w:rsid w:val="7CE338D3"/>
    <w:rsid w:val="7CE65DD7"/>
    <w:rsid w:val="7CE81348"/>
    <w:rsid w:val="7CF15D44"/>
    <w:rsid w:val="7CF25824"/>
    <w:rsid w:val="7CF613C1"/>
    <w:rsid w:val="7CF95B0B"/>
    <w:rsid w:val="7CFB5D27"/>
    <w:rsid w:val="7CFC39CF"/>
    <w:rsid w:val="7CFD384D"/>
    <w:rsid w:val="7CFE3973"/>
    <w:rsid w:val="7D0239FF"/>
    <w:rsid w:val="7D056BA5"/>
    <w:rsid w:val="7D062EF1"/>
    <w:rsid w:val="7D080444"/>
    <w:rsid w:val="7D0D15B6"/>
    <w:rsid w:val="7D0E09B5"/>
    <w:rsid w:val="7D126BCC"/>
    <w:rsid w:val="7D134DB1"/>
    <w:rsid w:val="7D162B61"/>
    <w:rsid w:val="7D170CFC"/>
    <w:rsid w:val="7D1E1A15"/>
    <w:rsid w:val="7D20753B"/>
    <w:rsid w:val="7D225061"/>
    <w:rsid w:val="7D23036F"/>
    <w:rsid w:val="7D2863F0"/>
    <w:rsid w:val="7D2D5568"/>
    <w:rsid w:val="7D2D5FAA"/>
    <w:rsid w:val="7D324E2D"/>
    <w:rsid w:val="7D382D6D"/>
    <w:rsid w:val="7D3A1A54"/>
    <w:rsid w:val="7D3B0AF2"/>
    <w:rsid w:val="7D3C74B9"/>
    <w:rsid w:val="7D3D6655"/>
    <w:rsid w:val="7D3F38A7"/>
    <w:rsid w:val="7D4071CA"/>
    <w:rsid w:val="7D423956"/>
    <w:rsid w:val="7D472D1A"/>
    <w:rsid w:val="7D4A26D8"/>
    <w:rsid w:val="7D4F6073"/>
    <w:rsid w:val="7D597A11"/>
    <w:rsid w:val="7D5B4A17"/>
    <w:rsid w:val="7D5C336B"/>
    <w:rsid w:val="7D5D078F"/>
    <w:rsid w:val="7D5E40CD"/>
    <w:rsid w:val="7D5F62B6"/>
    <w:rsid w:val="7D60202E"/>
    <w:rsid w:val="7D690EE2"/>
    <w:rsid w:val="7D6B2EAC"/>
    <w:rsid w:val="7D6E02A7"/>
    <w:rsid w:val="7D707D59"/>
    <w:rsid w:val="7D715FE9"/>
    <w:rsid w:val="7D781125"/>
    <w:rsid w:val="7D7A30EF"/>
    <w:rsid w:val="7D7B0C16"/>
    <w:rsid w:val="7D80622C"/>
    <w:rsid w:val="7D8526D6"/>
    <w:rsid w:val="7D8C4BD1"/>
    <w:rsid w:val="7D8E7BDF"/>
    <w:rsid w:val="7D8F2650"/>
    <w:rsid w:val="7D9046C1"/>
    <w:rsid w:val="7D926FDF"/>
    <w:rsid w:val="7D934365"/>
    <w:rsid w:val="7D937D0D"/>
    <w:rsid w:val="7D9608C0"/>
    <w:rsid w:val="7D972797"/>
    <w:rsid w:val="7D9A5540"/>
    <w:rsid w:val="7D9B1ACE"/>
    <w:rsid w:val="7D9B4E14"/>
    <w:rsid w:val="7DA0242A"/>
    <w:rsid w:val="7DA056F0"/>
    <w:rsid w:val="7DA22646"/>
    <w:rsid w:val="7DA243F4"/>
    <w:rsid w:val="7DA5677A"/>
    <w:rsid w:val="7DA57A41"/>
    <w:rsid w:val="7DA71A0B"/>
    <w:rsid w:val="7DAB64A2"/>
    <w:rsid w:val="7DAC2193"/>
    <w:rsid w:val="7DB51391"/>
    <w:rsid w:val="7DB976B4"/>
    <w:rsid w:val="7DBA0C68"/>
    <w:rsid w:val="7DBB22F8"/>
    <w:rsid w:val="7DBD122E"/>
    <w:rsid w:val="7DBD2FDC"/>
    <w:rsid w:val="7DBD4D8A"/>
    <w:rsid w:val="7DBF0B02"/>
    <w:rsid w:val="7DBF4546"/>
    <w:rsid w:val="7DC81A08"/>
    <w:rsid w:val="7DC97BD3"/>
    <w:rsid w:val="7DCA74A7"/>
    <w:rsid w:val="7DCB394B"/>
    <w:rsid w:val="7DCC1471"/>
    <w:rsid w:val="7DCD470D"/>
    <w:rsid w:val="7DCD56F2"/>
    <w:rsid w:val="7DCF2E16"/>
    <w:rsid w:val="7DE06CCB"/>
    <w:rsid w:val="7DE438FC"/>
    <w:rsid w:val="7DE92023"/>
    <w:rsid w:val="7DE927A5"/>
    <w:rsid w:val="7DE93DD1"/>
    <w:rsid w:val="7DEA33CC"/>
    <w:rsid w:val="7DF02678"/>
    <w:rsid w:val="7DF12958"/>
    <w:rsid w:val="7DF369FE"/>
    <w:rsid w:val="7DF804B8"/>
    <w:rsid w:val="7DF863A2"/>
    <w:rsid w:val="7E026C41"/>
    <w:rsid w:val="7E0806FB"/>
    <w:rsid w:val="7E0C7AC0"/>
    <w:rsid w:val="7E1150D6"/>
    <w:rsid w:val="7E116FF7"/>
    <w:rsid w:val="7E12784B"/>
    <w:rsid w:val="7E1322BB"/>
    <w:rsid w:val="7E1443D7"/>
    <w:rsid w:val="7E17093E"/>
    <w:rsid w:val="7E1F6B85"/>
    <w:rsid w:val="7E221091"/>
    <w:rsid w:val="7E257EF5"/>
    <w:rsid w:val="7E282B4B"/>
    <w:rsid w:val="7E2B2B28"/>
    <w:rsid w:val="7E2D1F10"/>
    <w:rsid w:val="7E2E719A"/>
    <w:rsid w:val="7E2E7A36"/>
    <w:rsid w:val="7E36397C"/>
    <w:rsid w:val="7E3643BE"/>
    <w:rsid w:val="7E3736CB"/>
    <w:rsid w:val="7E3A287F"/>
    <w:rsid w:val="7E3A7A0B"/>
    <w:rsid w:val="7E3D5ECB"/>
    <w:rsid w:val="7E3F60E7"/>
    <w:rsid w:val="7E405BAE"/>
    <w:rsid w:val="7E4322D7"/>
    <w:rsid w:val="7E4454AB"/>
    <w:rsid w:val="7E466523"/>
    <w:rsid w:val="7E5356EF"/>
    <w:rsid w:val="7E59407A"/>
    <w:rsid w:val="7E5971A9"/>
    <w:rsid w:val="7E5A082B"/>
    <w:rsid w:val="7E5A0FDB"/>
    <w:rsid w:val="7E5F22E5"/>
    <w:rsid w:val="7E6501BE"/>
    <w:rsid w:val="7E6C1B17"/>
    <w:rsid w:val="7E6F5FE6"/>
    <w:rsid w:val="7E706B85"/>
    <w:rsid w:val="7E723DC7"/>
    <w:rsid w:val="7E7278BD"/>
    <w:rsid w:val="7E78696C"/>
    <w:rsid w:val="7E7A3F89"/>
    <w:rsid w:val="7E7B38FA"/>
    <w:rsid w:val="7E7C145F"/>
    <w:rsid w:val="7E7C2E97"/>
    <w:rsid w:val="7E7F508D"/>
    <w:rsid w:val="7E81400A"/>
    <w:rsid w:val="7E857F9E"/>
    <w:rsid w:val="7E86727D"/>
    <w:rsid w:val="7E902E46"/>
    <w:rsid w:val="7E941F8F"/>
    <w:rsid w:val="7E9C0E44"/>
    <w:rsid w:val="7E9E2E0E"/>
    <w:rsid w:val="7E9F0B34"/>
    <w:rsid w:val="7EA074B2"/>
    <w:rsid w:val="7EA2135B"/>
    <w:rsid w:val="7EA2695D"/>
    <w:rsid w:val="7EA47CF8"/>
    <w:rsid w:val="7EA83C8C"/>
    <w:rsid w:val="7EA954EA"/>
    <w:rsid w:val="7EAD12A3"/>
    <w:rsid w:val="7EB023CD"/>
    <w:rsid w:val="7EB14B92"/>
    <w:rsid w:val="7EB20667"/>
    <w:rsid w:val="7EB22415"/>
    <w:rsid w:val="7EBE0DBA"/>
    <w:rsid w:val="7EC00FD6"/>
    <w:rsid w:val="7EC03F24"/>
    <w:rsid w:val="7EC10838"/>
    <w:rsid w:val="7EC9775F"/>
    <w:rsid w:val="7ECA59B1"/>
    <w:rsid w:val="7ECE210A"/>
    <w:rsid w:val="7ECF1219"/>
    <w:rsid w:val="7ED54355"/>
    <w:rsid w:val="7ED607F9"/>
    <w:rsid w:val="7ED700CE"/>
    <w:rsid w:val="7ED76320"/>
    <w:rsid w:val="7EDA1AAB"/>
    <w:rsid w:val="7EDB3360"/>
    <w:rsid w:val="7EDB53EC"/>
    <w:rsid w:val="7EDC56E4"/>
    <w:rsid w:val="7EDE7AA8"/>
    <w:rsid w:val="7EE2719E"/>
    <w:rsid w:val="7EE53E5E"/>
    <w:rsid w:val="7EE763ED"/>
    <w:rsid w:val="7EEA6053"/>
    <w:rsid w:val="7EED169F"/>
    <w:rsid w:val="7EF020BD"/>
    <w:rsid w:val="7EF22D08"/>
    <w:rsid w:val="7EF2624D"/>
    <w:rsid w:val="7F001CE7"/>
    <w:rsid w:val="7F032C71"/>
    <w:rsid w:val="7F054669"/>
    <w:rsid w:val="7F0A3FFF"/>
    <w:rsid w:val="7F0B7D77"/>
    <w:rsid w:val="7F0D5A81"/>
    <w:rsid w:val="7F0E4CDF"/>
    <w:rsid w:val="7F10538E"/>
    <w:rsid w:val="7F1255AA"/>
    <w:rsid w:val="7F136DA3"/>
    <w:rsid w:val="7F1A5E1B"/>
    <w:rsid w:val="7F233313"/>
    <w:rsid w:val="7F2350C1"/>
    <w:rsid w:val="7F264BB1"/>
    <w:rsid w:val="7F26620E"/>
    <w:rsid w:val="7F2826D7"/>
    <w:rsid w:val="7F291F55"/>
    <w:rsid w:val="7F297FD8"/>
    <w:rsid w:val="7F2A644F"/>
    <w:rsid w:val="7F2F774B"/>
    <w:rsid w:val="7F2F7F0A"/>
    <w:rsid w:val="7F315C4E"/>
    <w:rsid w:val="7F3379FA"/>
    <w:rsid w:val="7F340FE7"/>
    <w:rsid w:val="7F3728B4"/>
    <w:rsid w:val="7F3904CF"/>
    <w:rsid w:val="7F3948E4"/>
    <w:rsid w:val="7F3B58F3"/>
    <w:rsid w:val="7F3D2627"/>
    <w:rsid w:val="7F431716"/>
    <w:rsid w:val="7F4461C4"/>
    <w:rsid w:val="7F460DAF"/>
    <w:rsid w:val="7F47040C"/>
    <w:rsid w:val="7F4734A5"/>
    <w:rsid w:val="7F482D79"/>
    <w:rsid w:val="7F4D4C15"/>
    <w:rsid w:val="7F524BFA"/>
    <w:rsid w:val="7F54171E"/>
    <w:rsid w:val="7F547970"/>
    <w:rsid w:val="7F556235"/>
    <w:rsid w:val="7F5636E8"/>
    <w:rsid w:val="7F594F87"/>
    <w:rsid w:val="7F616785"/>
    <w:rsid w:val="7F621E96"/>
    <w:rsid w:val="7F6C2F0C"/>
    <w:rsid w:val="7F6C4CBA"/>
    <w:rsid w:val="7F6E725F"/>
    <w:rsid w:val="7F70088F"/>
    <w:rsid w:val="7F721BA4"/>
    <w:rsid w:val="7F735F98"/>
    <w:rsid w:val="7F7441A2"/>
    <w:rsid w:val="7F74591C"/>
    <w:rsid w:val="7F760C38"/>
    <w:rsid w:val="7F761695"/>
    <w:rsid w:val="7F782D57"/>
    <w:rsid w:val="7F7A771A"/>
    <w:rsid w:val="7F7C755D"/>
    <w:rsid w:val="7F7D6EC7"/>
    <w:rsid w:val="7F7E679B"/>
    <w:rsid w:val="7F833DB1"/>
    <w:rsid w:val="7F8877D9"/>
    <w:rsid w:val="7F8C2C66"/>
    <w:rsid w:val="7F8F4030"/>
    <w:rsid w:val="7F90133D"/>
    <w:rsid w:val="7F9130F7"/>
    <w:rsid w:val="7F930498"/>
    <w:rsid w:val="7F967F89"/>
    <w:rsid w:val="7F9935D5"/>
    <w:rsid w:val="7F995383"/>
    <w:rsid w:val="7F9A4F2B"/>
    <w:rsid w:val="7F9D2987"/>
    <w:rsid w:val="7F9F0E2D"/>
    <w:rsid w:val="7FA2248A"/>
    <w:rsid w:val="7FA501CC"/>
    <w:rsid w:val="7FA91A6A"/>
    <w:rsid w:val="7FA977A8"/>
    <w:rsid w:val="7FAE0E2E"/>
    <w:rsid w:val="7FAE52D2"/>
    <w:rsid w:val="7FB5609A"/>
    <w:rsid w:val="7FBB179D"/>
    <w:rsid w:val="7FBB354B"/>
    <w:rsid w:val="7FBC4580"/>
    <w:rsid w:val="7FC22B2C"/>
    <w:rsid w:val="7FC248DA"/>
    <w:rsid w:val="7FC543CA"/>
    <w:rsid w:val="7FC70268"/>
    <w:rsid w:val="7FC71532"/>
    <w:rsid w:val="7FCA06E4"/>
    <w:rsid w:val="7FCE14D1"/>
    <w:rsid w:val="7FCE327F"/>
    <w:rsid w:val="7FCF181A"/>
    <w:rsid w:val="7FCF6FF7"/>
    <w:rsid w:val="7FD20CF5"/>
    <w:rsid w:val="7FD30895"/>
    <w:rsid w:val="7FD42D0C"/>
    <w:rsid w:val="7FD52B13"/>
    <w:rsid w:val="7FD8310D"/>
    <w:rsid w:val="7FDD7966"/>
    <w:rsid w:val="7FDF7F40"/>
    <w:rsid w:val="7FE02FB2"/>
    <w:rsid w:val="7FE47E50"/>
    <w:rsid w:val="7FE72592"/>
    <w:rsid w:val="7FE80BDA"/>
    <w:rsid w:val="7FE837AB"/>
    <w:rsid w:val="7FEF688C"/>
    <w:rsid w:val="7FF30F37"/>
    <w:rsid w:val="7FF32CE5"/>
    <w:rsid w:val="7FF32DB3"/>
    <w:rsid w:val="7FF60A27"/>
    <w:rsid w:val="7FF939EE"/>
    <w:rsid w:val="7FFB1A22"/>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0" w:semiHidden="0" w:name="heading 4" w:locked="1"/>
    <w:lsdException w:qFormat="1" w:uiPriority="9" w:name="heading 5"/>
    <w:lsdException w:qFormat="1" w:uiPriority="9" w:name="heading 6"/>
    <w:lsdException w:qFormat="1" w:uiPriority="9" w:name="heading 7"/>
    <w:lsdException w:uiPriority="9" w:name="heading 8"/>
    <w:lsdException w:qFormat="1" w:uiPriority="9" w:name="heading 9"/>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qFormat="1" w:uiPriority="99"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qFormat="1"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qFormat="1" w:unhideWhenUsed="0" w:uiPriority="0" w:semiHidden="0" w:name="List 2" w:locked="1"/>
    <w:lsdException w:qFormat="1"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99"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99"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semiHidden="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qFormat/>
    <w:locked/>
    <w:uiPriority w:val="0"/>
    <w:pPr>
      <w:keepNext/>
      <w:overflowPunct w:val="0"/>
      <w:snapToGrid w:val="0"/>
      <w:spacing w:before="120" w:after="160" w:line="259" w:lineRule="auto"/>
      <w:ind w:left="432" w:hanging="432"/>
      <w:outlineLvl w:val="0"/>
    </w:pPr>
    <w:rPr>
      <w:b/>
      <w:bCs/>
      <w:color w:val="000000"/>
      <w:kern w:val="44"/>
      <w:sz w:val="24"/>
      <w:szCs w:val="30"/>
    </w:rPr>
  </w:style>
  <w:style w:type="paragraph" w:styleId="3">
    <w:name w:val="heading 2"/>
    <w:basedOn w:val="1"/>
    <w:next w:val="1"/>
    <w:link w:val="68"/>
    <w:semiHidden/>
    <w:unhideWhenUsed/>
    <w:qFormat/>
    <w:locked/>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9"/>
    <w:semiHidden/>
    <w:unhideWhenUsed/>
    <w:qFormat/>
    <w:locked/>
    <w:uiPriority w:val="0"/>
    <w:pPr>
      <w:keepNext/>
      <w:keepLines/>
      <w:spacing w:before="260" w:after="260" w:line="416" w:lineRule="auto"/>
      <w:outlineLvl w:val="2"/>
    </w:pPr>
    <w:rPr>
      <w:b/>
      <w:bCs/>
      <w:sz w:val="32"/>
      <w:szCs w:val="32"/>
    </w:rPr>
  </w:style>
  <w:style w:type="paragraph" w:styleId="5">
    <w:name w:val="heading 4"/>
    <w:basedOn w:val="1"/>
    <w:next w:val="1"/>
    <w:link w:val="70"/>
    <w:qFormat/>
    <w:locked/>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link w:val="71"/>
    <w:semiHidden/>
    <w:unhideWhenUsed/>
    <w:qFormat/>
    <w:uiPriority w:val="9"/>
    <w:pPr>
      <w:keepNext/>
      <w:keepLines/>
      <w:spacing w:before="280" w:after="290" w:line="376" w:lineRule="auto"/>
      <w:outlineLvl w:val="4"/>
    </w:pPr>
    <w:rPr>
      <w:rFonts w:cs="宋体"/>
      <w:b/>
      <w:bCs/>
      <w:sz w:val="28"/>
      <w:szCs w:val="28"/>
    </w:rPr>
  </w:style>
  <w:style w:type="paragraph" w:styleId="7">
    <w:name w:val="heading 6"/>
    <w:basedOn w:val="1"/>
    <w:next w:val="1"/>
    <w:link w:val="72"/>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8">
    <w:name w:val="List 3"/>
    <w:basedOn w:val="1"/>
    <w:qFormat/>
    <w:locked/>
    <w:uiPriority w:val="0"/>
    <w:pPr>
      <w:ind w:left="100" w:leftChars="400" w:hanging="200" w:hangingChars="200"/>
      <w:contextualSpacing/>
    </w:pPr>
  </w:style>
  <w:style w:type="paragraph" w:styleId="9">
    <w:name w:val="toc 7"/>
    <w:basedOn w:val="1"/>
    <w:next w:val="1"/>
    <w:autoRedefine/>
    <w:qFormat/>
    <w:locked/>
    <w:uiPriority w:val="0"/>
    <w:pPr>
      <w:ind w:left="1260"/>
      <w:jc w:val="left"/>
    </w:pPr>
    <w:rPr>
      <w:rFonts w:asciiTheme="minorHAnsi" w:hAnsiTheme="minorHAnsi"/>
      <w:sz w:val="18"/>
      <w:szCs w:val="18"/>
    </w:rPr>
  </w:style>
  <w:style w:type="paragraph" w:styleId="10">
    <w:name w:val="Normal Indent"/>
    <w:basedOn w:val="1"/>
    <w:link w:val="73"/>
    <w:qFormat/>
    <w:locked/>
    <w:uiPriority w:val="0"/>
    <w:pPr>
      <w:ind w:firstLine="420" w:firstLineChars="200"/>
    </w:pPr>
  </w:style>
  <w:style w:type="paragraph" w:styleId="11">
    <w:name w:val="caption"/>
    <w:basedOn w:val="1"/>
    <w:next w:val="1"/>
    <w:qFormat/>
    <w:locked/>
    <w:uiPriority w:val="0"/>
    <w:pPr>
      <w:spacing w:before="120" w:after="120" w:line="480" w:lineRule="exact"/>
      <w:ind w:firstLine="480" w:firstLineChars="200"/>
      <w:jc w:val="center"/>
    </w:pPr>
    <w:rPr>
      <w:sz w:val="24"/>
      <w:szCs w:val="20"/>
    </w:rPr>
  </w:style>
  <w:style w:type="paragraph" w:styleId="12">
    <w:name w:val="index 5"/>
    <w:basedOn w:val="1"/>
    <w:next w:val="1"/>
    <w:unhideWhenUsed/>
    <w:qFormat/>
    <w:locked/>
    <w:uiPriority w:val="99"/>
    <w:pPr>
      <w:ind w:left="1680"/>
    </w:pPr>
    <w:rPr>
      <w:rFonts w:eastAsia="Times New Roman"/>
      <w:sz w:val="32"/>
    </w:rPr>
  </w:style>
  <w:style w:type="paragraph" w:styleId="13">
    <w:name w:val="Document Map"/>
    <w:basedOn w:val="1"/>
    <w:link w:val="74"/>
    <w:qFormat/>
    <w:locked/>
    <w:uiPriority w:val="0"/>
    <w:pPr>
      <w:shd w:val="clear" w:color="auto" w:fill="000080"/>
      <w:spacing w:line="360" w:lineRule="auto"/>
      <w:ind w:firstLine="480" w:firstLineChars="200"/>
    </w:pPr>
    <w:rPr>
      <w:sz w:val="24"/>
      <w:szCs w:val="20"/>
    </w:rPr>
  </w:style>
  <w:style w:type="paragraph" w:styleId="14">
    <w:name w:val="annotation text"/>
    <w:basedOn w:val="1"/>
    <w:link w:val="75"/>
    <w:qFormat/>
    <w:uiPriority w:val="0"/>
    <w:pPr>
      <w:jc w:val="left"/>
    </w:pPr>
    <w:rPr>
      <w:kern w:val="0"/>
      <w:sz w:val="24"/>
      <w:szCs w:val="20"/>
    </w:rPr>
  </w:style>
  <w:style w:type="paragraph" w:styleId="15">
    <w:name w:val="Body Text 3"/>
    <w:basedOn w:val="1"/>
    <w:link w:val="76"/>
    <w:qFormat/>
    <w:locked/>
    <w:uiPriority w:val="0"/>
    <w:pPr>
      <w:spacing w:after="120"/>
    </w:pPr>
    <w:rPr>
      <w:rFonts w:ascii="Calibri" w:hAnsi="Calibri"/>
      <w:sz w:val="16"/>
      <w:szCs w:val="16"/>
    </w:rPr>
  </w:style>
  <w:style w:type="paragraph" w:styleId="16">
    <w:name w:val="Body Text"/>
    <w:basedOn w:val="1"/>
    <w:next w:val="17"/>
    <w:link w:val="65"/>
    <w:qFormat/>
    <w:uiPriority w:val="0"/>
    <w:pPr>
      <w:widowControl/>
      <w:snapToGrid w:val="0"/>
      <w:spacing w:before="60" w:after="160" w:line="259" w:lineRule="auto"/>
      <w:ind w:right="113"/>
    </w:pPr>
    <w:rPr>
      <w:kern w:val="0"/>
      <w:sz w:val="18"/>
      <w:szCs w:val="20"/>
    </w:rPr>
  </w:style>
  <w:style w:type="paragraph" w:customStyle="1" w:styleId="17">
    <w:name w:val="Default"/>
    <w:basedOn w:val="18"/>
    <w:next w:val="19"/>
    <w:qFormat/>
    <w:uiPriority w:val="0"/>
    <w:pPr>
      <w:widowControl w:val="0"/>
      <w:autoSpaceDE w:val="0"/>
      <w:autoSpaceDN w:val="0"/>
      <w:adjustRightInd w:val="0"/>
    </w:pPr>
    <w:rPr>
      <w:rFonts w:ascii="宋体" w:hAnsi="Calibri" w:cs="宋体"/>
      <w:color w:val="000000"/>
      <w:sz w:val="24"/>
    </w:rPr>
  </w:style>
  <w:style w:type="paragraph" w:customStyle="1" w:styleId="18">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19">
    <w:name w:val="Plain Text"/>
    <w:basedOn w:val="1"/>
    <w:next w:val="1"/>
    <w:link w:val="77"/>
    <w:qFormat/>
    <w:locked/>
    <w:uiPriority w:val="0"/>
    <w:rPr>
      <w:rFonts w:ascii="宋体" w:hAnsi="Courier New" w:cs="Courier New"/>
      <w:szCs w:val="21"/>
    </w:rPr>
  </w:style>
  <w:style w:type="paragraph" w:styleId="20">
    <w:name w:val="Body Text Indent"/>
    <w:basedOn w:val="1"/>
    <w:next w:val="16"/>
    <w:link w:val="64"/>
    <w:qFormat/>
    <w:uiPriority w:val="0"/>
    <w:pPr>
      <w:spacing w:after="120"/>
      <w:ind w:left="420" w:leftChars="200"/>
    </w:pPr>
    <w:rPr>
      <w:kern w:val="0"/>
      <w:sz w:val="24"/>
      <w:szCs w:val="20"/>
    </w:rPr>
  </w:style>
  <w:style w:type="paragraph" w:styleId="21">
    <w:name w:val="List 2"/>
    <w:basedOn w:val="1"/>
    <w:qFormat/>
    <w:locked/>
    <w:uiPriority w:val="0"/>
    <w:pPr>
      <w:spacing w:line="240" w:lineRule="exact"/>
    </w:pPr>
    <w:rPr>
      <w:rFonts w:ascii="Calibri" w:hAnsi="Calibri"/>
    </w:rPr>
  </w:style>
  <w:style w:type="paragraph" w:styleId="22">
    <w:name w:val="Block Text"/>
    <w:basedOn w:val="1"/>
    <w:qFormat/>
    <w:locked/>
    <w:uiPriority w:val="0"/>
    <w:pPr>
      <w:autoSpaceDE w:val="0"/>
      <w:autoSpaceDN w:val="0"/>
      <w:adjustRightInd w:val="0"/>
      <w:spacing w:before="57" w:line="360" w:lineRule="auto"/>
      <w:ind w:left="25" w:leftChars="12" w:right="6" w:firstLine="480" w:firstLineChars="200"/>
    </w:pPr>
    <w:rPr>
      <w:rFonts w:ascii="Calibri" w:hAnsi="Calibri"/>
      <w:kern w:val="0"/>
      <w:sz w:val="24"/>
    </w:rPr>
  </w:style>
  <w:style w:type="paragraph" w:styleId="23">
    <w:name w:val="toc 5"/>
    <w:basedOn w:val="1"/>
    <w:next w:val="1"/>
    <w:autoRedefine/>
    <w:qFormat/>
    <w:locked/>
    <w:uiPriority w:val="0"/>
    <w:pPr>
      <w:ind w:left="840"/>
      <w:jc w:val="left"/>
    </w:pPr>
    <w:rPr>
      <w:rFonts w:asciiTheme="minorHAnsi" w:hAnsiTheme="minorHAnsi"/>
      <w:sz w:val="18"/>
      <w:szCs w:val="18"/>
    </w:rPr>
  </w:style>
  <w:style w:type="paragraph" w:styleId="24">
    <w:name w:val="toc 3"/>
    <w:basedOn w:val="1"/>
    <w:next w:val="1"/>
    <w:qFormat/>
    <w:locked/>
    <w:uiPriority w:val="0"/>
    <w:pPr>
      <w:ind w:left="420"/>
      <w:jc w:val="left"/>
    </w:pPr>
    <w:rPr>
      <w:rFonts w:asciiTheme="minorHAnsi" w:hAnsiTheme="minorHAnsi"/>
      <w:i/>
      <w:iCs/>
      <w:sz w:val="20"/>
      <w:szCs w:val="20"/>
    </w:rPr>
  </w:style>
  <w:style w:type="paragraph" w:styleId="25">
    <w:name w:val="toc 8"/>
    <w:basedOn w:val="1"/>
    <w:next w:val="1"/>
    <w:autoRedefine/>
    <w:qFormat/>
    <w:locked/>
    <w:uiPriority w:val="0"/>
    <w:pPr>
      <w:ind w:left="1470"/>
      <w:jc w:val="left"/>
    </w:pPr>
    <w:rPr>
      <w:rFonts w:asciiTheme="minorHAnsi" w:hAnsiTheme="minorHAnsi"/>
      <w:sz w:val="18"/>
      <w:szCs w:val="18"/>
    </w:rPr>
  </w:style>
  <w:style w:type="paragraph" w:styleId="26">
    <w:name w:val="Date"/>
    <w:basedOn w:val="1"/>
    <w:next w:val="1"/>
    <w:link w:val="78"/>
    <w:qFormat/>
    <w:uiPriority w:val="0"/>
    <w:pPr>
      <w:ind w:left="100" w:leftChars="2500"/>
    </w:pPr>
    <w:rPr>
      <w:kern w:val="0"/>
      <w:sz w:val="24"/>
      <w:szCs w:val="20"/>
    </w:rPr>
  </w:style>
  <w:style w:type="paragraph" w:styleId="27">
    <w:name w:val="Body Text Indent 2"/>
    <w:basedOn w:val="1"/>
    <w:link w:val="79"/>
    <w:qFormat/>
    <w:locked/>
    <w:uiPriority w:val="0"/>
    <w:pPr>
      <w:spacing w:line="360" w:lineRule="auto"/>
      <w:ind w:firstLine="480" w:firstLineChars="200"/>
    </w:pPr>
    <w:rPr>
      <w:rFonts w:ascii="Calibri" w:hAnsi="Calibri"/>
      <w:sz w:val="24"/>
    </w:rPr>
  </w:style>
  <w:style w:type="paragraph" w:styleId="28">
    <w:name w:val="Balloon Text"/>
    <w:basedOn w:val="1"/>
    <w:link w:val="80"/>
    <w:qFormat/>
    <w:uiPriority w:val="0"/>
    <w:rPr>
      <w:kern w:val="0"/>
      <w:sz w:val="18"/>
      <w:szCs w:val="20"/>
    </w:rPr>
  </w:style>
  <w:style w:type="paragraph" w:styleId="29">
    <w:name w:val="footer"/>
    <w:basedOn w:val="1"/>
    <w:link w:val="81"/>
    <w:qFormat/>
    <w:uiPriority w:val="0"/>
    <w:pPr>
      <w:tabs>
        <w:tab w:val="center" w:pos="4153"/>
        <w:tab w:val="right" w:pos="8306"/>
      </w:tabs>
      <w:snapToGrid w:val="0"/>
      <w:jc w:val="left"/>
    </w:pPr>
    <w:rPr>
      <w:kern w:val="0"/>
      <w:sz w:val="18"/>
      <w:szCs w:val="20"/>
    </w:rPr>
  </w:style>
  <w:style w:type="paragraph" w:styleId="30">
    <w:name w:val="header"/>
    <w:basedOn w:val="1"/>
    <w:next w:val="31"/>
    <w:link w:val="82"/>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31">
    <w:name w:val="样式5"/>
    <w:basedOn w:val="32"/>
    <w:next w:val="1"/>
    <w:qFormat/>
    <w:uiPriority w:val="0"/>
    <w:pPr>
      <w:widowControl/>
      <w:tabs>
        <w:tab w:val="center" w:pos="4153"/>
        <w:tab w:val="right" w:pos="8306"/>
      </w:tabs>
      <w:spacing w:line="355" w:lineRule="auto"/>
      <w:ind w:firstLine="360" w:firstLineChars="200"/>
    </w:pPr>
    <w:rPr>
      <w:rFonts w:ascii="楷体_GB2312" w:hAnsi="宋体" w:eastAsia="楷体_GB2312"/>
    </w:rPr>
  </w:style>
  <w:style w:type="paragraph" w:customStyle="1" w:styleId="32">
    <w:name w:val="正文1"/>
    <w:basedOn w:val="1"/>
    <w:next w:val="1"/>
    <w:link w:val="169"/>
    <w:qFormat/>
    <w:uiPriority w:val="0"/>
    <w:pPr>
      <w:adjustRightInd w:val="0"/>
      <w:snapToGrid w:val="0"/>
      <w:spacing w:line="500" w:lineRule="atLeast"/>
      <w:ind w:firstLine="567"/>
    </w:pPr>
    <w:rPr>
      <w:rFonts w:ascii="Calibri" w:hAnsi="Calibri"/>
      <w:sz w:val="28"/>
      <w:szCs w:val="20"/>
    </w:rPr>
  </w:style>
  <w:style w:type="paragraph" w:styleId="33">
    <w:name w:val="toc 1"/>
    <w:basedOn w:val="1"/>
    <w:next w:val="1"/>
    <w:qFormat/>
    <w:locked/>
    <w:uiPriority w:val="39"/>
    <w:pPr>
      <w:spacing w:before="120" w:after="120"/>
      <w:jc w:val="left"/>
    </w:pPr>
    <w:rPr>
      <w:rFonts w:asciiTheme="minorHAnsi" w:hAnsiTheme="minorHAnsi"/>
      <w:b/>
      <w:bCs/>
      <w:caps/>
      <w:sz w:val="20"/>
      <w:szCs w:val="20"/>
    </w:rPr>
  </w:style>
  <w:style w:type="paragraph" w:styleId="34">
    <w:name w:val="toc 4"/>
    <w:basedOn w:val="1"/>
    <w:next w:val="1"/>
    <w:autoRedefine/>
    <w:qFormat/>
    <w:locked/>
    <w:uiPriority w:val="0"/>
    <w:pPr>
      <w:ind w:left="630"/>
      <w:jc w:val="left"/>
    </w:pPr>
    <w:rPr>
      <w:rFonts w:asciiTheme="minorHAnsi" w:hAnsiTheme="minorHAnsi"/>
      <w:sz w:val="18"/>
      <w:szCs w:val="18"/>
    </w:rPr>
  </w:style>
  <w:style w:type="paragraph" w:styleId="35">
    <w:name w:val="List"/>
    <w:basedOn w:val="1"/>
    <w:qFormat/>
    <w:locked/>
    <w:uiPriority w:val="0"/>
    <w:pPr>
      <w:spacing w:line="320" w:lineRule="exact"/>
      <w:jc w:val="center"/>
    </w:pPr>
    <w:rPr>
      <w:sz w:val="20"/>
    </w:rPr>
  </w:style>
  <w:style w:type="paragraph" w:styleId="36">
    <w:name w:val="toc 6"/>
    <w:basedOn w:val="1"/>
    <w:next w:val="1"/>
    <w:autoRedefine/>
    <w:qFormat/>
    <w:locked/>
    <w:uiPriority w:val="0"/>
    <w:pPr>
      <w:ind w:left="1050"/>
      <w:jc w:val="left"/>
    </w:pPr>
    <w:rPr>
      <w:rFonts w:asciiTheme="minorHAnsi" w:hAnsiTheme="minorHAnsi"/>
      <w:sz w:val="18"/>
      <w:szCs w:val="18"/>
    </w:rPr>
  </w:style>
  <w:style w:type="paragraph" w:styleId="37">
    <w:name w:val="Body Text Indent 3"/>
    <w:basedOn w:val="1"/>
    <w:link w:val="83"/>
    <w:qFormat/>
    <w:locked/>
    <w:uiPriority w:val="0"/>
    <w:pPr>
      <w:spacing w:after="120"/>
      <w:ind w:left="420"/>
    </w:pPr>
    <w:rPr>
      <w:rFonts w:ascii="Calibri" w:hAnsi="Calibri"/>
      <w:sz w:val="16"/>
      <w:szCs w:val="16"/>
    </w:rPr>
  </w:style>
  <w:style w:type="paragraph" w:styleId="38">
    <w:name w:val="toc 2"/>
    <w:basedOn w:val="1"/>
    <w:next w:val="1"/>
    <w:unhideWhenUsed/>
    <w:qFormat/>
    <w:locked/>
    <w:uiPriority w:val="0"/>
    <w:pPr>
      <w:ind w:left="210"/>
      <w:jc w:val="left"/>
    </w:pPr>
    <w:rPr>
      <w:rFonts w:asciiTheme="minorHAnsi" w:hAnsiTheme="minorHAnsi"/>
      <w:smallCaps/>
      <w:sz w:val="20"/>
      <w:szCs w:val="20"/>
    </w:rPr>
  </w:style>
  <w:style w:type="paragraph" w:styleId="39">
    <w:name w:val="toc 9"/>
    <w:basedOn w:val="1"/>
    <w:next w:val="1"/>
    <w:autoRedefine/>
    <w:qFormat/>
    <w:locked/>
    <w:uiPriority w:val="0"/>
    <w:pPr>
      <w:ind w:left="1680"/>
      <w:jc w:val="left"/>
    </w:pPr>
    <w:rPr>
      <w:rFonts w:asciiTheme="minorHAnsi" w:hAnsiTheme="minorHAnsi"/>
      <w:sz w:val="18"/>
      <w:szCs w:val="18"/>
    </w:rPr>
  </w:style>
  <w:style w:type="paragraph" w:styleId="40">
    <w:name w:val="Body Text 2"/>
    <w:basedOn w:val="1"/>
    <w:link w:val="84"/>
    <w:qFormat/>
    <w:locked/>
    <w:uiPriority w:val="0"/>
    <w:pPr>
      <w:spacing w:after="120" w:line="480" w:lineRule="auto"/>
    </w:pPr>
    <w:rPr>
      <w:szCs w:val="20"/>
    </w:rPr>
  </w:style>
  <w:style w:type="paragraph" w:styleId="41">
    <w:name w:val="HTML Preformatted"/>
    <w:basedOn w:val="1"/>
    <w:link w:val="85"/>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link w:val="86"/>
    <w:qFormat/>
    <w:uiPriority w:val="99"/>
    <w:pPr>
      <w:widowControl/>
      <w:spacing w:before="100" w:beforeAutospacing="1" w:after="100" w:afterAutospacing="1"/>
      <w:jc w:val="left"/>
    </w:pPr>
    <w:rPr>
      <w:rFonts w:ascii="宋体" w:hAnsi="宋体"/>
      <w:kern w:val="0"/>
      <w:sz w:val="24"/>
      <w:szCs w:val="20"/>
    </w:rPr>
  </w:style>
  <w:style w:type="paragraph" w:styleId="43">
    <w:name w:val="index 1"/>
    <w:basedOn w:val="1"/>
    <w:next w:val="1"/>
    <w:qFormat/>
    <w:locked/>
    <w:uiPriority w:val="0"/>
    <w:pPr>
      <w:widowControl/>
      <w:adjustRightInd w:val="0"/>
      <w:snapToGrid w:val="0"/>
      <w:spacing w:line="0" w:lineRule="atLeast"/>
      <w:ind w:firstLine="200" w:firstLineChars="200"/>
      <w:jc w:val="center"/>
    </w:pPr>
    <w:rPr>
      <w:kern w:val="0"/>
      <w:sz w:val="24"/>
      <w:lang w:eastAsia="en-US" w:bidi="en-US"/>
    </w:rPr>
  </w:style>
  <w:style w:type="paragraph" w:styleId="44">
    <w:name w:val="annotation subject"/>
    <w:basedOn w:val="14"/>
    <w:next w:val="14"/>
    <w:link w:val="87"/>
    <w:qFormat/>
    <w:uiPriority w:val="0"/>
    <w:rPr>
      <w:b/>
    </w:rPr>
  </w:style>
  <w:style w:type="paragraph" w:styleId="45">
    <w:name w:val="Body Text First Indent"/>
    <w:basedOn w:val="1"/>
    <w:next w:val="1"/>
    <w:link w:val="269"/>
    <w:qFormat/>
    <w:locked/>
    <w:uiPriority w:val="0"/>
    <w:pPr>
      <w:spacing w:after="120"/>
      <w:ind w:firstLine="420" w:firstLineChars="100"/>
    </w:pPr>
  </w:style>
  <w:style w:type="paragraph" w:styleId="46">
    <w:name w:val="Body Text First Indent 2"/>
    <w:basedOn w:val="1"/>
    <w:next w:val="1"/>
    <w:link w:val="66"/>
    <w:qFormat/>
    <w:locked/>
    <w:uiPriority w:val="0"/>
    <w:pPr>
      <w:spacing w:after="120"/>
      <w:ind w:left="420" w:leftChars="200" w:firstLine="420" w:firstLineChars="200"/>
    </w:p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locked/>
    <w:uiPriority w:val="0"/>
  </w:style>
  <w:style w:type="character" w:styleId="51">
    <w:name w:val="page number"/>
    <w:basedOn w:val="49"/>
    <w:qFormat/>
    <w:locked/>
    <w:uiPriority w:val="0"/>
  </w:style>
  <w:style w:type="character" w:styleId="52">
    <w:name w:val="FollowedHyperlink"/>
    <w:basedOn w:val="49"/>
    <w:qFormat/>
    <w:locked/>
    <w:uiPriority w:val="0"/>
    <w:rPr>
      <w:color w:val="185ECF"/>
      <w:u w:val="none"/>
    </w:rPr>
  </w:style>
  <w:style w:type="character" w:styleId="53">
    <w:name w:val="Emphasis"/>
    <w:qFormat/>
    <w:locked/>
    <w:uiPriority w:val="0"/>
    <w:rPr>
      <w:i/>
    </w:rPr>
  </w:style>
  <w:style w:type="character" w:styleId="54">
    <w:name w:val="Hyperlink"/>
    <w:qFormat/>
    <w:locked/>
    <w:uiPriority w:val="99"/>
    <w:rPr>
      <w:color w:val="0268CD"/>
      <w:u w:val="none"/>
    </w:rPr>
  </w:style>
  <w:style w:type="character" w:styleId="55">
    <w:name w:val="annotation reference"/>
    <w:qFormat/>
    <w:uiPriority w:val="0"/>
    <w:rPr>
      <w:sz w:val="21"/>
    </w:rPr>
  </w:style>
  <w:style w:type="paragraph" w:customStyle="1" w:styleId="56">
    <w:name w:val="表头"/>
    <w:basedOn w:val="57"/>
    <w:next w:val="58"/>
    <w:link w:val="265"/>
    <w:qFormat/>
    <w:uiPriority w:val="0"/>
    <w:pPr>
      <w:numPr>
        <w:ilvl w:val="0"/>
        <w:numId w:val="1"/>
      </w:numPr>
      <w:tabs>
        <w:tab w:val="right" w:leader="dot" w:pos="8296"/>
      </w:tabs>
      <w:autoSpaceDE w:val="0"/>
      <w:autoSpaceDN w:val="0"/>
      <w:adjustRightInd w:val="0"/>
      <w:ind w:left="420"/>
      <w:jc w:val="center"/>
    </w:pPr>
    <w:rPr>
      <w:rFonts w:ascii="黑体" w:hAnsi="黑体" w:eastAsia="宋体" w:cs="宋体"/>
      <w:b/>
      <w:sz w:val="22"/>
      <w:lang w:val="zh-CN"/>
    </w:rPr>
  </w:style>
  <w:style w:type="paragraph" w:customStyle="1" w:styleId="57">
    <w:name w:val="表内"/>
    <w:basedOn w:val="38"/>
    <w:qFormat/>
    <w:uiPriority w:val="0"/>
    <w:pPr>
      <w:tabs>
        <w:tab w:val="right" w:leader="dot" w:pos="8296"/>
      </w:tabs>
      <w:ind w:left="0"/>
      <w:jc w:val="center"/>
    </w:pPr>
    <w:rPr>
      <w:rFonts w:ascii="Times New Roman" w:hAnsi="Times New Roman"/>
      <w:snapToGrid w:val="0"/>
      <w:kern w:val="0"/>
      <w:szCs w:val="21"/>
    </w:rPr>
  </w:style>
  <w:style w:type="paragraph" w:customStyle="1" w:styleId="58">
    <w:name w:val="1-表内"/>
    <w:basedOn w:val="1"/>
    <w:qFormat/>
    <w:uiPriority w:val="0"/>
    <w:pPr>
      <w:tabs>
        <w:tab w:val="left" w:pos="3960"/>
      </w:tabs>
      <w:spacing w:line="240" w:lineRule="auto"/>
      <w:ind w:firstLine="0" w:firstLineChars="0"/>
      <w:jc w:val="center"/>
    </w:pPr>
    <w:rPr>
      <w:rFonts w:ascii="Times New Roman" w:hAnsi="Times New Roman"/>
      <w:sz w:val="21"/>
      <w:szCs w:val="21"/>
    </w:rPr>
  </w:style>
  <w:style w:type="character" w:customStyle="1" w:styleId="59">
    <w:name w:val="表头 Char"/>
    <w:qFormat/>
    <w:locked/>
    <w:uiPriority w:val="0"/>
    <w:rPr>
      <w:rFonts w:ascii="黑体" w:hAnsi="宋体" w:eastAsia="黑体" w:cs="宋体"/>
      <w:kern w:val="2"/>
      <w:sz w:val="24"/>
      <w:szCs w:val="24"/>
      <w:lang w:val="zh-CN"/>
    </w:rPr>
  </w:style>
  <w:style w:type="paragraph" w:customStyle="1" w:styleId="60">
    <w:name w:val="报告书正文"/>
    <w:basedOn w:val="1"/>
    <w:next w:val="1"/>
    <w:link w:val="181"/>
    <w:qFormat/>
    <w:uiPriority w:val="0"/>
    <w:pPr>
      <w:adjustRightInd w:val="0"/>
      <w:snapToGrid w:val="0"/>
      <w:spacing w:line="360" w:lineRule="auto"/>
      <w:ind w:firstLine="480" w:firstLineChars="200"/>
    </w:pPr>
    <w:rPr>
      <w:sz w:val="28"/>
    </w:rPr>
  </w:style>
  <w:style w:type="paragraph" w:customStyle="1" w:styleId="61">
    <w:name w:val="样式 正文文本缩进 + 行距: 1.5 倍行距"/>
    <w:basedOn w:val="62"/>
    <w:next w:val="30"/>
    <w:qFormat/>
    <w:uiPriority w:val="0"/>
    <w:pPr>
      <w:spacing w:after="120" w:line="360" w:lineRule="auto"/>
      <w:ind w:left="90" w:leftChars="32" w:firstLine="560" w:firstLineChars="200"/>
    </w:pPr>
    <w:rPr>
      <w:rFonts w:cs="宋体"/>
    </w:rPr>
  </w:style>
  <w:style w:type="paragraph" w:customStyle="1" w:styleId="62">
    <w:name w:val="正文文本缩进1"/>
    <w:basedOn w:val="1"/>
    <w:next w:val="61"/>
    <w:qFormat/>
    <w:uiPriority w:val="0"/>
    <w:pPr>
      <w:ind w:left="420" w:leftChars="200"/>
    </w:pPr>
    <w:rPr>
      <w:rFonts w:ascii="Times New Roman" w:hAnsi="Times New Roman" w:eastAsia="宋体"/>
      <w:sz w:val="24"/>
    </w:rPr>
  </w:style>
  <w:style w:type="paragraph" w:customStyle="1" w:styleId="63">
    <w:name w:val="正文首行缩进 21"/>
    <w:basedOn w:val="20"/>
    <w:qFormat/>
    <w:uiPriority w:val="0"/>
    <w:pPr>
      <w:ind w:firstLine="420" w:firstLineChars="200"/>
    </w:pPr>
  </w:style>
  <w:style w:type="character" w:customStyle="1" w:styleId="64">
    <w:name w:val="正文文本缩进 Char1"/>
    <w:link w:val="20"/>
    <w:qFormat/>
    <w:locked/>
    <w:uiPriority w:val="0"/>
    <w:rPr>
      <w:rFonts w:ascii="Times New Roman" w:hAnsi="Times New Roman" w:eastAsia="宋体"/>
      <w:sz w:val="24"/>
    </w:rPr>
  </w:style>
  <w:style w:type="character" w:customStyle="1" w:styleId="65">
    <w:name w:val="正文文本 Char1"/>
    <w:link w:val="16"/>
    <w:qFormat/>
    <w:locked/>
    <w:uiPriority w:val="99"/>
    <w:rPr>
      <w:sz w:val="18"/>
    </w:rPr>
  </w:style>
  <w:style w:type="character" w:customStyle="1" w:styleId="66">
    <w:name w:val="正文首行缩进 2 Char"/>
    <w:link w:val="46"/>
    <w:qFormat/>
    <w:uiPriority w:val="0"/>
    <w:rPr>
      <w:rFonts w:ascii="Times New Roman" w:hAnsi="Times New Roman" w:eastAsia="宋体"/>
      <w:kern w:val="2"/>
      <w:sz w:val="21"/>
      <w:szCs w:val="24"/>
    </w:rPr>
  </w:style>
  <w:style w:type="character" w:customStyle="1" w:styleId="67">
    <w:name w:val="标题 1 Char"/>
    <w:link w:val="2"/>
    <w:qFormat/>
    <w:uiPriority w:val="0"/>
    <w:rPr>
      <w:b/>
      <w:bCs/>
      <w:color w:val="000000"/>
      <w:kern w:val="44"/>
      <w:sz w:val="24"/>
      <w:szCs w:val="30"/>
    </w:rPr>
  </w:style>
  <w:style w:type="character" w:customStyle="1" w:styleId="68">
    <w:name w:val="标题 2 Char"/>
    <w:link w:val="3"/>
    <w:semiHidden/>
    <w:qFormat/>
    <w:uiPriority w:val="0"/>
    <w:rPr>
      <w:rFonts w:asciiTheme="majorHAnsi" w:hAnsiTheme="majorHAnsi" w:eastAsiaTheme="majorEastAsia" w:cstheme="majorBidi"/>
      <w:b/>
      <w:bCs/>
      <w:kern w:val="2"/>
      <w:sz w:val="32"/>
      <w:szCs w:val="32"/>
    </w:rPr>
  </w:style>
  <w:style w:type="character" w:customStyle="1" w:styleId="69">
    <w:name w:val="标题 3 Char"/>
    <w:link w:val="4"/>
    <w:semiHidden/>
    <w:qFormat/>
    <w:uiPriority w:val="0"/>
    <w:rPr>
      <w:b/>
      <w:bCs/>
      <w:kern w:val="2"/>
      <w:sz w:val="32"/>
      <w:szCs w:val="32"/>
    </w:rPr>
  </w:style>
  <w:style w:type="character" w:customStyle="1" w:styleId="70">
    <w:name w:val="标题 4 Char"/>
    <w:link w:val="5"/>
    <w:qFormat/>
    <w:uiPriority w:val="0"/>
    <w:rPr>
      <w:rFonts w:ascii="Arial" w:hAnsi="Arial" w:eastAsia="黑体"/>
      <w:b/>
      <w:bCs/>
      <w:kern w:val="2"/>
      <w:sz w:val="28"/>
      <w:szCs w:val="28"/>
    </w:rPr>
  </w:style>
  <w:style w:type="character" w:customStyle="1" w:styleId="71">
    <w:name w:val="标题 5 Char"/>
    <w:link w:val="6"/>
    <w:semiHidden/>
    <w:qFormat/>
    <w:uiPriority w:val="9"/>
    <w:rPr>
      <w:rFonts w:cs="宋体"/>
      <w:b/>
      <w:bCs/>
      <w:kern w:val="2"/>
      <w:sz w:val="28"/>
      <w:szCs w:val="28"/>
    </w:rPr>
  </w:style>
  <w:style w:type="character" w:customStyle="1" w:styleId="72">
    <w:name w:val="标题 6 Char"/>
    <w:link w:val="7"/>
    <w:semiHidden/>
    <w:qFormat/>
    <w:uiPriority w:val="9"/>
    <w:rPr>
      <w:rFonts w:asciiTheme="majorHAnsi" w:hAnsiTheme="majorHAnsi" w:eastAsiaTheme="majorEastAsia" w:cstheme="majorBidi"/>
      <w:b/>
      <w:bCs/>
      <w:kern w:val="2"/>
      <w:sz w:val="24"/>
      <w:szCs w:val="24"/>
    </w:rPr>
  </w:style>
  <w:style w:type="character" w:customStyle="1" w:styleId="73">
    <w:name w:val="正文缩进 Char1"/>
    <w:link w:val="10"/>
    <w:qFormat/>
    <w:uiPriority w:val="0"/>
    <w:rPr>
      <w:kern w:val="2"/>
      <w:sz w:val="21"/>
      <w:szCs w:val="24"/>
    </w:rPr>
  </w:style>
  <w:style w:type="character" w:customStyle="1" w:styleId="74">
    <w:name w:val="文档结构图 Char"/>
    <w:link w:val="13"/>
    <w:qFormat/>
    <w:uiPriority w:val="0"/>
    <w:rPr>
      <w:kern w:val="2"/>
      <w:sz w:val="24"/>
      <w:shd w:val="clear" w:color="auto" w:fill="000080"/>
    </w:rPr>
  </w:style>
  <w:style w:type="character" w:customStyle="1" w:styleId="75">
    <w:name w:val="批注文字 Char1"/>
    <w:link w:val="14"/>
    <w:qFormat/>
    <w:locked/>
    <w:uiPriority w:val="0"/>
    <w:rPr>
      <w:rFonts w:ascii="Times New Roman" w:hAnsi="Times New Roman" w:eastAsia="宋体"/>
      <w:sz w:val="24"/>
    </w:rPr>
  </w:style>
  <w:style w:type="character" w:customStyle="1" w:styleId="76">
    <w:name w:val="正文文本 3 Char"/>
    <w:link w:val="15"/>
    <w:qFormat/>
    <w:uiPriority w:val="0"/>
    <w:rPr>
      <w:rFonts w:ascii="Calibri" w:hAnsi="Calibri"/>
      <w:kern w:val="2"/>
      <w:sz w:val="16"/>
      <w:szCs w:val="16"/>
    </w:rPr>
  </w:style>
  <w:style w:type="character" w:customStyle="1" w:styleId="77">
    <w:name w:val="纯文本 Char"/>
    <w:link w:val="19"/>
    <w:qFormat/>
    <w:uiPriority w:val="0"/>
    <w:rPr>
      <w:rFonts w:ascii="宋体" w:hAnsi="Courier New" w:cs="Courier New"/>
      <w:kern w:val="2"/>
      <w:sz w:val="21"/>
      <w:szCs w:val="21"/>
    </w:rPr>
  </w:style>
  <w:style w:type="character" w:customStyle="1" w:styleId="78">
    <w:name w:val="日期 Char1"/>
    <w:link w:val="26"/>
    <w:qFormat/>
    <w:locked/>
    <w:uiPriority w:val="0"/>
    <w:rPr>
      <w:rFonts w:ascii="Times New Roman" w:hAnsi="Times New Roman" w:eastAsia="宋体"/>
      <w:sz w:val="24"/>
    </w:rPr>
  </w:style>
  <w:style w:type="character" w:customStyle="1" w:styleId="79">
    <w:name w:val="正文文本缩进 2 Char"/>
    <w:link w:val="27"/>
    <w:qFormat/>
    <w:uiPriority w:val="0"/>
    <w:rPr>
      <w:rFonts w:ascii="Calibri" w:hAnsi="Calibri"/>
      <w:kern w:val="2"/>
      <w:sz w:val="24"/>
      <w:szCs w:val="24"/>
    </w:rPr>
  </w:style>
  <w:style w:type="character" w:customStyle="1" w:styleId="80">
    <w:name w:val="批注框文本 Char"/>
    <w:link w:val="28"/>
    <w:qFormat/>
    <w:locked/>
    <w:uiPriority w:val="0"/>
    <w:rPr>
      <w:rFonts w:ascii="Times New Roman" w:hAnsi="Times New Roman" w:eastAsia="宋体"/>
      <w:sz w:val="18"/>
    </w:rPr>
  </w:style>
  <w:style w:type="character" w:customStyle="1" w:styleId="81">
    <w:name w:val="页脚 Char"/>
    <w:link w:val="29"/>
    <w:qFormat/>
    <w:locked/>
    <w:uiPriority w:val="99"/>
    <w:rPr>
      <w:sz w:val="18"/>
    </w:rPr>
  </w:style>
  <w:style w:type="character" w:customStyle="1" w:styleId="82">
    <w:name w:val="页眉 Char1"/>
    <w:link w:val="30"/>
    <w:qFormat/>
    <w:locked/>
    <w:uiPriority w:val="0"/>
    <w:rPr>
      <w:sz w:val="18"/>
    </w:rPr>
  </w:style>
  <w:style w:type="character" w:customStyle="1" w:styleId="83">
    <w:name w:val="正文文本缩进 3 Char"/>
    <w:link w:val="37"/>
    <w:qFormat/>
    <w:uiPriority w:val="0"/>
    <w:rPr>
      <w:rFonts w:ascii="Calibri" w:hAnsi="Calibri"/>
      <w:kern w:val="2"/>
      <w:sz w:val="16"/>
      <w:szCs w:val="16"/>
    </w:rPr>
  </w:style>
  <w:style w:type="character" w:customStyle="1" w:styleId="84">
    <w:name w:val="正文文本 2 Char"/>
    <w:link w:val="40"/>
    <w:qFormat/>
    <w:uiPriority w:val="0"/>
    <w:rPr>
      <w:kern w:val="2"/>
      <w:sz w:val="21"/>
    </w:rPr>
  </w:style>
  <w:style w:type="character" w:customStyle="1" w:styleId="85">
    <w:name w:val="HTML 预设格式 Char"/>
    <w:link w:val="41"/>
    <w:qFormat/>
    <w:uiPriority w:val="0"/>
    <w:rPr>
      <w:rFonts w:ascii="宋体" w:hAnsi="宋体" w:cs="宋体"/>
      <w:sz w:val="24"/>
      <w:szCs w:val="24"/>
    </w:rPr>
  </w:style>
  <w:style w:type="character" w:customStyle="1" w:styleId="86">
    <w:name w:val="普通(网站) Char"/>
    <w:link w:val="42"/>
    <w:qFormat/>
    <w:locked/>
    <w:uiPriority w:val="0"/>
    <w:rPr>
      <w:rFonts w:ascii="宋体" w:hAnsi="宋体" w:eastAsia="宋体"/>
      <w:sz w:val="24"/>
    </w:rPr>
  </w:style>
  <w:style w:type="character" w:customStyle="1" w:styleId="87">
    <w:name w:val="批注主题 Char"/>
    <w:link w:val="44"/>
    <w:qFormat/>
    <w:locked/>
    <w:uiPriority w:val="0"/>
    <w:rPr>
      <w:rFonts w:ascii="Times New Roman" w:hAnsi="Times New Roman" w:eastAsia="宋体"/>
      <w:b/>
      <w:kern w:val="2"/>
      <w:sz w:val="24"/>
    </w:rPr>
  </w:style>
  <w:style w:type="paragraph" w:customStyle="1" w:styleId="88">
    <w:name w:val="正文格式"/>
    <w:basedOn w:val="1"/>
    <w:qFormat/>
    <w:uiPriority w:val="0"/>
    <w:pPr>
      <w:spacing w:line="360" w:lineRule="auto"/>
      <w:ind w:firstLine="544" w:firstLineChars="200"/>
    </w:pPr>
    <w:rPr>
      <w:rFonts w:ascii="宋体" w:hAnsi="宋体"/>
      <w:kern w:val="0"/>
      <w:sz w:val="24"/>
    </w:rPr>
  </w:style>
  <w:style w:type="character" w:customStyle="1" w:styleId="89">
    <w:name w:val="页脚 字符"/>
    <w:qFormat/>
    <w:uiPriority w:val="99"/>
  </w:style>
  <w:style w:type="character" w:customStyle="1" w:styleId="90">
    <w:name w:val="正文文本 字符1"/>
    <w:semiHidden/>
    <w:qFormat/>
    <w:uiPriority w:val="0"/>
    <w:rPr>
      <w:rFonts w:ascii="Times New Roman" w:hAnsi="Times New Roman" w:eastAsia="宋体"/>
      <w:sz w:val="24"/>
    </w:rPr>
  </w:style>
  <w:style w:type="character" w:customStyle="1" w:styleId="91">
    <w:name w:val="表格 Char"/>
    <w:link w:val="92"/>
    <w:qFormat/>
    <w:locked/>
    <w:uiPriority w:val="0"/>
    <w:rPr>
      <w:rFonts w:ascii="宋体"/>
      <w:sz w:val="21"/>
    </w:rPr>
  </w:style>
  <w:style w:type="paragraph" w:customStyle="1" w:styleId="92">
    <w:name w:val="表格"/>
    <w:basedOn w:val="1"/>
    <w:next w:val="1"/>
    <w:link w:val="91"/>
    <w:qFormat/>
    <w:uiPriority w:val="0"/>
    <w:pPr>
      <w:adjustRightInd w:val="0"/>
      <w:snapToGrid w:val="0"/>
      <w:spacing w:beforeLines="10" w:afterLines="10" w:line="259" w:lineRule="auto"/>
      <w:jc w:val="center"/>
    </w:pPr>
    <w:rPr>
      <w:rFonts w:ascii="宋体"/>
      <w:kern w:val="0"/>
      <w:szCs w:val="20"/>
    </w:rPr>
  </w:style>
  <w:style w:type="character" w:customStyle="1" w:styleId="93">
    <w:name w:val="日期 字符"/>
    <w:qFormat/>
    <w:uiPriority w:val="0"/>
    <w:rPr>
      <w:rFonts w:ascii="Times New Roman" w:hAnsi="Times New Roman" w:eastAsia="宋体"/>
      <w:sz w:val="24"/>
    </w:rPr>
  </w:style>
  <w:style w:type="character" w:customStyle="1" w:styleId="94">
    <w:name w:val="批注文字 字符1"/>
    <w:semiHidden/>
    <w:qFormat/>
    <w:uiPriority w:val="0"/>
    <w:rPr>
      <w:rFonts w:ascii="Times New Roman" w:hAnsi="Times New Roman" w:eastAsia="宋体"/>
      <w:sz w:val="24"/>
    </w:rPr>
  </w:style>
  <w:style w:type="paragraph" w:customStyle="1" w:styleId="95">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97">
    <w:name w:val="NormalCharacter"/>
    <w:semiHidden/>
    <w:qFormat/>
    <w:uiPriority w:val="0"/>
    <w:rPr>
      <w:rFonts w:ascii="Times New Roman" w:hAnsi="Times New Roman" w:eastAsia="宋体" w:cs="Times New Roman"/>
      <w:kern w:val="2"/>
      <w:sz w:val="21"/>
      <w:lang w:val="en-US" w:eastAsia="zh-CN" w:bidi="ar-SA"/>
    </w:rPr>
  </w:style>
  <w:style w:type="paragraph" w:customStyle="1" w:styleId="98">
    <w:name w:val="1bt"/>
    <w:basedOn w:val="1"/>
    <w:link w:val="99"/>
    <w:qFormat/>
    <w:uiPriority w:val="0"/>
    <w:pPr>
      <w:adjustRightInd w:val="0"/>
      <w:snapToGrid w:val="0"/>
      <w:spacing w:before="50" w:beforeLines="50" w:after="50" w:afterLines="50"/>
      <w:jc w:val="left"/>
      <w:outlineLvl w:val="0"/>
    </w:pPr>
    <w:rPr>
      <w:rFonts w:ascii="黑体" w:hAnsi="黑体" w:eastAsia="等线"/>
      <w:b/>
      <w:bCs/>
      <w:sz w:val="24"/>
      <w:szCs w:val="28"/>
    </w:rPr>
  </w:style>
  <w:style w:type="character" w:customStyle="1" w:styleId="99">
    <w:name w:val="1bt 字符"/>
    <w:link w:val="98"/>
    <w:qFormat/>
    <w:uiPriority w:val="0"/>
    <w:rPr>
      <w:rFonts w:ascii="黑体" w:hAnsi="黑体" w:eastAsia="等线"/>
      <w:b/>
      <w:bCs/>
      <w:kern w:val="2"/>
      <w:sz w:val="24"/>
      <w:szCs w:val="28"/>
    </w:rPr>
  </w:style>
  <w:style w:type="paragraph" w:customStyle="1" w:styleId="100">
    <w:name w:val="正"/>
    <w:basedOn w:val="1"/>
    <w:link w:val="101"/>
    <w:qFormat/>
    <w:uiPriority w:val="0"/>
    <w:pPr>
      <w:adjustRightInd w:val="0"/>
      <w:spacing w:line="360" w:lineRule="auto"/>
      <w:ind w:left="23" w:leftChars="11" w:firstLine="480" w:firstLineChars="200"/>
    </w:pPr>
    <w:rPr>
      <w:sz w:val="24"/>
    </w:rPr>
  </w:style>
  <w:style w:type="character" w:customStyle="1" w:styleId="101">
    <w:name w:val="正 Char"/>
    <w:link w:val="100"/>
    <w:qFormat/>
    <w:uiPriority w:val="0"/>
    <w:rPr>
      <w:kern w:val="2"/>
      <w:sz w:val="24"/>
      <w:szCs w:val="24"/>
    </w:rPr>
  </w:style>
  <w:style w:type="paragraph" w:customStyle="1" w:styleId="102">
    <w:name w:val="2bt"/>
    <w:basedOn w:val="1"/>
    <w:link w:val="103"/>
    <w:qFormat/>
    <w:uiPriority w:val="0"/>
    <w:pPr>
      <w:adjustRightInd w:val="0"/>
      <w:snapToGrid w:val="0"/>
      <w:spacing w:before="50" w:beforeLines="50" w:after="50" w:afterLines="50"/>
      <w:ind w:firstLine="100" w:firstLineChars="100"/>
      <w:outlineLvl w:val="1"/>
    </w:pPr>
    <w:rPr>
      <w:rFonts w:eastAsia="等线"/>
      <w:b/>
      <w:bCs/>
      <w:sz w:val="24"/>
    </w:rPr>
  </w:style>
  <w:style w:type="character" w:customStyle="1" w:styleId="103">
    <w:name w:val="2bt Char"/>
    <w:link w:val="102"/>
    <w:qFormat/>
    <w:uiPriority w:val="0"/>
    <w:rPr>
      <w:rFonts w:eastAsia="等线"/>
      <w:b/>
      <w:bCs/>
      <w:kern w:val="2"/>
      <w:sz w:val="24"/>
      <w:szCs w:val="24"/>
    </w:rPr>
  </w:style>
  <w:style w:type="paragraph" w:customStyle="1" w:styleId="104">
    <w:name w:val="表格啊啊"/>
    <w:basedOn w:val="1"/>
    <w:link w:val="105"/>
    <w:qFormat/>
    <w:uiPriority w:val="0"/>
    <w:pPr>
      <w:autoSpaceDE w:val="0"/>
      <w:autoSpaceDN w:val="0"/>
      <w:adjustRightInd w:val="0"/>
      <w:snapToGrid w:val="0"/>
      <w:jc w:val="center"/>
    </w:pPr>
    <w:rPr>
      <w:rFonts w:hAnsi="宋体"/>
      <w:szCs w:val="21"/>
    </w:rPr>
  </w:style>
  <w:style w:type="character" w:customStyle="1" w:styleId="105">
    <w:name w:val="表格啊啊 Char"/>
    <w:link w:val="104"/>
    <w:qFormat/>
    <w:uiPriority w:val="0"/>
    <w:rPr>
      <w:rFonts w:hAnsi="宋体"/>
      <w:kern w:val="2"/>
      <w:sz w:val="21"/>
      <w:szCs w:val="21"/>
    </w:rPr>
  </w:style>
  <w:style w:type="paragraph" w:customStyle="1" w:styleId="106">
    <w:name w:val="biaotou"/>
    <w:basedOn w:val="100"/>
    <w:link w:val="107"/>
    <w:qFormat/>
    <w:uiPriority w:val="0"/>
    <w:pPr>
      <w:numPr>
        <w:ilvl w:val="0"/>
        <w:numId w:val="2"/>
      </w:numPr>
      <w:autoSpaceDE w:val="0"/>
      <w:autoSpaceDN w:val="0"/>
      <w:adjustRightInd w:val="0"/>
      <w:spacing w:before="50" w:beforeLines="50"/>
      <w:jc w:val="center"/>
    </w:pPr>
    <w:rPr>
      <w:rFonts w:ascii="黑体" w:hAnsi="宋体" w:eastAsia="黑体"/>
      <w:sz w:val="22"/>
      <w:lang w:val="zh-CN"/>
    </w:rPr>
  </w:style>
  <w:style w:type="character" w:customStyle="1" w:styleId="107">
    <w:name w:val="biaotou 字符"/>
    <w:link w:val="106"/>
    <w:qFormat/>
    <w:uiPriority w:val="0"/>
    <w:rPr>
      <w:rFonts w:ascii="黑体" w:hAnsi="宋体" w:eastAsia="黑体"/>
      <w:kern w:val="2"/>
      <w:sz w:val="22"/>
      <w:szCs w:val="24"/>
      <w:lang w:val="zh-CN"/>
    </w:rPr>
  </w:style>
  <w:style w:type="paragraph" w:customStyle="1" w:styleId="108">
    <w:name w:val="3btt"/>
    <w:basedOn w:val="1"/>
    <w:link w:val="109"/>
    <w:qFormat/>
    <w:uiPriority w:val="0"/>
    <w:pPr>
      <w:adjustRightInd w:val="0"/>
      <w:snapToGrid w:val="0"/>
      <w:spacing w:before="50" w:beforeLines="50" w:after="50" w:afterLines="50"/>
      <w:ind w:firstLine="200" w:firstLineChars="200"/>
      <w:jc w:val="left"/>
      <w:outlineLvl w:val="2"/>
    </w:pPr>
    <w:rPr>
      <w:rFonts w:eastAsia="等线"/>
      <w:b/>
      <w:bCs/>
      <w:sz w:val="24"/>
    </w:rPr>
  </w:style>
  <w:style w:type="character" w:customStyle="1" w:styleId="109">
    <w:name w:val="3btt Char"/>
    <w:link w:val="108"/>
    <w:qFormat/>
    <w:uiPriority w:val="0"/>
    <w:rPr>
      <w:rFonts w:eastAsia="等线"/>
      <w:b/>
      <w:bCs/>
      <w:kern w:val="2"/>
      <w:sz w:val="24"/>
      <w:szCs w:val="24"/>
    </w:rPr>
  </w:style>
  <w:style w:type="paragraph" w:customStyle="1" w:styleId="110">
    <w:name w:val="图头"/>
    <w:basedOn w:val="1"/>
    <w:link w:val="111"/>
    <w:qFormat/>
    <w:uiPriority w:val="0"/>
    <w:pPr>
      <w:numPr>
        <w:ilvl w:val="0"/>
        <w:numId w:val="3"/>
      </w:numPr>
      <w:autoSpaceDE w:val="0"/>
      <w:autoSpaceDN w:val="0"/>
      <w:adjustRightInd w:val="0"/>
      <w:snapToGrid w:val="0"/>
      <w:spacing w:after="50" w:afterLines="50"/>
      <w:jc w:val="center"/>
    </w:pPr>
    <w:rPr>
      <w:rFonts w:ascii="黑体" w:hAnsi="宋体" w:eastAsia="等线"/>
      <w:b/>
      <w:kern w:val="0"/>
      <w:sz w:val="22"/>
      <w:lang w:val="zh-CN"/>
    </w:rPr>
  </w:style>
  <w:style w:type="character" w:customStyle="1" w:styleId="111">
    <w:name w:val="图头 Char1"/>
    <w:link w:val="110"/>
    <w:qFormat/>
    <w:locked/>
    <w:uiPriority w:val="0"/>
    <w:rPr>
      <w:rFonts w:ascii="黑体" w:hAnsi="宋体" w:eastAsia="等线"/>
      <w:b/>
      <w:sz w:val="22"/>
      <w:szCs w:val="24"/>
      <w:lang w:val="zh-CN"/>
    </w:rPr>
  </w:style>
  <w:style w:type="paragraph" w:customStyle="1" w:styleId="112">
    <w:name w:val="tttt"/>
    <w:basedOn w:val="10"/>
    <w:link w:val="113"/>
    <w:qFormat/>
    <w:uiPriority w:val="0"/>
    <w:pPr>
      <w:spacing w:line="360" w:lineRule="auto"/>
      <w:jc w:val="center"/>
    </w:pPr>
    <w:rPr>
      <w:rFonts w:ascii="黑体" w:hAnsi="黑体" w:eastAsia="黑体"/>
      <w:sz w:val="24"/>
    </w:rPr>
  </w:style>
  <w:style w:type="character" w:customStyle="1" w:styleId="113">
    <w:name w:val="tttt Char"/>
    <w:link w:val="112"/>
    <w:qFormat/>
    <w:uiPriority w:val="0"/>
    <w:rPr>
      <w:rFonts w:ascii="黑体" w:hAnsi="黑体" w:eastAsia="黑体"/>
      <w:kern w:val="2"/>
      <w:sz w:val="24"/>
      <w:szCs w:val="24"/>
    </w:rPr>
  </w:style>
  <w:style w:type="character" w:customStyle="1" w:styleId="114">
    <w:name w:val="1及bt Char"/>
    <w:link w:val="115"/>
    <w:qFormat/>
    <w:locked/>
    <w:uiPriority w:val="0"/>
    <w:rPr>
      <w:rFonts w:ascii="黑体" w:hAnsi="黑体" w:eastAsia="黑体"/>
      <w:bCs/>
      <w:kern w:val="2"/>
      <w:sz w:val="32"/>
      <w:szCs w:val="28"/>
    </w:rPr>
  </w:style>
  <w:style w:type="paragraph" w:customStyle="1" w:styleId="115">
    <w:name w:val="1及bt"/>
    <w:basedOn w:val="1"/>
    <w:link w:val="114"/>
    <w:qFormat/>
    <w:uiPriority w:val="0"/>
    <w:pPr>
      <w:adjustRightInd w:val="0"/>
      <w:snapToGrid w:val="0"/>
      <w:spacing w:beforeLines="50" w:afterLines="50"/>
      <w:jc w:val="left"/>
      <w:outlineLvl w:val="0"/>
    </w:pPr>
    <w:rPr>
      <w:rFonts w:ascii="黑体" w:hAnsi="黑体" w:eastAsia="黑体"/>
      <w:bCs/>
      <w:sz w:val="32"/>
      <w:szCs w:val="28"/>
    </w:rPr>
  </w:style>
  <w:style w:type="paragraph" w:customStyle="1" w:styleId="116">
    <w:name w:val="4bt"/>
    <w:basedOn w:val="1"/>
    <w:link w:val="117"/>
    <w:qFormat/>
    <w:uiPriority w:val="0"/>
    <w:pPr>
      <w:adjustRightInd w:val="0"/>
      <w:snapToGrid w:val="0"/>
      <w:spacing w:before="146" w:beforeLines="50" w:after="146" w:afterLines="50"/>
      <w:ind w:firstLine="480" w:firstLineChars="200"/>
      <w:jc w:val="left"/>
      <w:outlineLvl w:val="2"/>
    </w:pPr>
    <w:rPr>
      <w:rFonts w:eastAsia="黑体"/>
      <w:bCs/>
      <w:sz w:val="24"/>
    </w:rPr>
  </w:style>
  <w:style w:type="character" w:customStyle="1" w:styleId="117">
    <w:name w:val="4bt 字符"/>
    <w:link w:val="116"/>
    <w:qFormat/>
    <w:uiPriority w:val="0"/>
    <w:rPr>
      <w:rFonts w:eastAsia="黑体"/>
      <w:bCs/>
      <w:kern w:val="2"/>
      <w:sz w:val="24"/>
      <w:szCs w:val="24"/>
    </w:rPr>
  </w:style>
  <w:style w:type="character" w:customStyle="1" w:styleId="118">
    <w:name w:val="表头 Char Char"/>
    <w:qFormat/>
    <w:uiPriority w:val="0"/>
    <w:rPr>
      <w:rFonts w:eastAsia="黑体" w:cs="宋体"/>
      <w:kern w:val="2"/>
      <w:sz w:val="24"/>
    </w:rPr>
  </w:style>
  <w:style w:type="paragraph" w:customStyle="1" w:styleId="119">
    <w:name w:val="正文01"/>
    <w:basedOn w:val="1"/>
    <w:link w:val="120"/>
    <w:qFormat/>
    <w:uiPriority w:val="0"/>
    <w:pPr>
      <w:numPr>
        <w:ilvl w:val="0"/>
        <w:numId w:val="4"/>
      </w:numPr>
      <w:adjustRightInd w:val="0"/>
      <w:snapToGrid w:val="0"/>
      <w:spacing w:before="60" w:line="460" w:lineRule="exact"/>
      <w:ind w:left="0" w:firstLine="200" w:firstLineChars="200"/>
    </w:pPr>
    <w:rPr>
      <w:rFonts w:ascii="Calibri" w:hAnsi="Calibri"/>
      <w:sz w:val="24"/>
    </w:rPr>
  </w:style>
  <w:style w:type="character" w:customStyle="1" w:styleId="120">
    <w:name w:val="正文01 Char"/>
    <w:link w:val="119"/>
    <w:qFormat/>
    <w:uiPriority w:val="0"/>
    <w:rPr>
      <w:rFonts w:ascii="Calibri" w:hAnsi="Calibri"/>
      <w:kern w:val="2"/>
      <w:sz w:val="24"/>
      <w:szCs w:val="24"/>
    </w:rPr>
  </w:style>
  <w:style w:type="character" w:customStyle="1" w:styleId="121">
    <w:name w:val="正文样式1 Char Char"/>
    <w:link w:val="122"/>
    <w:qFormat/>
    <w:uiPriority w:val="0"/>
    <w:rPr>
      <w:rFonts w:cs="宋体"/>
      <w:kern w:val="10"/>
      <w:sz w:val="28"/>
      <w:szCs w:val="28"/>
    </w:rPr>
  </w:style>
  <w:style w:type="paragraph" w:customStyle="1" w:styleId="122">
    <w:name w:val="正文样式1"/>
    <w:basedOn w:val="1"/>
    <w:link w:val="121"/>
    <w:qFormat/>
    <w:uiPriority w:val="0"/>
    <w:pPr>
      <w:spacing w:line="600" w:lineRule="exact"/>
      <w:ind w:firstLine="200" w:firstLineChars="200"/>
    </w:pPr>
    <w:rPr>
      <w:rFonts w:cs="宋体"/>
      <w:kern w:val="10"/>
      <w:sz w:val="28"/>
      <w:szCs w:val="28"/>
    </w:rPr>
  </w:style>
  <w:style w:type="character" w:customStyle="1" w:styleId="123">
    <w:name w:val="表文字 Char1"/>
    <w:link w:val="124"/>
    <w:qFormat/>
    <w:uiPriority w:val="0"/>
    <w:rPr>
      <w:sz w:val="21"/>
      <w:szCs w:val="21"/>
    </w:rPr>
  </w:style>
  <w:style w:type="paragraph" w:customStyle="1" w:styleId="124">
    <w:name w:val="表文字"/>
    <w:link w:val="123"/>
    <w:qFormat/>
    <w:uiPriority w:val="0"/>
    <w:pPr>
      <w:widowControl w:val="0"/>
      <w:adjustRightInd w:val="0"/>
      <w:spacing w:line="240" w:lineRule="exact"/>
      <w:jc w:val="center"/>
      <w:textAlignment w:val="baseline"/>
    </w:pPr>
    <w:rPr>
      <w:rFonts w:ascii="Times New Roman" w:hAnsi="Times New Roman" w:eastAsia="宋体" w:cs="Times New Roman"/>
      <w:sz w:val="21"/>
      <w:szCs w:val="21"/>
      <w:lang w:val="en-US" w:eastAsia="zh-CN" w:bidi="ar-SA"/>
    </w:rPr>
  </w:style>
  <w:style w:type="character" w:customStyle="1" w:styleId="125">
    <w:name w:val="首行缩进两字 Char Char Char Char Char Char"/>
    <w:link w:val="126"/>
    <w:qFormat/>
    <w:uiPriority w:val="0"/>
    <w:rPr>
      <w:rFonts w:ascii="宋体" w:hAnsi="宋体"/>
      <w:color w:val="000000"/>
      <w:sz w:val="28"/>
    </w:rPr>
  </w:style>
  <w:style w:type="paragraph" w:customStyle="1" w:styleId="126">
    <w:name w:val="首行缩进两字"/>
    <w:basedOn w:val="1"/>
    <w:link w:val="125"/>
    <w:qFormat/>
    <w:uiPriority w:val="0"/>
    <w:pPr>
      <w:ind w:firstLine="549" w:firstLineChars="200"/>
      <w:jc w:val="left"/>
    </w:pPr>
    <w:rPr>
      <w:rFonts w:ascii="宋体" w:hAnsi="宋体"/>
      <w:color w:val="000000"/>
      <w:kern w:val="0"/>
      <w:sz w:val="28"/>
      <w:szCs w:val="20"/>
    </w:rPr>
  </w:style>
  <w:style w:type="character" w:customStyle="1" w:styleId="127">
    <w:name w:val="正文正文 正文 正文 正文 正文  1.5 倍行距 首行缩进:  2 字符 + 首行缩进:  2 字符 Char"/>
    <w:link w:val="128"/>
    <w:qFormat/>
    <w:uiPriority w:val="0"/>
    <w:rPr>
      <w:rFonts w:hAnsi="宋体"/>
      <w:kern w:val="2"/>
      <w:sz w:val="21"/>
      <w:szCs w:val="21"/>
    </w:rPr>
  </w:style>
  <w:style w:type="paragraph" w:customStyle="1" w:styleId="128">
    <w:name w:val="正文正文 正文 正文 正文 正文  1.5 倍行距 首行缩进:  2 字符 + 首行缩进:  2 字符"/>
    <w:basedOn w:val="1"/>
    <w:link w:val="127"/>
    <w:qFormat/>
    <w:uiPriority w:val="0"/>
    <w:pPr>
      <w:spacing w:line="300" w:lineRule="exact"/>
    </w:pPr>
    <w:rPr>
      <w:rFonts w:hAnsi="宋体"/>
      <w:szCs w:val="21"/>
    </w:rPr>
  </w:style>
  <w:style w:type="character" w:customStyle="1" w:styleId="129">
    <w:name w:val="首行缩进两字 Char Char Char1"/>
    <w:link w:val="130"/>
    <w:qFormat/>
    <w:uiPriority w:val="0"/>
    <w:rPr>
      <w:rFonts w:ascii="宋体" w:hAnsi="宋体"/>
      <w:kern w:val="2"/>
      <w:sz w:val="28"/>
      <w:szCs w:val="24"/>
    </w:rPr>
  </w:style>
  <w:style w:type="paragraph" w:customStyle="1" w:styleId="130">
    <w:name w:val="首行缩进两字 Char Char"/>
    <w:basedOn w:val="1"/>
    <w:link w:val="129"/>
    <w:qFormat/>
    <w:uiPriority w:val="0"/>
    <w:pPr>
      <w:ind w:firstLine="560" w:firstLineChars="200"/>
      <w:jc w:val="left"/>
    </w:pPr>
    <w:rPr>
      <w:rFonts w:ascii="宋体" w:hAnsi="宋体"/>
      <w:sz w:val="28"/>
    </w:rPr>
  </w:style>
  <w:style w:type="character" w:customStyle="1" w:styleId="131">
    <w:name w:val="style5"/>
    <w:qFormat/>
    <w:uiPriority w:val="0"/>
  </w:style>
  <w:style w:type="character" w:customStyle="1" w:styleId="132">
    <w:name w:val="t_tag"/>
    <w:qFormat/>
    <w:uiPriority w:val="0"/>
  </w:style>
  <w:style w:type="character" w:customStyle="1" w:styleId="133">
    <w:name w:val="textindent1"/>
    <w:qFormat/>
    <w:uiPriority w:val="0"/>
  </w:style>
  <w:style w:type="character" w:customStyle="1" w:styleId="134">
    <w:name w:val="正文缩进 Char Char"/>
    <w:qFormat/>
    <w:uiPriority w:val="0"/>
    <w:rPr>
      <w:rFonts w:ascii="宋体" w:hAnsi="宋体" w:eastAsia="宋体" w:cs="宋体"/>
      <w:b/>
      <w:bCs/>
      <w:kern w:val="2"/>
      <w:sz w:val="28"/>
      <w:szCs w:val="28"/>
      <w:lang w:val="en-US" w:eastAsia="zh-CN" w:bidi="ar-SA"/>
    </w:rPr>
  </w:style>
  <w:style w:type="character" w:customStyle="1" w:styleId="135">
    <w:name w:val="样式 Arial Narrow 四号"/>
    <w:qFormat/>
    <w:uiPriority w:val="0"/>
    <w:rPr>
      <w:rFonts w:ascii="Arial Narrow" w:hAnsi="Arial Narrow"/>
      <w:sz w:val="28"/>
      <w:szCs w:val="28"/>
    </w:rPr>
  </w:style>
  <w:style w:type="character" w:customStyle="1" w:styleId="136">
    <w:name w:val="apple-converted-space"/>
    <w:qFormat/>
    <w:uiPriority w:val="0"/>
  </w:style>
  <w:style w:type="character" w:customStyle="1" w:styleId="137">
    <w:name w:val="zi1"/>
    <w:qFormat/>
    <w:uiPriority w:val="0"/>
    <w:rPr>
      <w:color w:val="000000"/>
      <w:sz w:val="20"/>
      <w:szCs w:val="20"/>
      <w:u w:val="none"/>
    </w:rPr>
  </w:style>
  <w:style w:type="character" w:customStyle="1" w:styleId="138">
    <w:name w:val="newline1"/>
    <w:qFormat/>
    <w:uiPriority w:val="0"/>
  </w:style>
  <w:style w:type="character" w:customStyle="1" w:styleId="139">
    <w:name w:val="纯文本 字符"/>
    <w:qFormat/>
    <w:uiPriority w:val="0"/>
    <w:rPr>
      <w:rFonts w:ascii="宋体" w:hAnsi="Courier New" w:cs="Courier New"/>
      <w:kern w:val="2"/>
      <w:sz w:val="21"/>
      <w:szCs w:val="21"/>
    </w:rPr>
  </w:style>
  <w:style w:type="paragraph" w:customStyle="1" w:styleId="140">
    <w:name w:val="煤炭正文"/>
    <w:basedOn w:val="1"/>
    <w:qFormat/>
    <w:uiPriority w:val="0"/>
    <w:pPr>
      <w:spacing w:line="360" w:lineRule="exact"/>
      <w:ind w:firstLine="200" w:firstLineChars="200"/>
    </w:pPr>
    <w:rPr>
      <w:rFonts w:ascii="Calibri" w:hAnsi="Calibri"/>
      <w:sz w:val="24"/>
    </w:rPr>
  </w:style>
  <w:style w:type="paragraph" w:customStyle="1" w:styleId="141">
    <w:name w:val="样式3"/>
    <w:basedOn w:val="4"/>
    <w:qFormat/>
    <w:uiPriority w:val="0"/>
    <w:pPr>
      <w:spacing w:before="0" w:after="0" w:line="480" w:lineRule="exact"/>
    </w:pPr>
    <w:rPr>
      <w:rFonts w:ascii="黑体" w:hAnsi="宋体" w:eastAsia="黑体"/>
      <w:b w:val="0"/>
      <w:spacing w:val="5"/>
      <w:sz w:val="28"/>
      <w:szCs w:val="28"/>
    </w:rPr>
  </w:style>
  <w:style w:type="paragraph" w:customStyle="1" w:styleId="142">
    <w:name w:val="中文报告书样式"/>
    <w:basedOn w:val="1"/>
    <w:qFormat/>
    <w:uiPriority w:val="0"/>
    <w:pPr>
      <w:adjustRightInd w:val="0"/>
      <w:spacing w:line="480" w:lineRule="atLeast"/>
      <w:ind w:firstLine="482"/>
      <w:textAlignment w:val="baseline"/>
    </w:pPr>
    <w:rPr>
      <w:rFonts w:ascii="Calibri" w:hAnsi="Calibri"/>
      <w:kern w:val="24"/>
      <w:sz w:val="24"/>
      <w:szCs w:val="20"/>
    </w:rPr>
  </w:style>
  <w:style w:type="paragraph" w:customStyle="1" w:styleId="143">
    <w:name w:val="Char Char Char Char Char Char"/>
    <w:basedOn w:val="1"/>
    <w:qFormat/>
    <w:uiPriority w:val="0"/>
    <w:rPr>
      <w:rFonts w:ascii="Calibri" w:hAnsi="Calibri"/>
    </w:rPr>
  </w:style>
  <w:style w:type="paragraph" w:customStyle="1" w:styleId="144">
    <w:name w:val="报告表正文"/>
    <w:basedOn w:val="1"/>
    <w:link w:val="254"/>
    <w:qFormat/>
    <w:uiPriority w:val="0"/>
    <w:pPr>
      <w:adjustRightInd w:val="0"/>
      <w:spacing w:line="360" w:lineRule="auto"/>
      <w:ind w:left="23" w:leftChars="11" w:firstLine="480" w:firstLineChars="200"/>
    </w:pPr>
    <w:rPr>
      <w:sz w:val="24"/>
    </w:rPr>
  </w:style>
  <w:style w:type="paragraph" w:customStyle="1" w:styleId="145">
    <w:name w:val="Char1"/>
    <w:basedOn w:val="1"/>
    <w:qFormat/>
    <w:uiPriority w:val="0"/>
    <w:rPr>
      <w:rFonts w:ascii="Calibri" w:hAnsi="Calibri"/>
      <w:sz w:val="24"/>
    </w:rPr>
  </w:style>
  <w:style w:type="paragraph" w:customStyle="1" w:styleId="146">
    <w:name w:val="样式 行距: 固定值 24 磅"/>
    <w:basedOn w:val="1"/>
    <w:qFormat/>
    <w:uiPriority w:val="0"/>
    <w:pPr>
      <w:spacing w:line="480" w:lineRule="exact"/>
      <w:ind w:firstLine="200" w:firstLineChars="200"/>
    </w:pPr>
    <w:rPr>
      <w:rFonts w:ascii="Calibri" w:hAnsi="Calibri"/>
      <w:sz w:val="24"/>
      <w:szCs w:val="20"/>
    </w:rPr>
  </w:style>
  <w:style w:type="paragraph" w:customStyle="1" w:styleId="147">
    <w:name w:val="说明书正文"/>
    <w:basedOn w:val="1"/>
    <w:qFormat/>
    <w:uiPriority w:val="0"/>
    <w:pPr>
      <w:spacing w:line="480" w:lineRule="exact"/>
      <w:ind w:firstLine="600" w:firstLineChars="200"/>
    </w:pPr>
    <w:rPr>
      <w:rFonts w:ascii="Calibri" w:hAnsi="Calibri" w:eastAsia="仿宋_GB2312"/>
      <w:color w:val="000000"/>
      <w:sz w:val="30"/>
    </w:rPr>
  </w:style>
  <w:style w:type="paragraph" w:customStyle="1" w:styleId="148">
    <w:name w:val="2"/>
    <w:basedOn w:val="1"/>
    <w:next w:val="20"/>
    <w:qFormat/>
    <w:uiPriority w:val="0"/>
    <w:pPr>
      <w:ind w:firstLine="560" w:firstLineChars="200"/>
    </w:pPr>
    <w:rPr>
      <w:rFonts w:ascii="Calibri" w:hAnsi="Calibri"/>
      <w:sz w:val="28"/>
    </w:rPr>
  </w:style>
  <w:style w:type="paragraph" w:customStyle="1" w:styleId="149">
    <w:name w:val="表格文字"/>
    <w:basedOn w:val="19"/>
    <w:link w:val="150"/>
    <w:qFormat/>
    <w:uiPriority w:val="0"/>
    <w:pPr>
      <w:widowControl/>
      <w:snapToGrid w:val="0"/>
      <w:jc w:val="center"/>
    </w:pPr>
    <w:rPr>
      <w:rFonts w:ascii="Times New Roman" w:hAnsi="Times New Roman" w:eastAsia="仿宋_GB2312" w:cs="Times New Roman"/>
      <w:kern w:val="0"/>
      <w:sz w:val="24"/>
      <w:szCs w:val="22"/>
      <w:lang w:val="sq-AL"/>
    </w:rPr>
  </w:style>
  <w:style w:type="character" w:customStyle="1" w:styleId="150">
    <w:name w:val="表格文字 Char"/>
    <w:link w:val="149"/>
    <w:qFormat/>
    <w:uiPriority w:val="0"/>
    <w:rPr>
      <w:rFonts w:eastAsia="仿宋_GB2312"/>
      <w:sz w:val="24"/>
      <w:szCs w:val="22"/>
      <w:lang w:val="sq-AL"/>
    </w:rPr>
  </w:style>
  <w:style w:type="paragraph" w:customStyle="1" w:styleId="151">
    <w:name w:val="Table Paragraph"/>
    <w:basedOn w:val="1"/>
    <w:qFormat/>
    <w:uiPriority w:val="99"/>
    <w:rPr>
      <w:rFonts w:ascii="宋体" w:hAnsi="宋体" w:cs="宋体"/>
      <w:lang w:val="zh-CN" w:bidi="zh-CN"/>
    </w:rPr>
  </w:style>
  <w:style w:type="paragraph" w:customStyle="1" w:styleId="152">
    <w:name w:val="默认段落字体 Para Char Char Char Char"/>
    <w:basedOn w:val="1"/>
    <w:qFormat/>
    <w:uiPriority w:val="0"/>
    <w:rPr>
      <w:rFonts w:ascii="Calibri" w:hAnsi="Calibri"/>
      <w:sz w:val="24"/>
    </w:rPr>
  </w:style>
  <w:style w:type="paragraph" w:customStyle="1" w:styleId="153">
    <w:name w:val="Char Char Char1 Char Char Char Char Char Char Char Char Char Char"/>
    <w:basedOn w:val="1"/>
    <w:qFormat/>
    <w:uiPriority w:val="0"/>
  </w:style>
  <w:style w:type="paragraph" w:customStyle="1" w:styleId="154">
    <w:name w:val="表格文字（xie）"/>
    <w:qFormat/>
    <w:uiPriority w:val="0"/>
    <w:pPr>
      <w:snapToGrid w:val="0"/>
      <w:jc w:val="center"/>
    </w:pPr>
    <w:rPr>
      <w:rFonts w:ascii="Calibri" w:hAnsi="Calibri" w:eastAsia="宋体" w:cs="宋体"/>
      <w:sz w:val="21"/>
      <w:szCs w:val="24"/>
      <w:lang w:val="en-US" w:eastAsia="zh-CN" w:bidi="ar-SA"/>
    </w:rPr>
  </w:style>
  <w:style w:type="paragraph" w:customStyle="1" w:styleId="155">
    <w:name w:val="环评正文"/>
    <w:basedOn w:val="1"/>
    <w:link w:val="156"/>
    <w:qFormat/>
    <w:uiPriority w:val="0"/>
    <w:pPr>
      <w:spacing w:line="360" w:lineRule="auto"/>
    </w:pPr>
    <w:rPr>
      <w:rFonts w:ascii="宋体" w:hAnsi="宋体"/>
      <w:sz w:val="24"/>
    </w:rPr>
  </w:style>
  <w:style w:type="character" w:customStyle="1" w:styleId="156">
    <w:name w:val="环评正文 Char Char"/>
    <w:link w:val="155"/>
    <w:qFormat/>
    <w:uiPriority w:val="0"/>
    <w:rPr>
      <w:rFonts w:ascii="宋体" w:hAnsi="宋体"/>
      <w:kern w:val="2"/>
      <w:sz w:val="24"/>
      <w:szCs w:val="24"/>
    </w:rPr>
  </w:style>
  <w:style w:type="paragraph" w:customStyle="1" w:styleId="157">
    <w:name w:val="Char1 Char Char Char"/>
    <w:basedOn w:val="1"/>
    <w:qFormat/>
    <w:uiPriority w:val="0"/>
    <w:pPr>
      <w:spacing w:before="312" w:beforeLines="100" w:after="156" w:afterLines="50" w:line="600" w:lineRule="exact"/>
      <w:ind w:firstLine="200" w:firstLineChars="200"/>
    </w:pPr>
    <w:rPr>
      <w:rFonts w:ascii="Calibri" w:hAnsi="Calibri"/>
    </w:rPr>
  </w:style>
  <w:style w:type="paragraph" w:customStyle="1" w:styleId="158">
    <w:name w:val="样式 规划正文 + 仿宋_GB2312 三号 首行缩进:  2 字符 行距: 单倍行距"/>
    <w:basedOn w:val="1"/>
    <w:qFormat/>
    <w:uiPriority w:val="0"/>
    <w:pPr>
      <w:ind w:firstLine="560" w:firstLineChars="200"/>
    </w:pPr>
    <w:rPr>
      <w:rFonts w:ascii="仿宋_GB2312" w:hAnsi="Calibri" w:eastAsia="仿宋_GB2312" w:cs="宋体"/>
      <w:sz w:val="28"/>
      <w:szCs w:val="28"/>
    </w:rPr>
  </w:style>
  <w:style w:type="paragraph" w:customStyle="1" w:styleId="159">
    <w:name w:val="页末正文"/>
    <w:basedOn w:val="1"/>
    <w:qFormat/>
    <w:uiPriority w:val="0"/>
    <w:pPr>
      <w:spacing w:after="240" w:line="480" w:lineRule="exact"/>
      <w:ind w:firstLine="560" w:firstLineChars="200"/>
    </w:pPr>
    <w:rPr>
      <w:rFonts w:ascii="Calibri" w:hAnsi="Calibri" w:eastAsia="楷体_GB2312"/>
      <w:color w:val="000000"/>
      <w:sz w:val="28"/>
      <w:szCs w:val="20"/>
    </w:rPr>
  </w:style>
  <w:style w:type="paragraph" w:customStyle="1" w:styleId="160">
    <w:name w:val="默认段落字体 Para Char"/>
    <w:basedOn w:val="1"/>
    <w:next w:val="1"/>
    <w:qFormat/>
    <w:uiPriority w:val="0"/>
    <w:pPr>
      <w:spacing w:line="360" w:lineRule="auto"/>
      <w:ind w:firstLine="200" w:firstLineChars="200"/>
    </w:pPr>
    <w:rPr>
      <w:rFonts w:ascii="宋体" w:hAnsi="宋体" w:cs="宋体"/>
      <w:sz w:val="24"/>
    </w:rPr>
  </w:style>
  <w:style w:type="paragraph" w:customStyle="1" w:styleId="161">
    <w:name w:val="7表格(治)"/>
    <w:qFormat/>
    <w:uiPriority w:val="0"/>
    <w:pPr>
      <w:widowControl w:val="0"/>
      <w:spacing w:line="320" w:lineRule="exact"/>
      <w:jc w:val="center"/>
    </w:pPr>
    <w:rPr>
      <w:rFonts w:ascii="宋体" w:hAnsi="宋体" w:eastAsia="宋体" w:cs="宋体"/>
      <w:color w:val="000000"/>
      <w:sz w:val="21"/>
      <w:szCs w:val="21"/>
      <w:lang w:val="en-US" w:eastAsia="zh-CN" w:bidi="ar-SA"/>
    </w:rPr>
  </w:style>
  <w:style w:type="paragraph" w:customStyle="1" w:styleId="162">
    <w:name w:val="5-正文"/>
    <w:basedOn w:val="1"/>
    <w:qFormat/>
    <w:uiPriority w:val="0"/>
    <w:pPr>
      <w:spacing w:line="520" w:lineRule="exact"/>
      <w:ind w:firstLine="482"/>
    </w:pPr>
    <w:rPr>
      <w:lang w:val="zh-CN"/>
    </w:rPr>
  </w:style>
  <w:style w:type="paragraph" w:customStyle="1" w:styleId="163">
    <w:name w:val="表格内容"/>
    <w:qFormat/>
    <w:uiPriority w:val="0"/>
    <w:pPr>
      <w:numPr>
        <w:ilvl w:val="0"/>
        <w:numId w:val="5"/>
      </w:numPr>
      <w:spacing w:line="360" w:lineRule="exact"/>
      <w:ind w:left="0" w:firstLine="0"/>
      <w:jc w:val="center"/>
    </w:pPr>
    <w:rPr>
      <w:rFonts w:ascii="Calibri" w:hAnsi="Calibri" w:eastAsia="宋体" w:cs="Arial Unicode MS"/>
      <w:color w:val="000000"/>
      <w:kern w:val="1"/>
      <w:sz w:val="21"/>
      <w:szCs w:val="21"/>
      <w:lang w:val="en-US" w:eastAsia="zh-CN" w:bidi="ar-SA"/>
    </w:rPr>
  </w:style>
  <w:style w:type="paragraph" w:customStyle="1" w:styleId="164">
    <w:name w:val="报告正文"/>
    <w:basedOn w:val="1"/>
    <w:link w:val="165"/>
    <w:qFormat/>
    <w:uiPriority w:val="0"/>
    <w:pPr>
      <w:spacing w:line="540" w:lineRule="exact"/>
      <w:ind w:firstLine="560" w:firstLineChars="200"/>
      <w:jc w:val="left"/>
    </w:pPr>
    <w:rPr>
      <w:rFonts w:ascii="Calibri" w:hAnsi="Calibri" w:cs="宋体"/>
    </w:rPr>
  </w:style>
  <w:style w:type="character" w:customStyle="1" w:styleId="165">
    <w:name w:val="报告正文 Char"/>
    <w:link w:val="164"/>
    <w:qFormat/>
    <w:locked/>
    <w:uiPriority w:val="0"/>
    <w:rPr>
      <w:rFonts w:ascii="Calibri" w:hAnsi="Calibri" w:cs="宋体"/>
      <w:kern w:val="2"/>
      <w:sz w:val="21"/>
      <w:szCs w:val="24"/>
    </w:rPr>
  </w:style>
  <w:style w:type="paragraph" w:customStyle="1" w:styleId="166">
    <w:name w:val="表内字"/>
    <w:basedOn w:val="1"/>
    <w:qFormat/>
    <w:uiPriority w:val="0"/>
    <w:pPr>
      <w:spacing w:line="320" w:lineRule="exact"/>
      <w:jc w:val="center"/>
    </w:pPr>
    <w:rPr>
      <w:rFonts w:ascii="Calibri" w:hAnsi="Calibri"/>
    </w:rPr>
  </w:style>
  <w:style w:type="paragraph" w:customStyle="1" w:styleId="167">
    <w:name w:val="注"/>
    <w:qFormat/>
    <w:uiPriority w:val="0"/>
    <w:pPr>
      <w:spacing w:before="156" w:beforeLines="50" w:after="312" w:afterLines="100" w:line="240" w:lineRule="exact"/>
    </w:pPr>
    <w:rPr>
      <w:rFonts w:ascii="Calibri" w:hAnsi="Calibri" w:eastAsia="宋体" w:cs="Times New Roman"/>
      <w:b/>
      <w:bCs/>
      <w:sz w:val="21"/>
      <w:lang w:val="en-US" w:eastAsia="zh-CN" w:bidi="ar-SA"/>
    </w:rPr>
  </w:style>
  <w:style w:type="paragraph" w:customStyle="1" w:styleId="168">
    <w:name w:val="表格字体"/>
    <w:basedOn w:val="164"/>
    <w:qFormat/>
    <w:uiPriority w:val="0"/>
    <w:pPr>
      <w:adjustRightInd w:val="0"/>
      <w:spacing w:line="300" w:lineRule="exact"/>
      <w:jc w:val="center"/>
    </w:pPr>
    <w:rPr>
      <w:color w:val="000000"/>
      <w:sz w:val="18"/>
    </w:rPr>
  </w:style>
  <w:style w:type="character" w:customStyle="1" w:styleId="169">
    <w:name w:val="正文1 Char Char"/>
    <w:link w:val="32"/>
    <w:qFormat/>
    <w:uiPriority w:val="0"/>
    <w:rPr>
      <w:rFonts w:ascii="Calibri" w:hAnsi="Calibri"/>
      <w:kern w:val="2"/>
      <w:sz w:val="28"/>
    </w:rPr>
  </w:style>
  <w:style w:type="paragraph" w:customStyle="1" w:styleId="170">
    <w:name w:val="组工"/>
    <w:basedOn w:val="19"/>
    <w:qFormat/>
    <w:uiPriority w:val="0"/>
    <w:pPr>
      <w:ind w:firstLine="630"/>
      <w:jc w:val="center"/>
    </w:pPr>
    <w:rPr>
      <w:rFonts w:cs="Times New Roman"/>
      <w:b/>
      <w:sz w:val="36"/>
      <w:szCs w:val="24"/>
    </w:rPr>
  </w:style>
  <w:style w:type="paragraph" w:customStyle="1" w:styleId="171">
    <w:name w:val="段落1"/>
    <w:basedOn w:val="1"/>
    <w:qFormat/>
    <w:uiPriority w:val="0"/>
    <w:pPr>
      <w:spacing w:line="480" w:lineRule="exact"/>
      <w:ind w:firstLine="584" w:firstLineChars="200"/>
    </w:pPr>
    <w:rPr>
      <w:rFonts w:ascii="Calibri" w:hAnsi="Calibri"/>
      <w:spacing w:val="6"/>
      <w:sz w:val="28"/>
    </w:rPr>
  </w:style>
  <w:style w:type="paragraph" w:customStyle="1" w:styleId="172">
    <w:name w:val="样式 加粗 居中 行距: 固定值 25 磅"/>
    <w:basedOn w:val="1"/>
    <w:qFormat/>
    <w:uiPriority w:val="0"/>
    <w:pPr>
      <w:adjustRightInd w:val="0"/>
      <w:snapToGrid w:val="0"/>
      <w:jc w:val="center"/>
    </w:pPr>
    <w:rPr>
      <w:rFonts w:ascii="Calibri" w:hAnsi="Calibri" w:cs="宋体"/>
      <w:b/>
      <w:bCs/>
      <w:szCs w:val="20"/>
    </w:rPr>
  </w:style>
  <w:style w:type="paragraph" w:customStyle="1" w:styleId="173">
    <w:name w:val="Char Char Char Char Char Char Char"/>
    <w:basedOn w:val="1"/>
    <w:qFormat/>
    <w:uiPriority w:val="0"/>
    <w:pPr>
      <w:spacing w:before="300" w:after="300" w:line="560" w:lineRule="exact"/>
    </w:pPr>
    <w:rPr>
      <w:rFonts w:ascii="Calibri" w:hAnsi="Calibri"/>
    </w:rPr>
  </w:style>
  <w:style w:type="paragraph" w:customStyle="1" w:styleId="174">
    <w:name w:val="列出段落1"/>
    <w:basedOn w:val="1"/>
    <w:qFormat/>
    <w:uiPriority w:val="99"/>
    <w:pPr>
      <w:ind w:firstLine="420" w:firstLineChars="200"/>
    </w:pPr>
    <w:rPr>
      <w:rFonts w:ascii="宋体" w:hAnsi="宋体" w:cs="宋体"/>
      <w:szCs w:val="22"/>
    </w:rPr>
  </w:style>
  <w:style w:type="paragraph" w:styleId="175">
    <w:name w:val="List Paragraph"/>
    <w:basedOn w:val="1"/>
    <w:qFormat/>
    <w:uiPriority w:val="34"/>
    <w:pPr>
      <w:ind w:left="106" w:hanging="601"/>
    </w:pPr>
    <w:rPr>
      <w:rFonts w:ascii="宋体" w:hAnsi="宋体" w:cs="宋体"/>
      <w:lang w:val="zh-CN" w:bidi="zh-CN"/>
    </w:rPr>
  </w:style>
  <w:style w:type="paragraph" w:customStyle="1" w:styleId="176">
    <w:name w:val="brdrw15brsp20 tqctx4153t"/>
    <w:qFormat/>
    <w:uiPriority w:val="0"/>
    <w:pPr>
      <w:widowControl w:val="0"/>
      <w:pBdr>
        <w:bottom w:val="single" w:color="auto" w:sz="6" w:space="0"/>
      </w:pBdr>
      <w:adjustRightInd w:val="0"/>
      <w:spacing w:line="360" w:lineRule="atLeast"/>
      <w:jc w:val="center"/>
      <w:textAlignment w:val="baseline"/>
    </w:pPr>
    <w:rPr>
      <w:rFonts w:ascii="Calibri" w:hAnsi="Calibri" w:eastAsia="宋体" w:cs="Times New Roman"/>
      <w:sz w:val="24"/>
      <w:lang w:val="en-US" w:eastAsia="zh-CN" w:bidi="ar-SA"/>
    </w:rPr>
  </w:style>
  <w:style w:type="paragraph" w:customStyle="1" w:styleId="177">
    <w:name w:val="p0"/>
    <w:basedOn w:val="1"/>
    <w:qFormat/>
    <w:uiPriority w:val="0"/>
    <w:pPr>
      <w:widowControl/>
    </w:pPr>
    <w:rPr>
      <w:rFonts w:ascii="宋体" w:hAnsi="宋体" w:cs="宋体"/>
      <w:kern w:val="0"/>
    </w:rPr>
  </w:style>
  <w:style w:type="paragraph" w:customStyle="1" w:styleId="178">
    <w:name w:val="我的表格文字"/>
    <w:basedOn w:val="1"/>
    <w:qFormat/>
    <w:uiPriority w:val="0"/>
    <w:pPr>
      <w:jc w:val="center"/>
    </w:pPr>
    <w:rPr>
      <w:rFonts w:ascii="宋体" w:hAnsi="宋体" w:eastAsia="Times New Roman" w:cs="宋体"/>
      <w:color w:val="000000"/>
      <w:szCs w:val="21"/>
    </w:rPr>
  </w:style>
  <w:style w:type="paragraph" w:customStyle="1" w:styleId="179">
    <w:name w:val="Char"/>
    <w:basedOn w:val="1"/>
    <w:qFormat/>
    <w:uiPriority w:val="0"/>
    <w:pPr>
      <w:snapToGrid w:val="0"/>
      <w:spacing w:line="360" w:lineRule="auto"/>
      <w:ind w:firstLine="529" w:firstLineChars="200"/>
    </w:pPr>
    <w:rPr>
      <w:rFonts w:ascii="宋体" w:hAnsi="宋体"/>
      <w:b/>
    </w:rPr>
  </w:style>
  <w:style w:type="paragraph" w:customStyle="1" w:styleId="180">
    <w:name w:val="表格标题"/>
    <w:basedOn w:val="1"/>
    <w:qFormat/>
    <w:uiPriority w:val="0"/>
    <w:pPr>
      <w:spacing w:line="360" w:lineRule="auto"/>
      <w:ind w:firstLine="482" w:firstLineChars="200"/>
      <w:jc w:val="left"/>
    </w:pPr>
    <w:rPr>
      <w:rFonts w:eastAsia="仿宋"/>
      <w:b/>
      <w:sz w:val="24"/>
      <w:szCs w:val="28"/>
    </w:rPr>
  </w:style>
  <w:style w:type="character" w:customStyle="1" w:styleId="181">
    <w:name w:val="报告书正文 Char"/>
    <w:link w:val="60"/>
    <w:qFormat/>
    <w:uiPriority w:val="0"/>
    <w:rPr>
      <w:kern w:val="2"/>
      <w:sz w:val="28"/>
      <w:szCs w:val="24"/>
    </w:rPr>
  </w:style>
  <w:style w:type="character" w:customStyle="1" w:styleId="182">
    <w:name w:val="biaotou Char"/>
    <w:qFormat/>
    <w:uiPriority w:val="0"/>
    <w:rPr>
      <w:rFonts w:ascii="黑体" w:hAnsi="宋体" w:eastAsia="黑体" w:cs="宋体"/>
      <w:kern w:val="2"/>
      <w:sz w:val="22"/>
      <w:szCs w:val="24"/>
      <w:lang w:val="zh-CN"/>
    </w:rPr>
  </w:style>
  <w:style w:type="paragraph" w:customStyle="1" w:styleId="183">
    <w:name w:val="字元 字元"/>
    <w:basedOn w:val="1"/>
    <w:qFormat/>
    <w:uiPriority w:val="0"/>
    <w:pPr>
      <w:spacing w:line="360" w:lineRule="auto"/>
      <w:ind w:firstLine="200" w:firstLineChars="200"/>
    </w:pPr>
    <w:rPr>
      <w:rFonts w:ascii="Calibri" w:hAnsi="Calibri" w:eastAsia="Times New Roman"/>
      <w:kern w:val="0"/>
      <w:sz w:val="24"/>
    </w:rPr>
  </w:style>
  <w:style w:type="character" w:customStyle="1" w:styleId="184">
    <w:name w:val="纯文本 Char Char1"/>
    <w:qFormat/>
    <w:uiPriority w:val="0"/>
    <w:rPr>
      <w:rFonts w:ascii="宋体" w:hAnsi="Courier New" w:eastAsia="宋体"/>
      <w:kern w:val="2"/>
      <w:lang w:val="en-US" w:eastAsia="zh-CN" w:bidi="ar-SA"/>
    </w:rPr>
  </w:style>
  <w:style w:type="character" w:customStyle="1" w:styleId="185">
    <w:name w:val="正文1 Char"/>
    <w:qFormat/>
    <w:uiPriority w:val="0"/>
    <w:rPr>
      <w:rFonts w:eastAsia="宋体"/>
      <w:kern w:val="2"/>
      <w:sz w:val="28"/>
      <w:lang w:val="en-US" w:eastAsia="zh-CN" w:bidi="ar-SA"/>
    </w:rPr>
  </w:style>
  <w:style w:type="character" w:customStyle="1" w:styleId="186">
    <w:name w:val="Char Char5"/>
    <w:qFormat/>
    <w:uiPriority w:val="0"/>
    <w:rPr>
      <w:rFonts w:eastAsia="宋体"/>
      <w:kern w:val="2"/>
      <w:sz w:val="24"/>
      <w:lang w:val="en-US" w:eastAsia="zh-CN" w:bidi="ar-SA"/>
    </w:rPr>
  </w:style>
  <w:style w:type="character" w:customStyle="1" w:styleId="187">
    <w:name w:val="日期 Char"/>
    <w:qFormat/>
    <w:uiPriority w:val="0"/>
    <w:rPr>
      <w:rFonts w:eastAsia="宋体"/>
      <w:sz w:val="24"/>
      <w:lang w:bidi="ar-SA"/>
    </w:rPr>
  </w:style>
  <w:style w:type="character" w:customStyle="1" w:styleId="188">
    <w:name w:val="正文缩进1 Char"/>
    <w:qFormat/>
    <w:uiPriority w:val="0"/>
    <w:rPr>
      <w:rFonts w:eastAsia="宋体"/>
      <w:kern w:val="2"/>
      <w:sz w:val="21"/>
      <w:szCs w:val="24"/>
      <w:lang w:val="en-US" w:eastAsia="zh-CN" w:bidi="ar-SA"/>
    </w:rPr>
  </w:style>
  <w:style w:type="character" w:customStyle="1" w:styleId="189">
    <w:name w:val="Char Char3"/>
    <w:qFormat/>
    <w:uiPriority w:val="0"/>
    <w:rPr>
      <w:rFonts w:ascii="宋体" w:hAnsi="Courier New" w:eastAsia="宋体"/>
      <w:kern w:val="2"/>
      <w:sz w:val="21"/>
      <w:lang w:val="en-US" w:eastAsia="zh-CN" w:bidi="ar-SA"/>
    </w:rPr>
  </w:style>
  <w:style w:type="character" w:customStyle="1" w:styleId="190">
    <w:name w:val="标题1"/>
    <w:qFormat/>
    <w:uiPriority w:val="0"/>
  </w:style>
  <w:style w:type="character" w:customStyle="1" w:styleId="191">
    <w:name w:val="页眉 Char"/>
    <w:qFormat/>
    <w:uiPriority w:val="0"/>
    <w:rPr>
      <w:kern w:val="2"/>
      <w:sz w:val="18"/>
      <w:szCs w:val="18"/>
    </w:rPr>
  </w:style>
  <w:style w:type="paragraph" w:customStyle="1" w:styleId="192">
    <w:name w:val="表格文字2"/>
    <w:basedOn w:val="149"/>
    <w:link w:val="193"/>
    <w:qFormat/>
    <w:uiPriority w:val="0"/>
    <w:pPr>
      <w:widowControl w:val="0"/>
      <w:adjustRightInd w:val="0"/>
      <w:snapToGrid/>
      <w:spacing w:before="60"/>
      <w:textAlignment w:val="baseline"/>
    </w:pPr>
    <w:rPr>
      <w:rFonts w:ascii="宋体" w:eastAsia="宋体"/>
      <w:szCs w:val="20"/>
      <w:lang w:val="en-US"/>
    </w:rPr>
  </w:style>
  <w:style w:type="character" w:customStyle="1" w:styleId="193">
    <w:name w:val="表格文字2 Char"/>
    <w:link w:val="192"/>
    <w:qFormat/>
    <w:uiPriority w:val="0"/>
    <w:rPr>
      <w:rFonts w:ascii="宋体"/>
      <w:sz w:val="24"/>
    </w:rPr>
  </w:style>
  <w:style w:type="paragraph" w:customStyle="1" w:styleId="194">
    <w:name w:val="样式 a + 非加粗 首行缩进:  2 字符"/>
    <w:basedOn w:val="1"/>
    <w:qFormat/>
    <w:uiPriority w:val="0"/>
    <w:pPr>
      <w:spacing w:line="540" w:lineRule="exact"/>
      <w:ind w:firstLine="560" w:firstLineChars="200"/>
    </w:pPr>
    <w:rPr>
      <w:rFonts w:ascii="宋体" w:hAnsi="宋体" w:cs="宋体"/>
      <w:sz w:val="28"/>
      <w:szCs w:val="20"/>
    </w:rPr>
  </w:style>
  <w:style w:type="paragraph" w:customStyle="1" w:styleId="195">
    <w:name w:val="样式 小四 首行缩进:  0.85 厘米"/>
    <w:basedOn w:val="1"/>
    <w:qFormat/>
    <w:uiPriority w:val="0"/>
    <w:pPr>
      <w:spacing w:line="360" w:lineRule="auto"/>
      <w:ind w:firstLine="482"/>
    </w:pPr>
    <w:rPr>
      <w:sz w:val="24"/>
    </w:rPr>
  </w:style>
  <w:style w:type="paragraph" w:customStyle="1" w:styleId="196">
    <w:name w:val="gao"/>
    <w:basedOn w:val="1"/>
    <w:qFormat/>
    <w:uiPriority w:val="0"/>
    <w:pPr>
      <w:autoSpaceDE w:val="0"/>
      <w:autoSpaceDN w:val="0"/>
      <w:adjustRightInd w:val="0"/>
      <w:spacing w:line="360" w:lineRule="auto"/>
    </w:pPr>
    <w:rPr>
      <w:rFonts w:ascii="宋体"/>
      <w:spacing w:val="-20"/>
      <w:kern w:val="0"/>
      <w:sz w:val="28"/>
    </w:rPr>
  </w:style>
  <w:style w:type="paragraph" w:customStyle="1" w:styleId="197">
    <w:name w:val="表格1"/>
    <w:basedOn w:val="1"/>
    <w:qFormat/>
    <w:uiPriority w:val="0"/>
    <w:pPr>
      <w:adjustRightInd w:val="0"/>
      <w:spacing w:line="360" w:lineRule="atLeast"/>
      <w:jc w:val="center"/>
      <w:textAlignment w:val="baseline"/>
    </w:pPr>
    <w:rPr>
      <w:rFonts w:ascii="CG Times (WN)" w:hAnsi="宋体"/>
      <w:kern w:val="0"/>
      <w:sz w:val="24"/>
      <w:szCs w:val="20"/>
    </w:rPr>
  </w:style>
  <w:style w:type="paragraph" w:customStyle="1" w:styleId="198">
    <w:name w:val="1.1.1"/>
    <w:basedOn w:val="1"/>
    <w:qFormat/>
    <w:uiPriority w:val="0"/>
    <w:rPr>
      <w:rFonts w:ascii="黑体"/>
      <w:sz w:val="24"/>
    </w:rPr>
  </w:style>
  <w:style w:type="paragraph" w:customStyle="1" w:styleId="199">
    <w:name w:val="正文五"/>
    <w:basedOn w:val="1"/>
    <w:qFormat/>
    <w:uiPriority w:val="0"/>
    <w:pPr>
      <w:snapToGrid w:val="0"/>
      <w:jc w:val="center"/>
    </w:pPr>
    <w:rPr>
      <w:sz w:val="24"/>
      <w:szCs w:val="20"/>
    </w:rPr>
  </w:style>
  <w:style w:type="paragraph" w:customStyle="1" w:styleId="200">
    <w:name w:val="F正文"/>
    <w:qFormat/>
    <w:uiPriority w:val="0"/>
    <w:pPr>
      <w:widowControl w:val="0"/>
      <w:adjustRightInd w:val="0"/>
      <w:spacing w:line="360" w:lineRule="atLeast"/>
      <w:textAlignment w:val="baseline"/>
    </w:pPr>
    <w:rPr>
      <w:rFonts w:ascii="Times New Roman" w:hAnsi="Times New Roman" w:eastAsia="宋体" w:cs="Times New Roman"/>
      <w:spacing w:val="12"/>
      <w:sz w:val="24"/>
      <w:lang w:val="en-US" w:eastAsia="zh-CN" w:bidi="ar-SA"/>
    </w:rPr>
  </w:style>
  <w:style w:type="paragraph" w:customStyle="1" w:styleId="201">
    <w:name w:val="二级无标题条"/>
    <w:basedOn w:val="1"/>
    <w:qFormat/>
    <w:uiPriority w:val="0"/>
  </w:style>
  <w:style w:type="character" w:customStyle="1" w:styleId="202">
    <w:name w:val="正文文本缩进 Char"/>
    <w:qFormat/>
    <w:uiPriority w:val="0"/>
    <w:rPr>
      <w:kern w:val="2"/>
      <w:sz w:val="24"/>
      <w:szCs w:val="24"/>
    </w:rPr>
  </w:style>
  <w:style w:type="character" w:customStyle="1" w:styleId="203">
    <w:name w:val="批注文字 Char"/>
    <w:qFormat/>
    <w:uiPriority w:val="0"/>
    <w:rPr>
      <w:kern w:val="2"/>
      <w:sz w:val="21"/>
    </w:rPr>
  </w:style>
  <w:style w:type="character" w:customStyle="1" w:styleId="204">
    <w:name w:val="表格－正文 Char"/>
    <w:link w:val="205"/>
    <w:qFormat/>
    <w:locked/>
    <w:uiPriority w:val="0"/>
    <w:rPr>
      <w:kern w:val="2"/>
      <w:sz w:val="21"/>
      <w:szCs w:val="22"/>
    </w:rPr>
  </w:style>
  <w:style w:type="paragraph" w:customStyle="1" w:styleId="205">
    <w:name w:val="表格－正文"/>
    <w:basedOn w:val="1"/>
    <w:link w:val="204"/>
    <w:qFormat/>
    <w:uiPriority w:val="0"/>
    <w:pPr>
      <w:spacing w:line="300" w:lineRule="exact"/>
      <w:jc w:val="center"/>
    </w:pPr>
    <w:rPr>
      <w:szCs w:val="22"/>
    </w:rPr>
  </w:style>
  <w:style w:type="character" w:customStyle="1" w:styleId="206">
    <w:name w:val="7表格内容 Char Char"/>
    <w:link w:val="207"/>
    <w:qFormat/>
    <w:uiPriority w:val="0"/>
    <w:rPr>
      <w:sz w:val="21"/>
    </w:rPr>
  </w:style>
  <w:style w:type="paragraph" w:customStyle="1" w:styleId="207">
    <w:name w:val="7表格内容"/>
    <w:basedOn w:val="1"/>
    <w:next w:val="1"/>
    <w:link w:val="206"/>
    <w:qFormat/>
    <w:uiPriority w:val="0"/>
    <w:pPr>
      <w:adjustRightInd w:val="0"/>
      <w:snapToGrid w:val="0"/>
      <w:spacing w:line="360" w:lineRule="atLeast"/>
      <w:jc w:val="center"/>
      <w:textAlignment w:val="baseline"/>
    </w:pPr>
    <w:rPr>
      <w:kern w:val="0"/>
      <w:szCs w:val="20"/>
    </w:rPr>
  </w:style>
  <w:style w:type="character" w:customStyle="1" w:styleId="208">
    <w:name w:val="正文文本 Char"/>
    <w:qFormat/>
    <w:uiPriority w:val="0"/>
    <w:rPr>
      <w:kern w:val="2"/>
      <w:sz w:val="24"/>
      <w:szCs w:val="24"/>
    </w:rPr>
  </w:style>
  <w:style w:type="character" w:customStyle="1" w:styleId="209">
    <w:name w:val="环评正文 Char"/>
    <w:qFormat/>
    <w:uiPriority w:val="0"/>
    <w:rPr>
      <w:color w:val="FF0000"/>
      <w:kern w:val="2"/>
      <w:sz w:val="21"/>
    </w:rPr>
  </w:style>
  <w:style w:type="character" w:customStyle="1" w:styleId="210">
    <w:name w:val="zzzzz Char"/>
    <w:link w:val="211"/>
    <w:qFormat/>
    <w:uiPriority w:val="0"/>
    <w:rPr>
      <w:kern w:val="2"/>
      <w:sz w:val="24"/>
      <w:szCs w:val="24"/>
    </w:rPr>
  </w:style>
  <w:style w:type="paragraph" w:customStyle="1" w:styleId="211">
    <w:name w:val="zzzzz"/>
    <w:basedOn w:val="10"/>
    <w:link w:val="210"/>
    <w:qFormat/>
    <w:uiPriority w:val="0"/>
    <w:pPr>
      <w:spacing w:line="360" w:lineRule="auto"/>
      <w:ind w:firstLine="480"/>
    </w:pPr>
    <w:rPr>
      <w:sz w:val="24"/>
    </w:rPr>
  </w:style>
  <w:style w:type="character" w:customStyle="1" w:styleId="212">
    <w:name w:val="表内格式 Char"/>
    <w:link w:val="213"/>
    <w:qFormat/>
    <w:locked/>
    <w:uiPriority w:val="0"/>
    <w:rPr>
      <w:rFonts w:hAnsi="宋体"/>
      <w:sz w:val="21"/>
      <w:szCs w:val="21"/>
    </w:rPr>
  </w:style>
  <w:style w:type="paragraph" w:customStyle="1" w:styleId="213">
    <w:name w:val="表内格式"/>
    <w:basedOn w:val="1"/>
    <w:link w:val="212"/>
    <w:qFormat/>
    <w:uiPriority w:val="0"/>
    <w:pPr>
      <w:autoSpaceDE w:val="0"/>
      <w:autoSpaceDN w:val="0"/>
      <w:adjustRightInd w:val="0"/>
      <w:snapToGrid w:val="0"/>
      <w:jc w:val="center"/>
    </w:pPr>
    <w:rPr>
      <w:rFonts w:hAnsi="宋体"/>
      <w:kern w:val="0"/>
      <w:szCs w:val="21"/>
    </w:rPr>
  </w:style>
  <w:style w:type="paragraph" w:customStyle="1" w:styleId="214">
    <w:name w:val="报告表  段"/>
    <w:basedOn w:val="1"/>
    <w:qFormat/>
    <w:uiPriority w:val="0"/>
    <w:pPr>
      <w:adjustRightInd w:val="0"/>
      <w:spacing w:line="360" w:lineRule="auto"/>
      <w:ind w:firstLine="505"/>
      <w:textAlignment w:val="baseline"/>
    </w:pPr>
    <w:rPr>
      <w:rFonts w:ascii="宋体"/>
      <w:kern w:val="0"/>
      <w:szCs w:val="20"/>
    </w:rPr>
  </w:style>
  <w:style w:type="character" w:customStyle="1" w:styleId="215">
    <w:name w:val="正文首行缩进 2 字符"/>
    <w:qFormat/>
    <w:uiPriority w:val="0"/>
    <w:rPr>
      <w:kern w:val="2"/>
      <w:sz w:val="21"/>
    </w:rPr>
  </w:style>
  <w:style w:type="character" w:customStyle="1" w:styleId="216">
    <w:name w:val="图头 Char"/>
    <w:qFormat/>
    <w:locked/>
    <w:uiPriority w:val="0"/>
    <w:rPr>
      <w:rFonts w:ascii="黑体" w:hAnsi="宋体" w:eastAsia="黑体" w:cs="宋体"/>
      <w:snapToGrid w:val="0"/>
      <w:kern w:val="2"/>
      <w:sz w:val="24"/>
      <w:szCs w:val="24"/>
      <w:lang w:val="zh-CN"/>
    </w:rPr>
  </w:style>
  <w:style w:type="paragraph" w:customStyle="1" w:styleId="217">
    <w:name w:val="21"/>
    <w:basedOn w:val="1"/>
    <w:qFormat/>
    <w:uiPriority w:val="0"/>
    <w:pPr>
      <w:widowControl/>
      <w:spacing w:before="100" w:beforeAutospacing="1" w:after="100" w:afterAutospacing="1"/>
      <w:jc w:val="left"/>
    </w:pPr>
    <w:rPr>
      <w:rFonts w:ascii="宋体" w:hAnsi="宋体" w:cs="宋体"/>
      <w:kern w:val="0"/>
      <w:sz w:val="24"/>
      <w:szCs w:val="20"/>
    </w:rPr>
  </w:style>
  <w:style w:type="paragraph" w:customStyle="1" w:styleId="218">
    <w:name w:val="4"/>
    <w:basedOn w:val="1"/>
    <w:qFormat/>
    <w:uiPriority w:val="0"/>
    <w:rPr>
      <w:sz w:val="24"/>
    </w:rPr>
  </w:style>
  <w:style w:type="character" w:customStyle="1" w:styleId="219">
    <w:name w:val="正文缩进 Char"/>
    <w:qFormat/>
    <w:uiPriority w:val="0"/>
    <w:rPr>
      <w:kern w:val="2"/>
      <w:sz w:val="21"/>
    </w:rPr>
  </w:style>
  <w:style w:type="paragraph" w:customStyle="1" w:styleId="220">
    <w:name w:val="正文2"/>
    <w:basedOn w:val="1"/>
    <w:qFormat/>
    <w:uiPriority w:val="0"/>
    <w:pPr>
      <w:spacing w:line="360" w:lineRule="auto"/>
      <w:ind w:firstLine="480" w:firstLineChars="200"/>
    </w:pPr>
    <w:rPr>
      <w:rFonts w:ascii="宋体" w:hAnsi="宋体"/>
      <w:sz w:val="24"/>
      <w:szCs w:val="20"/>
    </w:rPr>
  </w:style>
  <w:style w:type="paragraph" w:customStyle="1" w:styleId="221">
    <w:name w:val="表格内容自定"/>
    <w:basedOn w:val="1"/>
    <w:qFormat/>
    <w:uiPriority w:val="0"/>
    <w:pPr>
      <w:spacing w:line="280" w:lineRule="exact"/>
      <w:jc w:val="center"/>
    </w:pPr>
    <w:rPr>
      <w:rFonts w:ascii="Calibri" w:hAnsi="Calibri"/>
      <w:kern w:val="0"/>
      <w:sz w:val="18"/>
      <w:szCs w:val="21"/>
    </w:rPr>
  </w:style>
  <w:style w:type="character" w:customStyle="1" w:styleId="222">
    <w:name w:val="font21"/>
    <w:qFormat/>
    <w:uiPriority w:val="0"/>
    <w:rPr>
      <w:rFonts w:hint="eastAsia" w:ascii="宋体" w:hAnsi="宋体" w:eastAsia="宋体"/>
      <w:color w:val="000000"/>
      <w:sz w:val="20"/>
      <w:szCs w:val="20"/>
      <w:u w:val="none"/>
    </w:rPr>
  </w:style>
  <w:style w:type="paragraph" w:customStyle="1" w:styleId="223">
    <w:name w:val="Char Char Char"/>
    <w:basedOn w:val="1"/>
    <w:qFormat/>
    <w:uiPriority w:val="0"/>
    <w:rPr>
      <w:szCs w:val="20"/>
    </w:rPr>
  </w:style>
  <w:style w:type="character" w:customStyle="1" w:styleId="224">
    <w:name w:val="未处理的提及"/>
    <w:unhideWhenUsed/>
    <w:qFormat/>
    <w:uiPriority w:val="99"/>
    <w:rPr>
      <w:color w:val="605E5C"/>
      <w:shd w:val="clear" w:color="auto" w:fill="E1DFDD"/>
    </w:rPr>
  </w:style>
  <w:style w:type="character" w:customStyle="1" w:styleId="225">
    <w:name w:val="样式 (西文) Times New Roman (中文) 宋体 (符号) 宋体 行距: 固定值 20 磅 首行缩进:  ... Char Char"/>
    <w:link w:val="226"/>
    <w:qFormat/>
    <w:locked/>
    <w:uiPriority w:val="0"/>
    <w:rPr>
      <w:rFonts w:ascii="Arial Narrow" w:hAnsi="Arial Narrow" w:cs="Arial Narrow"/>
      <w:sz w:val="24"/>
      <w:szCs w:val="21"/>
    </w:rPr>
  </w:style>
  <w:style w:type="paragraph" w:customStyle="1" w:styleId="226">
    <w:name w:val="样式 (西文) Times New Roman (中文) 宋体 (符号) 宋体 行距: 固定值 20 磅 首行缩进:  ..."/>
    <w:basedOn w:val="1"/>
    <w:link w:val="225"/>
    <w:qFormat/>
    <w:uiPriority w:val="0"/>
    <w:pPr>
      <w:widowControl/>
      <w:spacing w:line="400" w:lineRule="exact"/>
      <w:ind w:firstLine="200" w:firstLineChars="200"/>
    </w:pPr>
    <w:rPr>
      <w:rFonts w:ascii="Arial Narrow" w:hAnsi="Arial Narrow" w:cs="Arial Narrow"/>
      <w:kern w:val="0"/>
      <w:sz w:val="24"/>
      <w:szCs w:val="21"/>
    </w:rPr>
  </w:style>
  <w:style w:type="paragraph" w:customStyle="1" w:styleId="227">
    <w:name w:val="表格文字001"/>
    <w:basedOn w:val="1"/>
    <w:qFormat/>
    <w:uiPriority w:val="0"/>
    <w:pPr>
      <w:snapToGrid w:val="0"/>
      <w:spacing w:before="62" w:beforeLines="20" w:after="62" w:afterLines="20"/>
      <w:ind w:firstLine="200" w:firstLineChars="200"/>
      <w:jc w:val="center"/>
    </w:pPr>
    <w:rPr>
      <w:rFonts w:ascii="宋体" w:hAnsi="宋体"/>
      <w:szCs w:val="20"/>
    </w:rPr>
  </w:style>
  <w:style w:type="paragraph" w:customStyle="1" w:styleId="228">
    <w:name w:val="样式 表格 + 加粗"/>
    <w:basedOn w:val="92"/>
    <w:qFormat/>
    <w:uiPriority w:val="0"/>
    <w:rPr>
      <w:b/>
    </w:rPr>
  </w:style>
  <w:style w:type="character" w:customStyle="1" w:styleId="229">
    <w:name w:val="段落正文 Char"/>
    <w:link w:val="230"/>
    <w:qFormat/>
    <w:uiPriority w:val="0"/>
    <w:rPr>
      <w:sz w:val="24"/>
    </w:rPr>
  </w:style>
  <w:style w:type="paragraph" w:customStyle="1" w:styleId="230">
    <w:name w:val="段落正文"/>
    <w:basedOn w:val="1"/>
    <w:link w:val="229"/>
    <w:qFormat/>
    <w:uiPriority w:val="0"/>
    <w:pPr>
      <w:adjustRightInd w:val="0"/>
      <w:snapToGrid w:val="0"/>
      <w:spacing w:line="360" w:lineRule="auto"/>
      <w:ind w:firstLine="482" w:firstLineChars="200"/>
    </w:pPr>
    <w:rPr>
      <w:kern w:val="0"/>
      <w:sz w:val="24"/>
      <w:szCs w:val="20"/>
    </w:rPr>
  </w:style>
  <w:style w:type="paragraph" w:customStyle="1" w:styleId="231">
    <w:name w:val="表内 定"/>
    <w:basedOn w:val="1"/>
    <w:link w:val="232"/>
    <w:qFormat/>
    <w:uiPriority w:val="0"/>
    <w:pPr>
      <w:jc w:val="left"/>
    </w:pPr>
    <w:rPr>
      <w:rFonts w:eastAsia="仿宋"/>
      <w:snapToGrid w:val="0"/>
      <w:color w:val="000000"/>
      <w:kern w:val="0"/>
      <w:sz w:val="20"/>
      <w:szCs w:val="22"/>
    </w:rPr>
  </w:style>
  <w:style w:type="character" w:customStyle="1" w:styleId="232">
    <w:name w:val="表内 定 Char"/>
    <w:link w:val="231"/>
    <w:qFormat/>
    <w:uiPriority w:val="0"/>
    <w:rPr>
      <w:rFonts w:eastAsia="仿宋"/>
      <w:snapToGrid/>
      <w:color w:val="000000"/>
      <w:szCs w:val="22"/>
    </w:rPr>
  </w:style>
  <w:style w:type="character" w:customStyle="1" w:styleId="233">
    <w:name w:val="纯文本 Char1"/>
    <w:qFormat/>
    <w:uiPriority w:val="0"/>
    <w:rPr>
      <w:rFonts w:ascii="仿宋_GB2312" w:hAnsi="仿宋_GB2312" w:cs="仿宋_GB2312"/>
      <w:kern w:val="2"/>
      <w:sz w:val="21"/>
      <w:szCs w:val="21"/>
    </w:rPr>
  </w:style>
  <w:style w:type="paragraph" w:customStyle="1" w:styleId="234">
    <w:name w:val="我的正文"/>
    <w:basedOn w:val="1"/>
    <w:qFormat/>
    <w:uiPriority w:val="99"/>
    <w:pPr>
      <w:spacing w:line="360" w:lineRule="auto"/>
      <w:ind w:firstLine="200" w:firstLineChars="200"/>
    </w:pPr>
    <w:rPr>
      <w:sz w:val="24"/>
      <w:szCs w:val="20"/>
    </w:rPr>
  </w:style>
  <w:style w:type="paragraph" w:customStyle="1" w:styleId="235">
    <w:name w:val="编制正文"/>
    <w:basedOn w:val="17"/>
    <w:next w:val="17"/>
    <w:qFormat/>
    <w:uiPriority w:val="0"/>
    <w:pPr>
      <w:spacing w:before="60" w:after="60"/>
    </w:pPr>
    <w:rPr>
      <w:rFonts w:hAnsi="Times New Roman" w:cs="Times New Roman"/>
      <w:color w:val="auto"/>
    </w:rPr>
  </w:style>
  <w:style w:type="table" w:customStyle="1" w:styleId="236">
    <w:name w:val="Table Normal"/>
    <w:unhideWhenUsed/>
    <w:qFormat/>
    <w:uiPriority w:val="0"/>
    <w:tblPr>
      <w:tblCellMar>
        <w:top w:w="0" w:type="dxa"/>
        <w:left w:w="0" w:type="dxa"/>
        <w:bottom w:w="0" w:type="dxa"/>
        <w:right w:w="0" w:type="dxa"/>
      </w:tblCellMar>
    </w:tblPr>
  </w:style>
  <w:style w:type="character" w:customStyle="1" w:styleId="237">
    <w:name w:val="ql-font-songti"/>
    <w:basedOn w:val="49"/>
    <w:qFormat/>
    <w:uiPriority w:val="0"/>
  </w:style>
  <w:style w:type="paragraph" w:customStyle="1" w:styleId="238">
    <w:name w:val="Char2"/>
    <w:basedOn w:val="1"/>
    <w:qFormat/>
    <w:uiPriority w:val="0"/>
    <w:pPr>
      <w:spacing w:line="360" w:lineRule="auto"/>
      <w:ind w:firstLine="200" w:firstLineChars="200"/>
    </w:pPr>
    <w:rPr>
      <w:rFonts w:ascii="宋体" w:hAnsi="宋体" w:cs="宋体"/>
      <w:sz w:val="24"/>
    </w:rPr>
  </w:style>
  <w:style w:type="paragraph" w:customStyle="1" w:styleId="239">
    <w:name w:val="样式1"/>
    <w:basedOn w:val="1"/>
    <w:qFormat/>
    <w:uiPriority w:val="0"/>
    <w:rPr>
      <w:szCs w:val="20"/>
      <w:shd w:val="clear" w:color="auto" w:fill="FFFFFF"/>
    </w:rPr>
  </w:style>
  <w:style w:type="paragraph" w:customStyle="1" w:styleId="240">
    <w:name w:val="WPSOffice手动目录 1"/>
    <w:qFormat/>
    <w:uiPriority w:val="0"/>
    <w:rPr>
      <w:rFonts w:ascii="Times New Roman" w:hAnsi="Times New Roman" w:eastAsia="宋体" w:cs="Times New Roman"/>
      <w:lang w:val="en-US" w:eastAsia="zh-CN" w:bidi="ar-SA"/>
    </w:rPr>
  </w:style>
  <w:style w:type="paragraph" w:customStyle="1" w:styleId="241">
    <w:name w:val="表格 首行文字"/>
    <w:qFormat/>
    <w:uiPriority w:val="0"/>
    <w:pPr>
      <w:adjustRightInd w:val="0"/>
      <w:snapToGrid w:val="0"/>
      <w:jc w:val="center"/>
    </w:pPr>
    <w:rPr>
      <w:rFonts w:ascii="Times New Roman" w:hAnsi="Times New Roman" w:eastAsia="仿宋_GB2312" w:cs="Times New Roman"/>
      <w:b/>
      <w:kern w:val="2"/>
      <w:sz w:val="21"/>
      <w:szCs w:val="22"/>
      <w:lang w:val="en-US" w:eastAsia="zh-CN" w:bidi="ar-SA"/>
    </w:rPr>
  </w:style>
  <w:style w:type="paragraph" w:customStyle="1" w:styleId="242">
    <w:name w:val="表格普通"/>
    <w:basedOn w:val="1"/>
    <w:qFormat/>
    <w:uiPriority w:val="0"/>
    <w:pPr>
      <w:jc w:val="center"/>
    </w:pPr>
    <w:rPr>
      <w:rFonts w:eastAsia="仿宋_GB2312"/>
      <w:szCs w:val="21"/>
    </w:rPr>
  </w:style>
  <w:style w:type="character" w:customStyle="1" w:styleId="243">
    <w:name w:val="不明显参考1"/>
    <w:qFormat/>
    <w:uiPriority w:val="31"/>
    <w:rPr>
      <w:smallCaps/>
      <w:color w:val="C0504D"/>
      <w:u w:val="single"/>
    </w:rPr>
  </w:style>
  <w:style w:type="character" w:customStyle="1" w:styleId="244">
    <w:name w:val="font11"/>
    <w:basedOn w:val="49"/>
    <w:qFormat/>
    <w:uiPriority w:val="0"/>
    <w:rPr>
      <w:rFonts w:hint="eastAsia" w:ascii="宋体" w:hAnsi="宋体" w:eastAsia="宋体" w:cs="宋体"/>
      <w:color w:val="000000"/>
      <w:sz w:val="21"/>
      <w:szCs w:val="21"/>
      <w:u w:val="none"/>
    </w:rPr>
  </w:style>
  <w:style w:type="character" w:customStyle="1" w:styleId="245">
    <w:name w:val="font41"/>
    <w:basedOn w:val="49"/>
    <w:qFormat/>
    <w:uiPriority w:val="0"/>
    <w:rPr>
      <w:rFonts w:hint="eastAsia" w:ascii="宋体" w:hAnsi="宋体" w:eastAsia="宋体" w:cs="宋体"/>
      <w:color w:val="000000"/>
      <w:sz w:val="21"/>
      <w:szCs w:val="21"/>
      <w:u w:val="none"/>
    </w:rPr>
  </w:style>
  <w:style w:type="character" w:customStyle="1" w:styleId="246">
    <w:name w:val="font31"/>
    <w:basedOn w:val="49"/>
    <w:qFormat/>
    <w:uiPriority w:val="0"/>
    <w:rPr>
      <w:rFonts w:hint="default" w:ascii="Times New Roman" w:hAnsi="Times New Roman" w:cs="Times New Roman"/>
      <w:color w:val="000000"/>
      <w:sz w:val="21"/>
      <w:szCs w:val="21"/>
      <w:u w:val="none"/>
    </w:rPr>
  </w:style>
  <w:style w:type="character" w:customStyle="1" w:styleId="247">
    <w:name w:val="shenbao"/>
    <w:basedOn w:val="49"/>
    <w:qFormat/>
    <w:uiPriority w:val="0"/>
    <w:rPr>
      <w:color w:val="EF6334"/>
    </w:rPr>
  </w:style>
  <w:style w:type="character" w:customStyle="1" w:styleId="248">
    <w:name w:val="chakan"/>
    <w:basedOn w:val="49"/>
    <w:qFormat/>
    <w:uiPriority w:val="0"/>
    <w:rPr>
      <w:color w:val="0064EA"/>
    </w:rPr>
  </w:style>
  <w:style w:type="character" w:customStyle="1" w:styleId="249">
    <w:name w:val="checkbox"/>
    <w:basedOn w:val="49"/>
    <w:qFormat/>
    <w:uiPriority w:val="0"/>
  </w:style>
  <w:style w:type="character" w:customStyle="1" w:styleId="250">
    <w:name w:val="checkbox2"/>
    <w:basedOn w:val="49"/>
    <w:qFormat/>
    <w:uiPriority w:val="0"/>
  </w:style>
  <w:style w:type="character" w:customStyle="1" w:styleId="251">
    <w:name w:val="正 Char1"/>
    <w:basedOn w:val="49"/>
    <w:qFormat/>
    <w:uiPriority w:val="0"/>
    <w:rPr>
      <w:kern w:val="2"/>
      <w:sz w:val="24"/>
      <w:szCs w:val="24"/>
    </w:rPr>
  </w:style>
  <w:style w:type="paragraph" w:customStyle="1" w:styleId="252">
    <w:name w:val="Table Text"/>
    <w:basedOn w:val="1"/>
    <w:semiHidden/>
    <w:qFormat/>
    <w:uiPriority w:val="0"/>
    <w:rPr>
      <w:rFonts w:ascii="宋体" w:hAnsi="宋体" w:cs="宋体"/>
      <w:sz w:val="20"/>
      <w:szCs w:val="20"/>
      <w:lang w:eastAsia="en-US"/>
    </w:rPr>
  </w:style>
  <w:style w:type="paragraph" w:customStyle="1" w:styleId="253">
    <w:name w:val="p1"/>
    <w:basedOn w:val="1"/>
    <w:qFormat/>
    <w:uiPriority w:val="0"/>
    <w:pPr>
      <w:jc w:val="left"/>
    </w:pPr>
    <w:rPr>
      <w:rFonts w:ascii="Helvetica" w:hAnsi="Helvetica" w:eastAsia="Helvetica"/>
      <w:kern w:val="0"/>
      <w:sz w:val="24"/>
    </w:rPr>
  </w:style>
  <w:style w:type="character" w:customStyle="1" w:styleId="254">
    <w:name w:val="报告表正文 字符"/>
    <w:link w:val="144"/>
    <w:qFormat/>
    <w:uiPriority w:val="0"/>
    <w:rPr>
      <w:kern w:val="2"/>
      <w:sz w:val="24"/>
      <w:szCs w:val="24"/>
    </w:rPr>
  </w:style>
  <w:style w:type="character" w:customStyle="1" w:styleId="255">
    <w:name w:val="报告表3级 字符"/>
    <w:link w:val="256"/>
    <w:qFormat/>
    <w:locked/>
    <w:uiPriority w:val="0"/>
    <w:rPr>
      <w:rFonts w:eastAsia="黑体"/>
      <w:bCs/>
      <w:kern w:val="2"/>
      <w:sz w:val="24"/>
      <w:szCs w:val="24"/>
    </w:rPr>
  </w:style>
  <w:style w:type="paragraph" w:customStyle="1" w:styleId="256">
    <w:name w:val="报告表3级"/>
    <w:basedOn w:val="1"/>
    <w:link w:val="255"/>
    <w:qFormat/>
    <w:uiPriority w:val="0"/>
    <w:pPr>
      <w:adjustRightInd w:val="0"/>
      <w:snapToGrid w:val="0"/>
      <w:spacing w:line="360" w:lineRule="auto"/>
      <w:ind w:firstLine="100" w:firstLineChars="100"/>
      <w:jc w:val="left"/>
      <w:outlineLvl w:val="2"/>
    </w:pPr>
    <w:rPr>
      <w:rFonts w:eastAsia="黑体"/>
      <w:bCs/>
      <w:sz w:val="24"/>
    </w:rPr>
  </w:style>
  <w:style w:type="paragraph" w:customStyle="1" w:styleId="257">
    <w:name w:val="表格中内容"/>
    <w:basedOn w:val="1"/>
    <w:link w:val="258"/>
    <w:qFormat/>
    <w:uiPriority w:val="0"/>
    <w:pPr>
      <w:autoSpaceDE w:val="0"/>
      <w:autoSpaceDN w:val="0"/>
      <w:adjustRightInd w:val="0"/>
      <w:snapToGrid w:val="0"/>
      <w:jc w:val="center"/>
    </w:pPr>
    <w:rPr>
      <w:szCs w:val="21"/>
    </w:rPr>
  </w:style>
  <w:style w:type="character" w:customStyle="1" w:styleId="258">
    <w:name w:val="表格中内容 字符"/>
    <w:link w:val="257"/>
    <w:qFormat/>
    <w:uiPriority w:val="0"/>
    <w:rPr>
      <w:kern w:val="2"/>
      <w:sz w:val="21"/>
      <w:szCs w:val="21"/>
    </w:rPr>
  </w:style>
  <w:style w:type="paragraph" w:customStyle="1" w:styleId="259">
    <w:name w:val="报告表1级"/>
    <w:basedOn w:val="1"/>
    <w:link w:val="260"/>
    <w:qFormat/>
    <w:uiPriority w:val="0"/>
    <w:pPr>
      <w:adjustRightInd w:val="0"/>
      <w:snapToGrid w:val="0"/>
      <w:spacing w:before="50" w:beforeLines="50" w:after="50" w:afterLines="50"/>
      <w:jc w:val="left"/>
      <w:outlineLvl w:val="0"/>
    </w:pPr>
    <w:rPr>
      <w:rFonts w:ascii="黑体" w:hAnsi="黑体" w:eastAsia="等线"/>
      <w:b/>
      <w:bCs/>
      <w:sz w:val="28"/>
      <w:szCs w:val="28"/>
    </w:rPr>
  </w:style>
  <w:style w:type="character" w:customStyle="1" w:styleId="260">
    <w:name w:val="报告表1级 字符"/>
    <w:link w:val="259"/>
    <w:qFormat/>
    <w:uiPriority w:val="0"/>
    <w:rPr>
      <w:rFonts w:ascii="黑体" w:hAnsi="黑体" w:eastAsia="等线"/>
      <w:b/>
      <w:bCs/>
      <w:kern w:val="2"/>
      <w:sz w:val="28"/>
      <w:szCs w:val="28"/>
    </w:rPr>
  </w:style>
  <w:style w:type="paragraph" w:customStyle="1" w:styleId="261">
    <w:name w:val="报告表2级"/>
    <w:basedOn w:val="1"/>
    <w:link w:val="262"/>
    <w:qFormat/>
    <w:uiPriority w:val="0"/>
    <w:pPr>
      <w:adjustRightInd w:val="0"/>
      <w:snapToGrid w:val="0"/>
      <w:spacing w:line="360" w:lineRule="auto"/>
      <w:ind w:firstLine="100" w:firstLineChars="100"/>
      <w:outlineLvl w:val="1"/>
    </w:pPr>
    <w:rPr>
      <w:rFonts w:eastAsia="等线"/>
      <w:b/>
      <w:bCs/>
      <w:sz w:val="24"/>
    </w:rPr>
  </w:style>
  <w:style w:type="character" w:customStyle="1" w:styleId="262">
    <w:name w:val="报告表2级 字符"/>
    <w:link w:val="261"/>
    <w:qFormat/>
    <w:uiPriority w:val="0"/>
    <w:rPr>
      <w:rFonts w:eastAsia="等线"/>
      <w:b/>
      <w:bCs/>
      <w:kern w:val="2"/>
      <w:sz w:val="24"/>
      <w:szCs w:val="24"/>
    </w:rPr>
  </w:style>
  <w:style w:type="paragraph" w:customStyle="1" w:styleId="263">
    <w:name w:val="大标题"/>
    <w:basedOn w:val="1"/>
    <w:link w:val="264"/>
    <w:qFormat/>
    <w:uiPriority w:val="0"/>
    <w:pPr>
      <w:adjustRightInd w:val="0"/>
      <w:snapToGrid w:val="0"/>
      <w:spacing w:before="50" w:beforeLines="50" w:after="50" w:afterLines="50" w:line="360" w:lineRule="auto"/>
      <w:jc w:val="center"/>
      <w:outlineLvl w:val="0"/>
    </w:pPr>
    <w:rPr>
      <w:rFonts w:ascii="黑体" w:hAnsi="黑体" w:eastAsia="黑体"/>
      <w:bCs/>
      <w:sz w:val="32"/>
      <w:szCs w:val="28"/>
    </w:rPr>
  </w:style>
  <w:style w:type="character" w:customStyle="1" w:styleId="264">
    <w:name w:val="大标题 字符"/>
    <w:link w:val="263"/>
    <w:qFormat/>
    <w:locked/>
    <w:uiPriority w:val="0"/>
    <w:rPr>
      <w:rFonts w:ascii="黑体" w:hAnsi="黑体" w:eastAsia="黑体"/>
      <w:bCs/>
      <w:kern w:val="2"/>
      <w:sz w:val="32"/>
      <w:szCs w:val="28"/>
    </w:rPr>
  </w:style>
  <w:style w:type="character" w:customStyle="1" w:styleId="265">
    <w:name w:val="表头 Char1"/>
    <w:link w:val="56"/>
    <w:qFormat/>
    <w:uiPriority w:val="0"/>
    <w:rPr>
      <w:rFonts w:ascii="黑体" w:hAnsi="黑体" w:eastAsia="宋体" w:cs="宋体"/>
      <w:b/>
      <w:smallCaps/>
      <w:snapToGrid w:val="0"/>
      <w:kern w:val="0"/>
      <w:sz w:val="22"/>
      <w:szCs w:val="21"/>
      <w:lang w:val="zh-CN" w:eastAsia="zh-CN" w:bidi="ar-SA"/>
    </w:rPr>
  </w:style>
  <w:style w:type="paragraph" w:customStyle="1" w:styleId="266">
    <w:name w:val="xl75"/>
    <w:basedOn w:val="1"/>
    <w:qFormat/>
    <w:uiPriority w:val="0"/>
    <w:pPr>
      <w:widowControl/>
      <w:pBdr>
        <w:top w:val="double" w:color="auto" w:sz="6" w:space="0"/>
        <w:left w:val="single" w:color="auto" w:sz="8" w:space="0"/>
        <w:right w:val="single" w:color="auto" w:sz="8" w:space="0"/>
      </w:pBdr>
      <w:adjustRightInd w:val="0"/>
      <w:spacing w:before="100" w:beforeAutospacing="1" w:after="100" w:afterAutospacing="1" w:line="360" w:lineRule="atLeast"/>
      <w:jc w:val="center"/>
      <w:textAlignment w:val="baseline"/>
    </w:pPr>
    <w:rPr>
      <w:rFonts w:ascii="宋体" w:hAnsi="宋体" w:eastAsia="Times New Roman" w:cs="宋体"/>
      <w:b/>
      <w:bCs/>
      <w:color w:val="000000"/>
      <w:kern w:val="0"/>
      <w:sz w:val="24"/>
    </w:rPr>
  </w:style>
  <w:style w:type="character" w:customStyle="1" w:styleId="267">
    <w:name w:val="表头 字符"/>
    <w:qFormat/>
    <w:uiPriority w:val="0"/>
    <w:rPr>
      <w:rFonts w:ascii="黑体" w:hAnsi="宋体" w:eastAsia="等线" w:cs="宋体"/>
      <w:b/>
      <w:kern w:val="2"/>
      <w:sz w:val="22"/>
      <w:szCs w:val="24"/>
      <w:lang w:val="zh-CN"/>
    </w:rPr>
  </w:style>
  <w:style w:type="character" w:customStyle="1" w:styleId="268">
    <w:name w:val="图头 字符"/>
    <w:qFormat/>
    <w:locked/>
    <w:uiPriority w:val="0"/>
    <w:rPr>
      <w:rFonts w:ascii="黑体" w:hAnsi="宋体" w:eastAsia="等线"/>
      <w:b/>
      <w:sz w:val="22"/>
      <w:szCs w:val="24"/>
      <w:lang w:val="zh-CN"/>
    </w:rPr>
  </w:style>
  <w:style w:type="character" w:customStyle="1" w:styleId="269">
    <w:name w:val="正文首行缩进 Char"/>
    <w:basedOn w:val="65"/>
    <w:link w:val="45"/>
    <w:qFormat/>
    <w:uiPriority w:val="0"/>
    <w:rPr>
      <w:kern w:val="2"/>
      <w:sz w:val="21"/>
      <w:szCs w:val="24"/>
    </w:rPr>
  </w:style>
  <w:style w:type="paragraph" w:customStyle="1" w:styleId="270">
    <w:name w:val="表中文字"/>
    <w:basedOn w:val="1"/>
    <w:qFormat/>
    <w:uiPriority w:val="0"/>
    <w:pPr>
      <w:spacing w:line="300" w:lineRule="exact"/>
      <w:jc w:val="center"/>
    </w:pPr>
    <w:rPr>
      <w:color w:val="000000"/>
    </w:rPr>
  </w:style>
  <w:style w:type="paragraph" w:customStyle="1" w:styleId="271">
    <w:name w:val="Char Char Char Char Char Char Char Char Char"/>
    <w:basedOn w:val="1"/>
    <w:qFormat/>
    <w:uiPriority w:val="0"/>
    <w:pPr>
      <w:adjustRightInd w:val="0"/>
      <w:snapToGrid w:val="0"/>
      <w:ind w:left="-63" w:leftChars="-30" w:right="-63" w:rightChars="-30"/>
      <w:jc w:val="center"/>
    </w:pPr>
    <w:rPr>
      <w:rFonts w:eastAsia="仿宋_GB2312"/>
      <w:sz w:val="18"/>
      <w:szCs w:val="18"/>
    </w:rPr>
  </w:style>
  <w:style w:type="paragraph" w:customStyle="1" w:styleId="27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
    <w:name w:val="lh-正文-报告表"/>
    <w:basedOn w:val="1"/>
    <w:link w:val="274"/>
    <w:qFormat/>
    <w:uiPriority w:val="0"/>
    <w:pPr>
      <w:spacing w:line="360" w:lineRule="auto"/>
      <w:ind w:firstLine="480" w:firstLineChars="200"/>
    </w:pPr>
    <w:rPr>
      <w:kern w:val="0"/>
      <w:sz w:val="24"/>
      <w:szCs w:val="21"/>
    </w:rPr>
  </w:style>
  <w:style w:type="character" w:customStyle="1" w:styleId="274">
    <w:name w:val="lh-正文-报告表 Char"/>
    <w:link w:val="273"/>
    <w:qFormat/>
    <w:uiPriority w:val="0"/>
    <w:rPr>
      <w:sz w:val="24"/>
      <w:szCs w:val="21"/>
    </w:rPr>
  </w:style>
  <w:style w:type="paragraph" w:customStyle="1" w:styleId="275">
    <w:name w:val="6666666段落"/>
    <w:link w:val="276"/>
    <w:qFormat/>
    <w:uiPriority w:val="0"/>
    <w:pPr>
      <w:spacing w:line="360" w:lineRule="auto"/>
      <w:ind w:firstLine="720" w:firstLineChars="200"/>
      <w:jc w:val="both"/>
    </w:pPr>
    <w:rPr>
      <w:rFonts w:ascii="Times New Roman" w:hAnsi="Times New Roman" w:eastAsia="宋体" w:cs="Times New Roman"/>
      <w:sz w:val="24"/>
      <w:lang w:val="en-US" w:eastAsia="zh-CN" w:bidi="ar-SA"/>
    </w:rPr>
  </w:style>
  <w:style w:type="character" w:customStyle="1" w:styleId="276">
    <w:name w:val="6666666段落 Char"/>
    <w:link w:val="275"/>
    <w:qFormat/>
    <w:uiPriority w:val="0"/>
    <w:rPr>
      <w:sz w:val="24"/>
    </w:rPr>
  </w:style>
  <w:style w:type="paragraph" w:customStyle="1" w:styleId="277">
    <w:name w:val="报告表正文格式"/>
    <w:basedOn w:val="1"/>
    <w:qFormat/>
    <w:uiPriority w:val="0"/>
    <w:pPr>
      <w:tabs>
        <w:tab w:val="center" w:pos="0"/>
      </w:tabs>
      <w:spacing w:line="520" w:lineRule="exact"/>
      <w:ind w:firstLine="64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F18A92-50E2-429C-9F01-6FE6A737BFB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65</Pages>
  <Words>15899</Words>
  <Characters>16727</Characters>
  <Lines>359</Lines>
  <Paragraphs>101</Paragraphs>
  <TotalTime>3</TotalTime>
  <ScaleCrop>false</ScaleCrop>
  <LinksUpToDate>false</LinksUpToDate>
  <CharactersWithSpaces>16831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微信用户</cp:lastModifiedBy>
  <cp:lastPrinted>2023-11-30T04:02:00Z</cp:lastPrinted>
  <dcterms:modified xsi:type="dcterms:W3CDTF">2026-06-10T00:57:32Z</dcterms:modified>
  <dc:title>附件2</dc:title>
  <cp:revision>4266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37C6C5D097D44E20BC99076AC2E48FDB_13</vt:lpwstr>
  </property>
  <property fmtid="{D5CDD505-2E9C-101B-9397-08002B2CF9AE}" pid="4" name="KSOTemplateDocerSaveRecord">
    <vt:lpwstr>eyJoZGlkIjoiNmE4ZTg5NDRjZDY5ZThiOTY2YmNkMzhiNzMyNzI1MWMiLCJ1c2VySWQiOiIxMjkwNzYyNzMwIn0=</vt:lpwstr>
  </property>
</Properties>
</file>