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4B012">
      <w:pPr>
        <w:rPr>
          <w:rFonts w:hint="default" w:ascii="Times New Roman" w:hAnsi="Times New Roman" w:eastAsia="仿宋_GB2312" w:cs="Times New Roman"/>
          <w:color w:val="auto"/>
          <w:sz w:val="36"/>
          <w:szCs w:val="36"/>
          <w:highlight w:val="none"/>
          <w:lang w:val="en-US" w:eastAsia="zh-CN"/>
        </w:rPr>
      </w:pPr>
    </w:p>
    <w:p w14:paraId="2570D34B">
      <w:pPr>
        <w:rPr>
          <w:rFonts w:hint="default" w:ascii="Times New Roman" w:hAnsi="Times New Roman" w:eastAsia="仿宋_GB2312" w:cs="Times New Roman"/>
          <w:color w:val="auto"/>
          <w:szCs w:val="21"/>
          <w:highlight w:val="none"/>
        </w:rPr>
      </w:pPr>
    </w:p>
    <w:p w14:paraId="6EE6BEFD">
      <w:pPr>
        <w:rPr>
          <w:rFonts w:hint="default" w:ascii="Times New Roman" w:hAnsi="Times New Roman" w:eastAsia="仿宋_GB2312" w:cs="Times New Roman"/>
          <w:color w:val="auto"/>
          <w:szCs w:val="21"/>
          <w:highlight w:val="none"/>
        </w:rPr>
      </w:pPr>
    </w:p>
    <w:p w14:paraId="6444B4D2">
      <w:pPr>
        <w:rPr>
          <w:rFonts w:hint="default" w:ascii="Times New Roman" w:hAnsi="Times New Roman" w:eastAsia="仿宋_GB2312" w:cs="Times New Roman"/>
          <w:color w:val="auto"/>
          <w:szCs w:val="21"/>
          <w:highlight w:val="none"/>
        </w:rPr>
      </w:pPr>
    </w:p>
    <w:p w14:paraId="315915D9">
      <w:pPr>
        <w:rPr>
          <w:rFonts w:hint="default" w:ascii="Times New Roman" w:hAnsi="Times New Roman" w:eastAsia="仿宋_GB2312" w:cs="Times New Roman"/>
          <w:color w:val="auto"/>
          <w:szCs w:val="21"/>
          <w:highlight w:val="none"/>
        </w:rPr>
      </w:pPr>
    </w:p>
    <w:p w14:paraId="41D34F72">
      <w:pPr>
        <w:rPr>
          <w:rFonts w:hint="default" w:ascii="Times New Roman" w:hAnsi="Times New Roman" w:eastAsia="仿宋_GB2312" w:cs="Times New Roman"/>
          <w:color w:val="auto"/>
          <w:szCs w:val="21"/>
          <w:highlight w:val="none"/>
        </w:rPr>
      </w:pPr>
    </w:p>
    <w:p w14:paraId="6CB99E5F">
      <w:pPr>
        <w:rPr>
          <w:rFonts w:hint="default" w:ascii="Times New Roman" w:hAnsi="Times New Roman" w:eastAsia="仿宋_GB2312" w:cs="Times New Roman"/>
          <w:color w:val="auto"/>
          <w:szCs w:val="21"/>
          <w:highlight w:val="none"/>
        </w:rPr>
      </w:pPr>
    </w:p>
    <w:p w14:paraId="0ACE83AB">
      <w:pPr>
        <w:rPr>
          <w:rFonts w:hint="default" w:ascii="Times New Roman" w:hAnsi="Times New Roman" w:eastAsia="仿宋_GB2312" w:cs="Times New Roman"/>
          <w:color w:val="auto"/>
          <w:szCs w:val="21"/>
          <w:highlight w:val="none"/>
        </w:rPr>
      </w:pPr>
    </w:p>
    <w:p w14:paraId="39F9B2EC">
      <w:pPr>
        <w:adjustRightInd w:val="0"/>
        <w:snapToGrid w:val="0"/>
        <w:jc w:val="center"/>
        <w:outlineLvl w:val="9"/>
        <w:rPr>
          <w:rFonts w:hint="default" w:ascii="Times New Roman" w:hAnsi="Times New Roman" w:cs="Times New Roman"/>
          <w:b/>
          <w:bCs w:val="0"/>
          <w:color w:val="auto"/>
          <w:sz w:val="72"/>
          <w:szCs w:val="72"/>
          <w:highlight w:val="none"/>
        </w:rPr>
      </w:pPr>
      <w:r>
        <w:rPr>
          <w:rFonts w:hint="default" w:ascii="Times New Roman" w:hAnsi="Times New Roman" w:cs="Times New Roman"/>
          <w:b/>
          <w:bCs w:val="0"/>
          <w:color w:val="auto"/>
          <w:sz w:val="72"/>
          <w:szCs w:val="72"/>
          <w:highlight w:val="none"/>
        </w:rPr>
        <w:t>建设项目环境影响报告表</w:t>
      </w:r>
    </w:p>
    <w:p w14:paraId="1489CAC3">
      <w:pPr>
        <w:adjustRightInd w:val="0"/>
        <w:snapToGrid w:val="0"/>
        <w:spacing w:before="192" w:beforeLines="80"/>
        <w:jc w:val="center"/>
        <w:outlineLvl w:val="9"/>
        <w:rPr>
          <w:rFonts w:hint="default" w:ascii="Times New Roman" w:hAnsi="Times New Roman" w:cs="Times New Roman"/>
          <w:bCs/>
          <w:color w:val="auto"/>
          <w:sz w:val="48"/>
          <w:szCs w:val="48"/>
          <w:highlight w:val="none"/>
        </w:rPr>
      </w:pPr>
      <w:r>
        <w:rPr>
          <w:rFonts w:hint="default" w:ascii="Times New Roman" w:hAnsi="Times New Roman" w:cs="Times New Roman"/>
          <w:bCs/>
          <w:color w:val="auto"/>
          <w:sz w:val="48"/>
          <w:szCs w:val="48"/>
          <w:highlight w:val="none"/>
        </w:rPr>
        <w:t>（污染影响类）</w:t>
      </w:r>
    </w:p>
    <w:p w14:paraId="00BC7876">
      <w:pPr>
        <w:adjustRightInd w:val="0"/>
        <w:snapToGrid w:val="0"/>
        <w:spacing w:line="288" w:lineRule="auto"/>
        <w:jc w:val="center"/>
        <w:outlineLvl w:val="9"/>
        <w:rPr>
          <w:rFonts w:hint="default" w:ascii="Times New Roman" w:hAnsi="Times New Roman" w:eastAsia="华文仿宋" w:cs="Times New Roman"/>
          <w:color w:val="auto"/>
          <w:kern w:val="44"/>
          <w:sz w:val="44"/>
          <w:szCs w:val="44"/>
          <w:highlight w:val="none"/>
        </w:rPr>
      </w:pPr>
    </w:p>
    <w:p w14:paraId="3A642575">
      <w:pPr>
        <w:jc w:val="center"/>
        <w:outlineLvl w:val="9"/>
        <w:rPr>
          <w:rFonts w:hint="default" w:ascii="Times New Roman" w:hAnsi="Times New Roman" w:eastAsia="仿宋" w:cs="Times New Roman"/>
          <w:color w:val="auto"/>
          <w:sz w:val="52"/>
          <w:szCs w:val="52"/>
          <w:highlight w:val="none"/>
        </w:rPr>
      </w:pPr>
    </w:p>
    <w:p w14:paraId="2A7285D7">
      <w:pPr>
        <w:jc w:val="center"/>
        <w:outlineLvl w:val="9"/>
        <w:rPr>
          <w:rFonts w:hint="default" w:ascii="Times New Roman" w:hAnsi="Times New Roman" w:eastAsia="仿宋" w:cs="Times New Roman"/>
          <w:color w:val="auto"/>
          <w:sz w:val="52"/>
          <w:szCs w:val="52"/>
          <w:highlight w:val="none"/>
        </w:rPr>
      </w:pPr>
    </w:p>
    <w:p w14:paraId="265ABCEA">
      <w:pPr>
        <w:jc w:val="center"/>
        <w:outlineLvl w:val="9"/>
        <w:rPr>
          <w:rFonts w:hint="default" w:ascii="Times New Roman" w:hAnsi="Times New Roman" w:eastAsia="仿宋" w:cs="Times New Roman"/>
          <w:color w:val="auto"/>
          <w:sz w:val="52"/>
          <w:szCs w:val="52"/>
          <w:highlight w:val="none"/>
        </w:rPr>
      </w:pPr>
    </w:p>
    <w:p w14:paraId="0300C19E">
      <w:pPr>
        <w:ind w:firstLine="1040"/>
        <w:outlineLvl w:val="9"/>
        <w:rPr>
          <w:rFonts w:hint="default" w:ascii="Times New Roman" w:hAnsi="Times New Roman" w:eastAsia="仿宋" w:cs="Times New Roman"/>
          <w:color w:val="auto"/>
          <w:sz w:val="44"/>
          <w:szCs w:val="44"/>
          <w:highlight w:val="none"/>
        </w:rPr>
      </w:pPr>
    </w:p>
    <w:p w14:paraId="6E8574FD">
      <w:pPr>
        <w:ind w:firstLine="1040"/>
        <w:outlineLvl w:val="9"/>
        <w:rPr>
          <w:rFonts w:hint="default" w:ascii="Times New Roman" w:hAnsi="Times New Roman" w:eastAsia="仿宋" w:cs="Times New Roman"/>
          <w:color w:val="auto"/>
          <w:sz w:val="44"/>
          <w:szCs w:val="44"/>
          <w:highlight w:val="none"/>
        </w:rPr>
      </w:pPr>
    </w:p>
    <w:p w14:paraId="1BD61946">
      <w:pPr>
        <w:ind w:firstLine="1040"/>
        <w:outlineLvl w:val="9"/>
        <w:rPr>
          <w:rFonts w:hint="default" w:ascii="Times New Roman" w:hAnsi="Times New Roman" w:eastAsia="仿宋" w:cs="Times New Roman"/>
          <w:color w:val="auto"/>
          <w:sz w:val="44"/>
          <w:szCs w:val="44"/>
          <w:highlight w:val="none"/>
        </w:rPr>
      </w:pPr>
    </w:p>
    <w:p w14:paraId="60363592">
      <w:pPr>
        <w:ind w:firstLine="1040"/>
        <w:outlineLvl w:val="9"/>
        <w:rPr>
          <w:rFonts w:hint="default" w:ascii="Times New Roman" w:hAnsi="Times New Roman" w:eastAsia="仿宋" w:cs="Times New Roman"/>
          <w:color w:val="auto"/>
          <w:sz w:val="44"/>
          <w:szCs w:val="44"/>
          <w:highlight w:val="none"/>
        </w:rPr>
      </w:pPr>
    </w:p>
    <w:p w14:paraId="5F543023">
      <w:pPr>
        <w:ind w:firstLine="1040"/>
        <w:outlineLvl w:val="9"/>
        <w:rPr>
          <w:rFonts w:hint="default" w:ascii="Times New Roman" w:hAnsi="Times New Roman" w:eastAsia="仿宋" w:cs="Times New Roman"/>
          <w:color w:val="auto"/>
          <w:sz w:val="44"/>
          <w:szCs w:val="44"/>
          <w:highlight w:val="none"/>
        </w:rPr>
      </w:pPr>
      <w:bookmarkStart w:id="16" w:name="_GoBack"/>
      <w:bookmarkEnd w:id="16"/>
    </w:p>
    <w:p w14:paraId="4B8568C2">
      <w:pPr>
        <w:ind w:firstLine="1040"/>
        <w:rPr>
          <w:rFonts w:hint="default" w:ascii="Times New Roman" w:hAnsi="Times New Roman" w:eastAsia="仿宋" w:cs="Times New Roman"/>
          <w:color w:val="auto"/>
          <w:sz w:val="44"/>
          <w:szCs w:val="44"/>
          <w:highlight w:val="none"/>
        </w:rPr>
      </w:pPr>
    </w:p>
    <w:p w14:paraId="748ACDE6">
      <w:pPr>
        <w:adjustRightInd w:val="0"/>
        <w:snapToGrid w:val="0"/>
        <w:ind w:left="2121" w:leftChars="172" w:hanging="1760" w:hangingChars="550"/>
        <w:rPr>
          <w:rFonts w:hint="default" w:ascii="Times New Roman" w:hAnsi="Times New Roman" w:cs="Times New Roman"/>
          <w:color w:val="auto"/>
          <w:sz w:val="32"/>
          <w:szCs w:val="32"/>
          <w:highlight w:val="none"/>
          <w:u w:val="single"/>
          <w:lang w:val="en-US"/>
        </w:rPr>
      </w:pPr>
      <w:r>
        <w:rPr>
          <w:rFonts w:hint="default" w:ascii="Times New Roman" w:hAnsi="Times New Roman" w:cs="Times New Roman"/>
          <w:color w:val="auto"/>
          <w:sz w:val="32"/>
          <w:szCs w:val="32"/>
          <w:highlight w:val="none"/>
        </w:rPr>
        <w:t>项目名称：</w:t>
      </w:r>
      <w:r>
        <w:rPr>
          <w:rFonts w:hint="eastAsia" w:cs="Times New Roman"/>
          <w:color w:val="auto"/>
          <w:sz w:val="32"/>
          <w:szCs w:val="32"/>
          <w:highlight w:val="none"/>
          <w:u w:val="single"/>
          <w:lang w:val="en-US" w:eastAsia="zh-CN"/>
        </w:rPr>
        <w:t>年产4500万米高分子物理合成编织水带项目</w:t>
      </w:r>
    </w:p>
    <w:p w14:paraId="7F25DF47">
      <w:pPr>
        <w:adjustRightInd w:val="0"/>
        <w:snapToGrid w:val="0"/>
        <w:spacing w:before="240" w:beforeLines="100" w:line="360" w:lineRule="auto"/>
        <w:ind w:firstLine="320" w:firstLineChars="100"/>
        <w:rPr>
          <w:rFonts w:hint="default" w:ascii="Times New Roman" w:hAnsi="Times New Roman" w:cs="Times New Roman"/>
          <w:color w:val="auto"/>
          <w:sz w:val="32"/>
          <w:szCs w:val="32"/>
          <w:highlight w:val="none"/>
          <w:u w:val="single"/>
        </w:rPr>
      </w:pPr>
      <w:r>
        <w:rPr>
          <w:rFonts w:hint="default" w:ascii="Times New Roman" w:hAnsi="Times New Roman" w:cs="Times New Roman"/>
          <w:color w:val="auto"/>
          <w:sz w:val="32"/>
          <w:szCs w:val="32"/>
          <w:highlight w:val="none"/>
        </w:rPr>
        <w:t>建设单位（盖章）</w:t>
      </w:r>
      <w:r>
        <w:rPr>
          <w:rFonts w:hint="eastAsia" w:cs="Times New Roman"/>
          <w:color w:val="auto"/>
          <w:sz w:val="32"/>
          <w:szCs w:val="32"/>
          <w:highlight w:val="none"/>
          <w:lang w:eastAsia="zh-CN"/>
        </w:rPr>
        <w:t>：</w:t>
      </w:r>
      <w:r>
        <w:rPr>
          <w:rFonts w:hint="eastAsia" w:cs="Times New Roman"/>
          <w:color w:val="auto"/>
          <w:sz w:val="32"/>
          <w:szCs w:val="32"/>
          <w:highlight w:val="none"/>
          <w:u w:val="single"/>
          <w:lang w:val="en-US" w:eastAsia="zh-CN"/>
        </w:rPr>
        <w:t xml:space="preserve"> </w:t>
      </w:r>
      <w:r>
        <w:rPr>
          <w:rFonts w:hint="eastAsia" w:cs="Times New Roman"/>
          <w:color w:val="auto"/>
          <w:sz w:val="32"/>
          <w:szCs w:val="32"/>
          <w:highlight w:val="none"/>
          <w:u w:val="single"/>
          <w:lang w:eastAsia="zh-CN"/>
        </w:rPr>
        <w:t>安阳市雨露节水灌溉科技有限公司</w:t>
      </w:r>
    </w:p>
    <w:p w14:paraId="37E5CCB9">
      <w:pPr>
        <w:adjustRightInd w:val="0"/>
        <w:snapToGrid w:val="0"/>
        <w:spacing w:line="360" w:lineRule="auto"/>
        <w:ind w:firstLine="320" w:firstLineChars="100"/>
        <w:rPr>
          <w:rFonts w:hint="eastAsia" w:ascii="Times New Roman" w:hAnsi="Times New Roman" w:eastAsia="宋体" w:cs="Times New Roman"/>
          <w:color w:val="auto"/>
          <w:sz w:val="32"/>
          <w:szCs w:val="32"/>
          <w:highlight w:val="none"/>
          <w:u w:val="single"/>
          <w:lang w:val="en-US" w:eastAsia="zh-CN"/>
        </w:rPr>
      </w:pPr>
      <w:r>
        <w:rPr>
          <w:rFonts w:hint="default" w:ascii="Times New Roman" w:hAnsi="Times New Roman" w:cs="Times New Roman"/>
          <w:color w:val="auto"/>
          <w:sz w:val="32"/>
          <w:szCs w:val="32"/>
          <w:highlight w:val="none"/>
        </w:rPr>
        <w:t>编</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制</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日</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rPr>
        <w:t>期：</w:t>
      </w:r>
      <w:r>
        <w:rPr>
          <w:rFonts w:hint="default" w:ascii="Times New Roman" w:hAnsi="Times New Roman" w:cs="Times New Roman"/>
          <w:color w:val="auto"/>
          <w:sz w:val="32"/>
          <w:szCs w:val="32"/>
          <w:highlight w:val="none"/>
          <w:u w:val="single"/>
        </w:rPr>
        <w:t xml:space="preserve">          </w:t>
      </w:r>
      <w:r>
        <w:rPr>
          <w:rFonts w:hint="eastAsia"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u w:val="single"/>
        </w:rPr>
        <w:t xml:space="preserve"> 202</w:t>
      </w:r>
      <w:r>
        <w:rPr>
          <w:rFonts w:hint="eastAsia" w:cs="Times New Roman"/>
          <w:color w:val="auto"/>
          <w:sz w:val="32"/>
          <w:szCs w:val="32"/>
          <w:highlight w:val="none"/>
          <w:u w:val="single"/>
          <w:lang w:val="en-US" w:eastAsia="zh-CN"/>
        </w:rPr>
        <w:t>6</w:t>
      </w:r>
      <w:r>
        <w:rPr>
          <w:rFonts w:hint="default" w:ascii="Times New Roman" w:hAnsi="Times New Roman" w:cs="Times New Roman"/>
          <w:color w:val="auto"/>
          <w:sz w:val="32"/>
          <w:szCs w:val="32"/>
          <w:highlight w:val="none"/>
          <w:u w:val="single"/>
        </w:rPr>
        <w:t>年</w:t>
      </w:r>
      <w:r>
        <w:rPr>
          <w:rFonts w:hint="eastAsia" w:cs="Times New Roman"/>
          <w:color w:val="auto"/>
          <w:sz w:val="32"/>
          <w:szCs w:val="32"/>
          <w:highlight w:val="none"/>
          <w:u w:val="single"/>
          <w:lang w:val="en-US" w:eastAsia="zh-CN"/>
        </w:rPr>
        <w:t>6</w:t>
      </w:r>
      <w:r>
        <w:rPr>
          <w:rFonts w:hint="default" w:ascii="Times New Roman" w:hAnsi="Times New Roman" w:cs="Times New Roman"/>
          <w:color w:val="auto"/>
          <w:sz w:val="32"/>
          <w:szCs w:val="32"/>
          <w:highlight w:val="none"/>
          <w:u w:val="single"/>
        </w:rPr>
        <w:t xml:space="preserve">月          </w:t>
      </w:r>
      <w:r>
        <w:rPr>
          <w:rFonts w:hint="eastAsia" w:ascii="Times New Roman" w:hAnsi="Times New Roman" w:cs="Times New Roman"/>
          <w:color w:val="auto"/>
          <w:sz w:val="32"/>
          <w:szCs w:val="32"/>
          <w:highlight w:val="none"/>
          <w:u w:val="single"/>
          <w:lang w:val="en-US" w:eastAsia="zh-CN"/>
        </w:rPr>
        <w:t xml:space="preserve"> </w:t>
      </w:r>
    </w:p>
    <w:p w14:paraId="18460B6B">
      <w:pPr>
        <w:adjustRightInd w:val="0"/>
        <w:snapToGrid w:val="0"/>
        <w:spacing w:line="288" w:lineRule="auto"/>
        <w:ind w:firstLine="1040"/>
        <w:rPr>
          <w:rFonts w:hint="default" w:ascii="Times New Roman" w:hAnsi="Times New Roman" w:eastAsia="仿宋_GB2312" w:cs="Times New Roman"/>
          <w:color w:val="auto"/>
          <w:szCs w:val="21"/>
          <w:highlight w:val="none"/>
          <w:u w:val="single"/>
        </w:rPr>
      </w:pPr>
      <w:bookmarkStart w:id="0" w:name="_Hlk57884087"/>
    </w:p>
    <w:p w14:paraId="39C37009">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0"/>
    <w:p w14:paraId="1536291B">
      <w:pPr>
        <w:adjustRightInd w:val="0"/>
        <w:snapToGrid w:val="0"/>
        <w:spacing w:line="288" w:lineRule="auto"/>
        <w:jc w:val="center"/>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中华人民共和国生态环境部制</w:t>
      </w:r>
    </w:p>
    <w:p w14:paraId="489B064E">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32A3ADBD">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start="0"/>
          <w:cols w:space="720" w:num="1"/>
          <w:titlePg/>
          <w:rtlGutter w:val="0"/>
          <w:docGrid w:linePitch="312" w:charSpace="0"/>
        </w:sectPr>
      </w:pPr>
    </w:p>
    <w:p w14:paraId="69E0679C">
      <w:pPr>
        <w:jc w:val="both"/>
        <w:rPr>
          <w:rFonts w:hint="default" w:ascii="Times New Roman" w:hAnsi="Times New Roman" w:eastAsia="宋体" w:cs="Times New Roman"/>
          <w:color w:val="auto"/>
          <w:highlight w:val="none"/>
          <w:lang w:eastAsia="zh-CN"/>
        </w:rPr>
      </w:pPr>
    </w:p>
    <w:p w14:paraId="25495183">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245D1D66">
      <w:pPr>
        <w:adjustRightInd w:val="0"/>
        <w:snapToGrid w:val="0"/>
        <w:spacing w:line="288" w:lineRule="auto"/>
        <w:jc w:val="center"/>
        <w:rPr>
          <w:rFonts w:hint="default" w:ascii="Times New Roman" w:hAnsi="Times New Roman" w:cs="Times New Roman"/>
          <w:b/>
          <w:bCs/>
          <w:color w:val="auto"/>
          <w:sz w:val="48"/>
          <w:szCs w:val="48"/>
          <w:highlight w:val="none"/>
        </w:rPr>
      </w:pPr>
      <w:r>
        <w:rPr>
          <w:rFonts w:hint="default" w:ascii="Times New Roman" w:hAnsi="Times New Roman" w:cs="Times New Roman"/>
          <w:b/>
          <w:bCs/>
          <w:color w:val="auto"/>
          <w:sz w:val="48"/>
          <w:szCs w:val="48"/>
          <w:highlight w:val="none"/>
        </w:rPr>
        <w:t>目 录</w:t>
      </w:r>
    </w:p>
    <w:p w14:paraId="739E5865">
      <w:pPr>
        <w:adjustRightInd w:val="0"/>
        <w:snapToGrid w:val="0"/>
        <w:spacing w:line="288" w:lineRule="auto"/>
        <w:jc w:val="center"/>
        <w:rPr>
          <w:rFonts w:hint="default" w:ascii="Times New Roman" w:hAnsi="Times New Roman" w:cs="Times New Roman"/>
          <w:bCs/>
          <w:color w:val="auto"/>
          <w:sz w:val="48"/>
          <w:szCs w:val="48"/>
          <w:highlight w:val="none"/>
        </w:rPr>
      </w:pPr>
    </w:p>
    <w:p w14:paraId="267FB3DA">
      <w:pPr>
        <w:pStyle w:val="20"/>
        <w:tabs>
          <w:tab w:val="right" w:leader="dot" w:pos="8844"/>
        </w:tabs>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TOC \o "1-1" \h \z \u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_Toc16212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一、建设项目基本情况</w:t>
      </w:r>
      <w:r>
        <w:rPr>
          <w:rFonts w:hint="default" w:ascii="Times New Roman" w:hAnsi="Times New Roman" w:eastAsia="宋体" w:cs="Times New Roman"/>
          <w:b/>
          <w:bCs/>
          <w:color w:val="auto"/>
          <w:sz w:val="28"/>
          <w:szCs w:val="28"/>
          <w:highlight w:val="none"/>
        </w:rPr>
        <w:tab/>
      </w: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PAGEREF _Toc16212 \h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color w:val="auto"/>
          <w:sz w:val="28"/>
          <w:szCs w:val="28"/>
          <w:highlight w:val="none"/>
        </w:rPr>
        <w:t>1</w:t>
      </w: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bCs/>
          <w:color w:val="auto"/>
          <w:sz w:val="28"/>
          <w:szCs w:val="28"/>
          <w:highlight w:val="none"/>
        </w:rPr>
        <w:fldChar w:fldCharType="end"/>
      </w:r>
    </w:p>
    <w:p w14:paraId="0E8E8DC6">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_Toc11615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二、建设项目工程分析</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25</w:t>
      </w:r>
      <w:r>
        <w:rPr>
          <w:rFonts w:hint="default" w:ascii="Times New Roman" w:hAnsi="Times New Roman" w:eastAsia="宋体" w:cs="Times New Roman"/>
          <w:b/>
          <w:bCs/>
          <w:color w:val="auto"/>
          <w:sz w:val="28"/>
          <w:szCs w:val="28"/>
          <w:highlight w:val="none"/>
        </w:rPr>
        <w:fldChar w:fldCharType="end"/>
      </w:r>
    </w:p>
    <w:p w14:paraId="7F4929B8">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_Toc2821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三、区域环境质量现状、环境保护目标及评价标准</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1</w:t>
      </w:r>
    </w:p>
    <w:p w14:paraId="5535DCEB">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_Toc19507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四、主要环境影响和保护措施</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7</w:t>
      </w:r>
    </w:p>
    <w:p w14:paraId="3B5D2991">
      <w:pPr>
        <w:pStyle w:val="20"/>
        <w:tabs>
          <w:tab w:val="right" w:leader="dot" w:pos="8844"/>
        </w:tabs>
        <w:spacing w:line="360" w:lineRule="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_Toc17916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五、环境保护措施监督检查清单</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2</w:t>
      </w:r>
    </w:p>
    <w:p w14:paraId="789C962D">
      <w:pPr>
        <w:pStyle w:val="20"/>
        <w:tabs>
          <w:tab w:val="right" w:leader="dot" w:pos="8844"/>
        </w:tabs>
        <w:spacing w:line="360" w:lineRule="auto"/>
        <w:rPr>
          <w:rFonts w:hint="eastAsia"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fldChar w:fldCharType="begin"/>
      </w:r>
      <w:r>
        <w:rPr>
          <w:rFonts w:hint="default" w:ascii="Times New Roman" w:hAnsi="Times New Roman" w:eastAsia="宋体" w:cs="Times New Roman"/>
          <w:b/>
          <w:bCs/>
          <w:color w:val="auto"/>
          <w:sz w:val="28"/>
          <w:szCs w:val="28"/>
          <w:highlight w:val="none"/>
        </w:rPr>
        <w:instrText xml:space="preserve"> HYPERLINK \l _Toc32153 </w:instrText>
      </w:r>
      <w:r>
        <w:rPr>
          <w:rFonts w:hint="default" w:ascii="Times New Roman" w:hAnsi="Times New Roman" w:eastAsia="宋体" w:cs="Times New Roman"/>
          <w:b/>
          <w:bCs/>
          <w:color w:val="auto"/>
          <w:sz w:val="28"/>
          <w:szCs w:val="28"/>
          <w:highlight w:val="none"/>
        </w:rPr>
        <w:fldChar w:fldCharType="separate"/>
      </w:r>
      <w:r>
        <w:rPr>
          <w:rFonts w:hint="default" w:ascii="Times New Roman" w:hAnsi="Times New Roman" w:eastAsia="宋体" w:cs="Times New Roman"/>
          <w:b/>
          <w:bCs/>
          <w:snapToGrid w:val="0"/>
          <w:color w:val="auto"/>
          <w:sz w:val="28"/>
          <w:szCs w:val="28"/>
          <w:highlight w:val="none"/>
        </w:rPr>
        <w:t>六、结论</w:t>
      </w:r>
      <w:r>
        <w:rPr>
          <w:rFonts w:hint="default" w:ascii="Times New Roman" w:hAnsi="Times New Roman" w:eastAsia="宋体" w:cs="Times New Roman"/>
          <w:b/>
          <w:bCs/>
          <w:color w:val="auto"/>
          <w:sz w:val="28"/>
          <w:szCs w:val="28"/>
          <w:highlight w:val="none"/>
        </w:rPr>
        <w:tab/>
      </w:r>
      <w:r>
        <w:rPr>
          <w:rFonts w:hint="eastAsia"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fldChar w:fldCharType="end"/>
      </w:r>
      <w:r>
        <w:rPr>
          <w:rFonts w:hint="eastAsia" w:cs="Times New Roman"/>
          <w:b/>
          <w:bCs/>
          <w:color w:val="auto"/>
          <w:sz w:val="28"/>
          <w:szCs w:val="28"/>
          <w:highlight w:val="none"/>
          <w:lang w:val="en-US" w:eastAsia="zh-CN"/>
        </w:rPr>
        <w:t>4</w:t>
      </w:r>
    </w:p>
    <w:p w14:paraId="74A0C61F">
      <w:pPr>
        <w:adjustRightInd w:val="0"/>
        <w:snapToGrid w:val="0"/>
        <w:spacing w:line="360" w:lineRule="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附件：</w:t>
      </w:r>
    </w:p>
    <w:p w14:paraId="25653A3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附图</w:t>
      </w:r>
      <w:r>
        <w:rPr>
          <w:rFonts w:hint="default" w:ascii="Times New Roman" w:hAnsi="Times New Roman" w:eastAsia="宋体" w:cs="Times New Roman"/>
          <w:b w:val="0"/>
          <w:bCs w:val="0"/>
          <w:color w:val="auto"/>
          <w:sz w:val="24"/>
          <w:szCs w:val="24"/>
          <w:highlight w:val="none"/>
          <w:lang w:val="en-US" w:eastAsia="zh-CN"/>
        </w:rPr>
        <w:t>1  项目地理位置图</w:t>
      </w:r>
    </w:p>
    <w:p w14:paraId="345FF70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附图2  项目周围环境示意图</w:t>
      </w:r>
    </w:p>
    <w:p w14:paraId="06ABE54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3  建设项目工程平面图</w:t>
      </w:r>
    </w:p>
    <w:p w14:paraId="327A55A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 xml:space="preserve">  本项目在汤阴县新型材料产业园区位置</w:t>
      </w:r>
    </w:p>
    <w:p w14:paraId="4D979E9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val="en-US" w:eastAsia="zh-CN"/>
        </w:rPr>
        <w:t xml:space="preserve">  河南省三线一单综合信息应用平台截图</w:t>
      </w:r>
    </w:p>
    <w:p w14:paraId="52ED745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yellow"/>
          <w:lang w:val="en-US" w:eastAsia="zh-CN"/>
        </w:rPr>
      </w:pPr>
      <w:r>
        <w:rPr>
          <w:rFonts w:hint="default" w:ascii="Times New Roman" w:hAnsi="Times New Roman" w:eastAsia="宋体" w:cs="Times New Roman"/>
          <w:b w:val="0"/>
          <w:bCs w:val="0"/>
          <w:color w:val="auto"/>
          <w:sz w:val="24"/>
          <w:szCs w:val="24"/>
          <w:highlight w:val="none"/>
          <w:lang w:val="en-US" w:eastAsia="zh-CN"/>
        </w:rPr>
        <w:t>附图</w:t>
      </w: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 xml:space="preserve">  现场踏勘图</w:t>
      </w:r>
    </w:p>
    <w:p w14:paraId="5125579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附件1  委托书</w:t>
      </w:r>
    </w:p>
    <w:p w14:paraId="69C21FF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河南省企业投资项目备案证明</w:t>
      </w:r>
    </w:p>
    <w:p w14:paraId="1A2993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 xml:space="preserve">  建设单位营业执照</w:t>
      </w:r>
    </w:p>
    <w:p w14:paraId="2FB8254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 xml:space="preserve">  法人身份证</w:t>
      </w:r>
    </w:p>
    <w:p w14:paraId="0493AC2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附件5</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cs="Times New Roman"/>
          <w:b w:val="0"/>
          <w:bCs w:val="0"/>
          <w:color w:val="auto"/>
          <w:sz w:val="24"/>
          <w:szCs w:val="24"/>
          <w:highlight w:val="none"/>
          <w:lang w:val="en-US" w:eastAsia="zh-CN"/>
        </w:rPr>
        <w:t>土地证</w:t>
      </w:r>
    </w:p>
    <w:p w14:paraId="4813405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 xml:space="preserve">  土地租赁协议书</w:t>
      </w:r>
    </w:p>
    <w:p w14:paraId="2E84157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cs="Times New Roman"/>
          <w:b w:val="0"/>
          <w:bCs w:val="0"/>
          <w:color w:val="auto"/>
          <w:sz w:val="24"/>
          <w:szCs w:val="24"/>
          <w:highlight w:val="none"/>
          <w:u w:val="none" w:color="auto"/>
          <w:lang w:val="en-US" w:eastAsia="zh-CN"/>
        </w:rPr>
      </w:pPr>
      <w:r>
        <w:rPr>
          <w:rFonts w:hint="eastAsia" w:cs="Times New Roman"/>
          <w:b w:val="0"/>
          <w:bCs w:val="0"/>
          <w:color w:val="auto"/>
          <w:sz w:val="24"/>
          <w:szCs w:val="24"/>
          <w:highlight w:val="none"/>
          <w:lang w:val="en-US" w:eastAsia="zh-CN"/>
        </w:rPr>
        <w:t xml:space="preserve">附件7  </w:t>
      </w:r>
      <w:r>
        <w:rPr>
          <w:rFonts w:hint="eastAsia" w:ascii="Times New Roman" w:hAnsi="Times New Roman" w:cs="Times New Roman"/>
          <w:b w:val="0"/>
          <w:bCs w:val="0"/>
          <w:color w:val="auto"/>
          <w:sz w:val="24"/>
          <w:szCs w:val="24"/>
          <w:highlight w:val="none"/>
          <w:u w:val="none" w:color="auto"/>
          <w:lang w:val="en-US" w:eastAsia="zh-CN"/>
        </w:rPr>
        <w:t>广东省生态环境厅问政平台问题回复截图</w:t>
      </w:r>
    </w:p>
    <w:p w14:paraId="70417548">
      <w:pPr>
        <w:keepNext w:val="0"/>
        <w:keepLines w:val="0"/>
        <w:pageBreakBefore w:val="0"/>
        <w:widowControl w:val="0"/>
        <w:kinsoku/>
        <w:wordWrap/>
        <w:overflowPunct/>
        <w:topLinePunct w:val="0"/>
        <w:autoSpaceDE/>
        <w:autoSpaceDN/>
        <w:bidi w:val="0"/>
        <w:adjustRightInd w:val="0"/>
        <w:snapToGrid w:val="0"/>
        <w:spacing w:line="400" w:lineRule="exact"/>
        <w:ind w:left="479" w:leftChars="228" w:firstLine="0" w:firstLineChars="0"/>
        <w:textAlignment w:val="auto"/>
        <w:rPr>
          <w:rFonts w:hint="default" w:ascii="Times New Roman" w:hAnsi="Times New Roman" w:cs="Times New Roman"/>
          <w:b w:val="0"/>
          <w:bCs w:val="0"/>
          <w:color w:val="auto"/>
          <w:sz w:val="24"/>
          <w:szCs w:val="24"/>
          <w:highlight w:val="none"/>
          <w:u w:val="none" w:color="auto"/>
          <w:lang w:val="en-US" w:eastAsia="zh-CN"/>
        </w:rPr>
      </w:pPr>
      <w:r>
        <w:rPr>
          <w:rFonts w:hint="eastAsia" w:cs="Times New Roman"/>
          <w:b w:val="0"/>
          <w:bCs w:val="0"/>
          <w:color w:val="auto"/>
          <w:sz w:val="24"/>
          <w:szCs w:val="24"/>
          <w:highlight w:val="none"/>
          <w:lang w:val="en-US" w:eastAsia="zh-CN"/>
        </w:rPr>
        <w:t>附件8  安徽省生态环境厅关于CO催化（催化燃烧催化剂）是否属于危废的问题答复</w:t>
      </w:r>
    </w:p>
    <w:p w14:paraId="35B251B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9</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cs="Times New Roman"/>
          <w:b w:val="0"/>
          <w:bCs w:val="0"/>
          <w:color w:val="auto"/>
          <w:sz w:val="24"/>
          <w:szCs w:val="24"/>
          <w:highlight w:val="none"/>
          <w:lang w:val="en-US" w:eastAsia="zh-CN"/>
        </w:rPr>
        <w:t>现有项目监测报告</w:t>
      </w:r>
    </w:p>
    <w:p w14:paraId="5E29843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cs="Times New Roman"/>
          <w:b w:val="0"/>
          <w:bCs w:val="0"/>
          <w:color w:val="auto"/>
          <w:sz w:val="24"/>
          <w:szCs w:val="24"/>
          <w:highlight w:val="none"/>
          <w:lang w:val="en-US" w:eastAsia="zh-CN"/>
        </w:rPr>
        <w:t>10</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cs="Times New Roman"/>
          <w:b w:val="0"/>
          <w:bCs w:val="0"/>
          <w:color w:val="auto"/>
          <w:sz w:val="24"/>
          <w:szCs w:val="24"/>
          <w:highlight w:val="none"/>
          <w:lang w:val="en-US" w:eastAsia="zh-CN"/>
        </w:rPr>
        <w:t>现有项目验收监测报告</w:t>
      </w:r>
    </w:p>
    <w:p w14:paraId="330A54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11</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ascii="Times New Roman" w:hAnsi="Times New Roman" w:eastAsia="宋体" w:cs="Times New Roman"/>
          <w:b w:val="0"/>
          <w:bCs w:val="0"/>
          <w:color w:val="auto"/>
          <w:sz w:val="24"/>
          <w:szCs w:val="24"/>
          <w:highlight w:val="none"/>
          <w:lang w:val="en-US" w:eastAsia="zh-CN"/>
        </w:rPr>
        <w:t>废气处理类比验收报告</w:t>
      </w:r>
    </w:p>
    <w:p w14:paraId="4F3539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w:t>
      </w:r>
      <w:r>
        <w:rPr>
          <w:rFonts w:hint="eastAsia" w:ascii="Times New Roman" w:hAnsi="Times New Roman" w:eastAsia="宋体" w:cs="Times New Roman"/>
          <w:b w:val="0"/>
          <w:bCs w:val="0"/>
          <w:color w:val="auto"/>
          <w:sz w:val="24"/>
          <w:szCs w:val="24"/>
          <w:highlight w:val="none"/>
          <w:lang w:val="en-US" w:eastAsia="zh-CN"/>
        </w:rPr>
        <w:t>油墨成分检测报告</w:t>
      </w:r>
    </w:p>
    <w:p w14:paraId="477F187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 xml:space="preserve"> 确认书</w:t>
      </w:r>
    </w:p>
    <w:p w14:paraId="0ECD1C3C">
      <w:pPr>
        <w:pStyle w:val="2"/>
        <w:rPr>
          <w:rFonts w:hint="default"/>
          <w:color w:val="auto"/>
          <w:lang w:val="en-US" w:eastAsia="zh-CN"/>
        </w:rPr>
        <w:sectPr>
          <w:footerReference r:id="rId5" w:type="first"/>
          <w:footerReference r:id="rId4"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start="0"/>
          <w:cols w:space="720" w:num="1"/>
          <w:titlePg/>
          <w:rtlGutter w:val="0"/>
          <w:docGrid w:linePitch="312" w:charSpace="0"/>
        </w:sectPr>
      </w:pPr>
    </w:p>
    <w:p w14:paraId="10FD23B2">
      <w:pPr>
        <w:pStyle w:val="23"/>
        <w:spacing w:before="0" w:beforeAutospacing="0" w:after="0" w:afterAutospacing="0"/>
        <w:jc w:val="center"/>
        <w:outlineLvl w:val="0"/>
        <w:rPr>
          <w:rFonts w:hint="default" w:ascii="Times New Roman" w:hAnsi="Times New Roman" w:eastAsia="黑体" w:cs="Times New Roman"/>
          <w:snapToGrid w:val="0"/>
          <w:color w:val="auto"/>
          <w:sz w:val="30"/>
          <w:szCs w:val="30"/>
          <w:highlight w:val="none"/>
        </w:rPr>
      </w:pPr>
      <w:bookmarkStart w:id="1" w:name="_Toc16212"/>
      <w:r>
        <w:rPr>
          <w:rFonts w:hint="default" w:ascii="Times New Roman" w:hAnsi="Times New Roman" w:eastAsia="黑体" w:cs="Times New Roman"/>
          <w:snapToGrid w:val="0"/>
          <w:color w:val="auto"/>
          <w:sz w:val="30"/>
          <w:szCs w:val="30"/>
          <w:highlight w:val="none"/>
        </w:rPr>
        <w:t>一、建设项目基本情况</w:t>
      </w:r>
      <w:bookmarkEnd w:id="1"/>
    </w:p>
    <w:tbl>
      <w:tblPr>
        <w:tblStyle w:val="2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7"/>
        <w:gridCol w:w="1331"/>
        <w:gridCol w:w="529"/>
        <w:gridCol w:w="2242"/>
        <w:gridCol w:w="3952"/>
      </w:tblGrid>
      <w:tr w14:paraId="7F20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7" w:type="dxa"/>
            <w:noWrap w:val="0"/>
            <w:tcMar>
              <w:top w:w="16" w:type="dxa"/>
              <w:left w:w="16" w:type="dxa"/>
              <w:right w:w="16" w:type="dxa"/>
            </w:tcMar>
            <w:vAlign w:val="center"/>
          </w:tcPr>
          <w:p w14:paraId="5ECD47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建设项目名称</w:t>
            </w:r>
          </w:p>
        </w:tc>
        <w:tc>
          <w:tcPr>
            <w:tcW w:w="8054" w:type="dxa"/>
            <w:gridSpan w:val="4"/>
            <w:noWrap w:val="0"/>
            <w:vAlign w:val="center"/>
          </w:tcPr>
          <w:p w14:paraId="22E437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年产4500万米高分子物理合成编织水带项目</w:t>
            </w:r>
          </w:p>
        </w:tc>
      </w:tr>
      <w:tr w14:paraId="0B31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017" w:type="dxa"/>
            <w:noWrap w:val="0"/>
            <w:tcMar>
              <w:top w:w="16" w:type="dxa"/>
              <w:left w:w="16" w:type="dxa"/>
              <w:right w:w="16" w:type="dxa"/>
            </w:tcMar>
            <w:vAlign w:val="center"/>
          </w:tcPr>
          <w:p w14:paraId="630328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项目代码</w:t>
            </w:r>
          </w:p>
        </w:tc>
        <w:tc>
          <w:tcPr>
            <w:tcW w:w="8054" w:type="dxa"/>
            <w:gridSpan w:val="4"/>
            <w:noWrap w:val="0"/>
            <w:vAlign w:val="center"/>
          </w:tcPr>
          <w:p w14:paraId="23EE14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2602-410523-04-01-405708</w:t>
            </w:r>
          </w:p>
        </w:tc>
      </w:tr>
      <w:tr w14:paraId="5AD2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1F7960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建设单位联系人</w:t>
            </w:r>
          </w:p>
        </w:tc>
        <w:tc>
          <w:tcPr>
            <w:tcW w:w="1331" w:type="dxa"/>
            <w:noWrap w:val="0"/>
            <w:vAlign w:val="center"/>
          </w:tcPr>
          <w:p w14:paraId="571FD8B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szCs w:val="24"/>
                <w:highlight w:val="none"/>
                <w:lang w:eastAsia="zh-CN"/>
              </w:rPr>
            </w:pPr>
          </w:p>
        </w:tc>
        <w:tc>
          <w:tcPr>
            <w:tcW w:w="2771" w:type="dxa"/>
            <w:gridSpan w:val="2"/>
            <w:noWrap w:val="0"/>
            <w:vAlign w:val="center"/>
          </w:tcPr>
          <w:p w14:paraId="7C2FF9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3952" w:type="dxa"/>
            <w:noWrap w:val="0"/>
            <w:vAlign w:val="center"/>
          </w:tcPr>
          <w:p w14:paraId="16AD9F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p>
        </w:tc>
      </w:tr>
      <w:tr w14:paraId="6388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17" w:type="dxa"/>
            <w:noWrap w:val="0"/>
            <w:tcMar>
              <w:top w:w="16" w:type="dxa"/>
              <w:left w:w="16" w:type="dxa"/>
              <w:right w:w="16" w:type="dxa"/>
            </w:tcMar>
            <w:vAlign w:val="center"/>
          </w:tcPr>
          <w:p w14:paraId="5D4F69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建设地点</w:t>
            </w:r>
          </w:p>
        </w:tc>
        <w:tc>
          <w:tcPr>
            <w:tcW w:w="8054" w:type="dxa"/>
            <w:gridSpan w:val="4"/>
            <w:noWrap w:val="0"/>
            <w:vAlign w:val="center"/>
          </w:tcPr>
          <w:p w14:paraId="2ABA63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u w:val="single"/>
                <w:lang w:val="en-US" w:eastAsia="zh-CN"/>
              </w:rPr>
            </w:pPr>
            <w:r>
              <w:rPr>
                <w:rFonts w:hint="eastAsia" w:cs="Times New Roman"/>
                <w:color w:val="auto"/>
                <w:sz w:val="24"/>
                <w:szCs w:val="24"/>
                <w:highlight w:val="none"/>
                <w:u w:val="none"/>
                <w:lang w:val="en-US" w:eastAsia="zh-CN"/>
              </w:rPr>
              <w:t>安阳市汤阴县古贤镇中西路、工业三路与工业四路交叉口西北角9号</w:t>
            </w:r>
          </w:p>
        </w:tc>
      </w:tr>
      <w:tr w14:paraId="1A95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17" w:type="dxa"/>
            <w:noWrap w:val="0"/>
            <w:tcMar>
              <w:top w:w="16" w:type="dxa"/>
              <w:left w:w="16" w:type="dxa"/>
              <w:right w:w="16" w:type="dxa"/>
            </w:tcMar>
            <w:vAlign w:val="center"/>
          </w:tcPr>
          <w:p w14:paraId="03C3CB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地理坐标</w:t>
            </w:r>
          </w:p>
        </w:tc>
        <w:tc>
          <w:tcPr>
            <w:tcW w:w="8054" w:type="dxa"/>
            <w:gridSpan w:val="4"/>
            <w:noWrap w:val="0"/>
            <w:vAlign w:val="center"/>
          </w:tcPr>
          <w:p w14:paraId="31851196">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u w:val="none"/>
              </w:rPr>
              <w:t>东经</w:t>
            </w:r>
            <w:r>
              <w:rPr>
                <w:rFonts w:hint="eastAsia" w:eastAsia="宋体" w:cs="Times New Roman"/>
                <w:color w:val="auto"/>
                <w:sz w:val="24"/>
                <w:szCs w:val="24"/>
                <w:highlight w:val="none"/>
                <w:u w:val="none"/>
                <w:lang w:eastAsia="zh-CN"/>
              </w:rPr>
              <w:t>：</w:t>
            </w:r>
            <w:r>
              <w:rPr>
                <w:rFonts w:hint="default" w:ascii="Times New Roman" w:hAnsi="Times New Roman" w:eastAsia="Times New Roman" w:cs="Times New Roman"/>
                <w:color w:val="auto"/>
                <w:sz w:val="24"/>
                <w:szCs w:val="24"/>
                <w:highlight w:val="none"/>
                <w:u w:val="none"/>
              </w:rPr>
              <w:t>11</w:t>
            </w:r>
            <w:r>
              <w:rPr>
                <w:rFonts w:hint="default" w:ascii="Times New Roman" w:hAnsi="Times New Roman" w:eastAsia="Times New Roman" w:cs="Times New Roman"/>
                <w:color w:val="auto"/>
                <w:sz w:val="24"/>
                <w:szCs w:val="24"/>
                <w:highlight w:val="none"/>
                <w:u w:val="none"/>
                <w:lang w:val="en-US" w:eastAsia="zh-CN"/>
              </w:rPr>
              <w:t>4</w:t>
            </w:r>
            <w:r>
              <w:rPr>
                <w:rFonts w:hint="default" w:ascii="Times New Roman" w:hAnsi="Times New Roman" w:eastAsia="Times New Roman" w:cs="Times New Roman"/>
                <w:color w:val="auto"/>
                <w:sz w:val="24"/>
                <w:szCs w:val="24"/>
                <w:highlight w:val="none"/>
                <w:u w:val="none"/>
              </w:rPr>
              <w:t>度</w:t>
            </w:r>
            <w:r>
              <w:rPr>
                <w:rFonts w:hint="eastAsia" w:ascii="Times New Roman" w:hAnsi="Times New Roman" w:eastAsia="Times New Roman" w:cs="Times New Roman"/>
                <w:color w:val="auto"/>
                <w:sz w:val="24"/>
                <w:szCs w:val="24"/>
                <w:highlight w:val="none"/>
                <w:u w:val="none"/>
                <w:lang w:val="en-US" w:eastAsia="zh-CN"/>
              </w:rPr>
              <w:t>2</w:t>
            </w:r>
            <w:r>
              <w:rPr>
                <w:rFonts w:hint="eastAsia" w:eastAsia="Times New Roman" w:cs="Times New Roman"/>
                <w:color w:val="auto"/>
                <w:sz w:val="24"/>
                <w:szCs w:val="24"/>
                <w:highlight w:val="none"/>
                <w:u w:val="none"/>
                <w:lang w:val="en-US" w:eastAsia="zh-CN"/>
              </w:rPr>
              <w:t>7</w:t>
            </w:r>
            <w:r>
              <w:rPr>
                <w:rFonts w:hint="default" w:ascii="Times New Roman" w:hAnsi="Times New Roman" w:eastAsia="Times New Roman" w:cs="Times New Roman"/>
                <w:color w:val="auto"/>
                <w:sz w:val="24"/>
                <w:szCs w:val="24"/>
                <w:highlight w:val="none"/>
                <w:u w:val="none"/>
              </w:rPr>
              <w:t>分</w:t>
            </w:r>
            <w:r>
              <w:rPr>
                <w:rFonts w:hint="eastAsia" w:eastAsia="宋体" w:cs="Times New Roman"/>
                <w:color w:val="auto"/>
                <w:sz w:val="24"/>
                <w:szCs w:val="24"/>
                <w:highlight w:val="none"/>
                <w:u w:val="none"/>
                <w:lang w:val="en-US" w:eastAsia="zh-CN"/>
              </w:rPr>
              <w:t>0.290</w:t>
            </w:r>
            <w:r>
              <w:rPr>
                <w:rFonts w:hint="default" w:ascii="Times New Roman" w:hAnsi="Times New Roman" w:eastAsia="Times New Roman" w:cs="Times New Roman"/>
                <w:color w:val="auto"/>
                <w:sz w:val="24"/>
                <w:szCs w:val="24"/>
                <w:highlight w:val="none"/>
                <w:u w:val="none"/>
              </w:rPr>
              <w:t>秒，北纬：35度</w:t>
            </w:r>
            <w:r>
              <w:rPr>
                <w:rFonts w:hint="default" w:ascii="Times New Roman" w:hAnsi="Times New Roman" w:eastAsia="Times New Roman" w:cs="Times New Roman"/>
                <w:color w:val="auto"/>
                <w:sz w:val="24"/>
                <w:szCs w:val="24"/>
                <w:highlight w:val="none"/>
                <w:u w:val="none"/>
                <w:lang w:val="en-US" w:eastAsia="zh-CN"/>
              </w:rPr>
              <w:t>5</w:t>
            </w:r>
            <w:r>
              <w:rPr>
                <w:rFonts w:hint="eastAsia" w:ascii="Times New Roman" w:hAnsi="Times New Roman" w:eastAsia="Times New Roman" w:cs="Times New Roman"/>
                <w:color w:val="auto"/>
                <w:sz w:val="24"/>
                <w:szCs w:val="24"/>
                <w:highlight w:val="none"/>
                <w:u w:val="none"/>
                <w:lang w:val="en-US" w:eastAsia="zh-CN"/>
              </w:rPr>
              <w:t>6</w:t>
            </w:r>
            <w:r>
              <w:rPr>
                <w:rFonts w:hint="default" w:ascii="Times New Roman" w:hAnsi="Times New Roman" w:eastAsia="Times New Roman" w:cs="Times New Roman"/>
                <w:color w:val="auto"/>
                <w:sz w:val="24"/>
                <w:szCs w:val="24"/>
                <w:highlight w:val="none"/>
                <w:u w:val="none"/>
              </w:rPr>
              <w:t>分</w:t>
            </w:r>
            <w:r>
              <w:rPr>
                <w:rFonts w:hint="eastAsia" w:eastAsia="宋体" w:cs="Times New Roman"/>
                <w:color w:val="auto"/>
                <w:sz w:val="24"/>
                <w:szCs w:val="24"/>
                <w:highlight w:val="none"/>
                <w:u w:val="none"/>
                <w:lang w:val="en-US" w:eastAsia="zh-CN"/>
              </w:rPr>
              <w:t>17.414</w:t>
            </w:r>
            <w:r>
              <w:rPr>
                <w:rFonts w:hint="default" w:ascii="Times New Roman" w:hAnsi="Times New Roman" w:eastAsia="Times New Roman" w:cs="Times New Roman"/>
                <w:color w:val="auto"/>
                <w:sz w:val="24"/>
                <w:szCs w:val="24"/>
                <w:highlight w:val="none"/>
                <w:u w:val="none"/>
              </w:rPr>
              <w:t>秒</w:t>
            </w:r>
          </w:p>
        </w:tc>
      </w:tr>
      <w:tr w14:paraId="6B03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461FA5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国民经济</w:t>
            </w:r>
          </w:p>
          <w:p w14:paraId="2B0FCD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行业类别</w:t>
            </w:r>
          </w:p>
        </w:tc>
        <w:tc>
          <w:tcPr>
            <w:tcW w:w="1860" w:type="dxa"/>
            <w:gridSpan w:val="2"/>
            <w:noWrap w:val="0"/>
            <w:vAlign w:val="center"/>
          </w:tcPr>
          <w:p w14:paraId="14101E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eastAsia="zh-CN"/>
              </w:rPr>
            </w:pPr>
            <w:r>
              <w:rPr>
                <w:rFonts w:hint="eastAsia" w:ascii="Times New Roman" w:hAnsi="Times New Roman"/>
                <w:color w:val="auto"/>
                <w:sz w:val="24"/>
                <w:szCs w:val="24"/>
                <w:lang w:val="en-US" w:eastAsia="zh-CN"/>
              </w:rPr>
              <w:t>C2922塑料板、管、型材制造</w:t>
            </w:r>
          </w:p>
        </w:tc>
        <w:tc>
          <w:tcPr>
            <w:tcW w:w="2242" w:type="dxa"/>
            <w:noWrap w:val="0"/>
            <w:vAlign w:val="center"/>
          </w:tcPr>
          <w:p w14:paraId="1ECC71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bookmarkStart w:id="2" w:name="_Hlk49843745"/>
            <w:r>
              <w:rPr>
                <w:rFonts w:hint="default" w:ascii="Times New Roman" w:hAnsi="Times New Roman" w:eastAsia="Times New Roman" w:cs="Times New Roman"/>
                <w:color w:val="auto"/>
                <w:sz w:val="24"/>
                <w:szCs w:val="24"/>
                <w:highlight w:val="none"/>
              </w:rPr>
              <w:t>建设项目</w:t>
            </w:r>
          </w:p>
          <w:p w14:paraId="6CEB2B5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行业类别</w:t>
            </w:r>
            <w:bookmarkEnd w:id="2"/>
          </w:p>
        </w:tc>
        <w:tc>
          <w:tcPr>
            <w:tcW w:w="3952" w:type="dxa"/>
            <w:noWrap w:val="0"/>
            <w:vAlign w:val="center"/>
          </w:tcPr>
          <w:p w14:paraId="5AD13C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4"/>
                <w:szCs w:val="24"/>
                <w:highlight w:val="none"/>
              </w:rPr>
            </w:pPr>
            <w:r>
              <w:rPr>
                <w:rFonts w:hint="eastAsia" w:ascii="Times New Roman" w:hAnsi="Times New Roman"/>
                <w:color w:val="auto"/>
                <w:sz w:val="24"/>
                <w:szCs w:val="24"/>
              </w:rPr>
              <w:t>二十</w:t>
            </w:r>
            <w:r>
              <w:rPr>
                <w:rFonts w:hint="eastAsia" w:ascii="Times New Roman" w:hAnsi="Times New Roman"/>
                <w:color w:val="auto"/>
                <w:sz w:val="24"/>
                <w:szCs w:val="24"/>
                <w:lang w:eastAsia="zh-CN"/>
              </w:rPr>
              <w:t>六</w:t>
            </w:r>
            <w:r>
              <w:rPr>
                <w:rFonts w:hint="eastAsia" w:ascii="Times New Roman" w:hAnsi="Times New Roman"/>
                <w:color w:val="auto"/>
                <w:sz w:val="24"/>
                <w:szCs w:val="24"/>
              </w:rPr>
              <w:t>、</w:t>
            </w:r>
            <w:r>
              <w:rPr>
                <w:rFonts w:hint="eastAsia" w:ascii="Times New Roman" w:hAnsi="Times New Roman"/>
                <w:color w:val="auto"/>
                <w:sz w:val="24"/>
                <w:szCs w:val="24"/>
                <w:lang w:eastAsia="zh-CN"/>
              </w:rPr>
              <w:t>橡胶和塑料</w:t>
            </w:r>
            <w:r>
              <w:rPr>
                <w:rFonts w:hint="eastAsia" w:ascii="Times New Roman" w:hAnsi="Times New Roman"/>
                <w:color w:val="auto"/>
                <w:sz w:val="24"/>
                <w:szCs w:val="24"/>
              </w:rPr>
              <w:t>制品业，</w:t>
            </w:r>
            <w:r>
              <w:rPr>
                <w:rFonts w:hint="eastAsia" w:ascii="Times New Roman" w:hAnsi="Times New Roman"/>
                <w:color w:val="auto"/>
                <w:sz w:val="24"/>
                <w:szCs w:val="24"/>
                <w:lang w:val="en-US" w:eastAsia="zh-CN"/>
              </w:rPr>
              <w:t>53</w:t>
            </w:r>
            <w:r>
              <w:rPr>
                <w:rFonts w:hint="eastAsia" w:ascii="Times New Roman" w:hAnsi="Times New Roman"/>
                <w:color w:val="auto"/>
                <w:sz w:val="24"/>
                <w:szCs w:val="24"/>
                <w:lang w:eastAsia="zh-CN"/>
              </w:rPr>
              <w:t>塑料</w:t>
            </w:r>
            <w:r>
              <w:rPr>
                <w:rFonts w:hint="eastAsia" w:ascii="Times New Roman" w:hAnsi="Times New Roman"/>
                <w:color w:val="auto"/>
                <w:sz w:val="24"/>
                <w:szCs w:val="24"/>
              </w:rPr>
              <w:t>制品</w:t>
            </w:r>
            <w:r>
              <w:rPr>
                <w:rFonts w:hint="eastAsia" w:ascii="Times New Roman" w:hAnsi="Times New Roman"/>
                <w:color w:val="auto"/>
                <w:sz w:val="24"/>
                <w:szCs w:val="24"/>
                <w:lang w:eastAsia="zh-CN"/>
              </w:rPr>
              <w:t>业</w:t>
            </w:r>
            <w:r>
              <w:rPr>
                <w:rFonts w:hint="eastAsia" w:ascii="Times New Roman" w:hAnsi="Times New Roman"/>
                <w:color w:val="auto"/>
                <w:sz w:val="24"/>
                <w:szCs w:val="24"/>
                <w:lang w:val="en-US" w:eastAsia="zh-CN"/>
              </w:rPr>
              <w:t>292中其他</w:t>
            </w:r>
            <w:r>
              <w:rPr>
                <w:rFonts w:hint="eastAsia"/>
                <w:color w:val="auto"/>
                <w:sz w:val="24"/>
                <w:szCs w:val="24"/>
                <w:lang w:val="en-US" w:eastAsia="zh-CN"/>
              </w:rPr>
              <w:t>-报告表</w:t>
            </w:r>
          </w:p>
        </w:tc>
      </w:tr>
      <w:tr w14:paraId="2569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47895A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建设性质</w:t>
            </w:r>
          </w:p>
        </w:tc>
        <w:tc>
          <w:tcPr>
            <w:tcW w:w="1860" w:type="dxa"/>
            <w:gridSpan w:val="2"/>
            <w:noWrap w:val="0"/>
            <w:vAlign w:val="center"/>
          </w:tcPr>
          <w:p w14:paraId="14A76FA1">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val="0"/>
                <w:bCs/>
                <w:color w:val="auto"/>
                <w:sz w:val="24"/>
                <w:szCs w:val="24"/>
                <w:highlight w:val="none"/>
              </w:rPr>
              <w:sym w:font="Wingdings 2" w:char="0052"/>
            </w:r>
            <w:r>
              <w:rPr>
                <w:rFonts w:hint="default" w:ascii="Times New Roman" w:hAnsi="Times New Roman" w:eastAsia="Times New Roman" w:cs="Times New Roman"/>
                <w:b/>
                <w:color w:val="auto"/>
                <w:sz w:val="24"/>
                <w:szCs w:val="24"/>
                <w:highlight w:val="none"/>
                <w:lang w:val="en-US" w:eastAsia="zh-CN"/>
              </w:rPr>
              <w:t xml:space="preserve"> </w:t>
            </w:r>
            <w:r>
              <w:rPr>
                <w:rFonts w:hint="default" w:ascii="Times New Roman" w:hAnsi="Times New Roman" w:eastAsia="Times New Roman" w:cs="Times New Roman"/>
                <w:color w:val="auto"/>
                <w:sz w:val="24"/>
                <w:szCs w:val="24"/>
                <w:highlight w:val="none"/>
              </w:rPr>
              <w:t>新建（迁建）</w:t>
            </w:r>
          </w:p>
          <w:p w14:paraId="6188091F">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改建</w:t>
            </w:r>
          </w:p>
          <w:p w14:paraId="4C309C99">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扩建</w:t>
            </w:r>
          </w:p>
          <w:p w14:paraId="393B483F">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技术改造</w:t>
            </w:r>
          </w:p>
        </w:tc>
        <w:tc>
          <w:tcPr>
            <w:tcW w:w="2242" w:type="dxa"/>
            <w:noWrap w:val="0"/>
            <w:vAlign w:val="center"/>
          </w:tcPr>
          <w:p w14:paraId="6EFFD0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建设项目</w:t>
            </w:r>
          </w:p>
          <w:p w14:paraId="78AE921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申报情形</w:t>
            </w:r>
          </w:p>
        </w:tc>
        <w:tc>
          <w:tcPr>
            <w:tcW w:w="3952" w:type="dxa"/>
            <w:noWrap w:val="0"/>
            <w:vAlign w:val="center"/>
          </w:tcPr>
          <w:p w14:paraId="36DFE008">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val="0"/>
                <w:bCs/>
                <w:color w:val="auto"/>
                <w:sz w:val="24"/>
                <w:szCs w:val="24"/>
                <w:highlight w:val="none"/>
              </w:rPr>
              <w:sym w:font="Wingdings 2" w:char="0052"/>
            </w:r>
            <w:r>
              <w:rPr>
                <w:rFonts w:hint="default" w:ascii="Times New Roman" w:hAnsi="Times New Roman" w:eastAsia="Times New Roman" w:cs="Times New Roman"/>
                <w:b w:val="0"/>
                <w:bCs/>
                <w:color w:val="auto"/>
                <w:sz w:val="24"/>
                <w:szCs w:val="24"/>
                <w:highlight w:val="none"/>
                <w:lang w:val="en-US" w:eastAsia="zh-CN"/>
              </w:rPr>
              <w:t xml:space="preserve"> </w:t>
            </w:r>
            <w:r>
              <w:rPr>
                <w:rFonts w:hint="default" w:ascii="Times New Roman" w:hAnsi="Times New Roman" w:eastAsia="Times New Roman" w:cs="Times New Roman"/>
                <w:color w:val="auto"/>
                <w:sz w:val="24"/>
                <w:szCs w:val="24"/>
                <w:highlight w:val="none"/>
              </w:rPr>
              <w:t>首次申报项目</w:t>
            </w:r>
          </w:p>
          <w:p w14:paraId="35226615">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不予批准后再次申报项</w:t>
            </w:r>
          </w:p>
          <w:p w14:paraId="0A62093E">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超五年重新审核项目</w:t>
            </w:r>
          </w:p>
          <w:p w14:paraId="1E5521DE">
            <w:pPr>
              <w:keepNext w:val="0"/>
              <w:keepLines w:val="0"/>
              <w:suppressLineNumbers w:val="0"/>
              <w:spacing w:before="0" w:beforeAutospacing="0" w:after="0" w:afterAutospacing="0"/>
              <w:ind w:left="0" w:right="0"/>
              <w:jc w:val="lef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 xml:space="preserve"> 重大变动重新报批项目</w:t>
            </w:r>
          </w:p>
        </w:tc>
      </w:tr>
      <w:tr w14:paraId="0C22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4B91CD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项目审批（核准/备案）部门（选填）</w:t>
            </w:r>
          </w:p>
        </w:tc>
        <w:tc>
          <w:tcPr>
            <w:tcW w:w="1860" w:type="dxa"/>
            <w:gridSpan w:val="2"/>
            <w:noWrap w:val="0"/>
            <w:vAlign w:val="center"/>
          </w:tcPr>
          <w:p w14:paraId="109FE9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lang w:val="en-US" w:eastAsia="zh-CN"/>
              </w:rPr>
              <w:t>汤阴县</w:t>
            </w:r>
            <w:r>
              <w:rPr>
                <w:rFonts w:hint="default" w:ascii="Times New Roman" w:hAnsi="Times New Roman" w:eastAsia="Times New Roman" w:cs="Times New Roman"/>
                <w:color w:val="auto"/>
                <w:sz w:val="24"/>
                <w:szCs w:val="24"/>
                <w:highlight w:val="none"/>
              </w:rPr>
              <w:t>发展和改革委员会</w:t>
            </w:r>
          </w:p>
        </w:tc>
        <w:tc>
          <w:tcPr>
            <w:tcW w:w="2242" w:type="dxa"/>
            <w:noWrap w:val="0"/>
            <w:vAlign w:val="center"/>
          </w:tcPr>
          <w:p w14:paraId="78E04F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项目审批（核准/</w:t>
            </w:r>
          </w:p>
          <w:p w14:paraId="3288E5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备案）文号（选填）</w:t>
            </w:r>
          </w:p>
        </w:tc>
        <w:tc>
          <w:tcPr>
            <w:tcW w:w="3952" w:type="dxa"/>
            <w:noWrap w:val="0"/>
            <w:vAlign w:val="center"/>
          </w:tcPr>
          <w:p w14:paraId="07AAB5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2602-410523-04-01-405708</w:t>
            </w:r>
          </w:p>
        </w:tc>
      </w:tr>
      <w:tr w14:paraId="0248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17" w:type="dxa"/>
            <w:noWrap w:val="0"/>
            <w:tcMar>
              <w:top w:w="16" w:type="dxa"/>
              <w:left w:w="16" w:type="dxa"/>
              <w:right w:w="16" w:type="dxa"/>
            </w:tcMar>
            <w:vAlign w:val="center"/>
          </w:tcPr>
          <w:p w14:paraId="6FA193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总投资（万元）</w:t>
            </w:r>
          </w:p>
        </w:tc>
        <w:tc>
          <w:tcPr>
            <w:tcW w:w="1860" w:type="dxa"/>
            <w:gridSpan w:val="2"/>
            <w:noWrap w:val="0"/>
            <w:vAlign w:val="center"/>
          </w:tcPr>
          <w:p w14:paraId="06CFF0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3000</w:t>
            </w:r>
          </w:p>
        </w:tc>
        <w:tc>
          <w:tcPr>
            <w:tcW w:w="2242" w:type="dxa"/>
            <w:noWrap w:val="0"/>
            <w:tcMar>
              <w:top w:w="16" w:type="dxa"/>
              <w:left w:w="16" w:type="dxa"/>
              <w:right w:w="16" w:type="dxa"/>
            </w:tcMar>
            <w:vAlign w:val="center"/>
          </w:tcPr>
          <w:p w14:paraId="032FF0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环保投资（万元）</w:t>
            </w:r>
          </w:p>
        </w:tc>
        <w:tc>
          <w:tcPr>
            <w:tcW w:w="3952" w:type="dxa"/>
            <w:noWrap w:val="0"/>
            <w:vAlign w:val="center"/>
          </w:tcPr>
          <w:p w14:paraId="1D1A3E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60</w:t>
            </w:r>
          </w:p>
        </w:tc>
      </w:tr>
      <w:tr w14:paraId="2535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6530D4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环保投资占比（%）</w:t>
            </w:r>
          </w:p>
        </w:tc>
        <w:tc>
          <w:tcPr>
            <w:tcW w:w="1860" w:type="dxa"/>
            <w:gridSpan w:val="2"/>
            <w:noWrap w:val="0"/>
            <w:vAlign w:val="center"/>
          </w:tcPr>
          <w:p w14:paraId="0FFD9A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2242" w:type="dxa"/>
            <w:noWrap w:val="0"/>
            <w:tcMar>
              <w:top w:w="16" w:type="dxa"/>
              <w:left w:w="16" w:type="dxa"/>
              <w:right w:w="16" w:type="dxa"/>
            </w:tcMar>
            <w:vAlign w:val="center"/>
          </w:tcPr>
          <w:p w14:paraId="431AEB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施工工期</w:t>
            </w:r>
          </w:p>
        </w:tc>
        <w:tc>
          <w:tcPr>
            <w:tcW w:w="3952" w:type="dxa"/>
            <w:noWrap w:val="0"/>
            <w:vAlign w:val="center"/>
          </w:tcPr>
          <w:p w14:paraId="69CF49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2个月</w:t>
            </w:r>
          </w:p>
        </w:tc>
      </w:tr>
      <w:tr w14:paraId="7C38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7" w:type="dxa"/>
            <w:noWrap w:val="0"/>
            <w:tcMar>
              <w:top w:w="16" w:type="dxa"/>
              <w:left w:w="16" w:type="dxa"/>
              <w:right w:w="16" w:type="dxa"/>
            </w:tcMar>
            <w:vAlign w:val="center"/>
          </w:tcPr>
          <w:p w14:paraId="07C9D78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是否开工建设</w:t>
            </w:r>
          </w:p>
        </w:tc>
        <w:tc>
          <w:tcPr>
            <w:tcW w:w="1860" w:type="dxa"/>
            <w:gridSpan w:val="2"/>
            <w:noWrap w:val="0"/>
            <w:vAlign w:val="center"/>
          </w:tcPr>
          <w:p w14:paraId="61AF74DA">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b/>
                <w:color w:val="auto"/>
                <w:sz w:val="24"/>
                <w:szCs w:val="24"/>
                <w:highlight w:val="none"/>
              </w:rPr>
              <w:sym w:font="Wingdings 2" w:char="0052"/>
            </w:r>
            <w:r>
              <w:rPr>
                <w:rFonts w:hint="default" w:ascii="Times New Roman" w:hAnsi="Times New Roman" w:eastAsia="Times New Roman" w:cs="Times New Roman"/>
                <w:color w:val="auto"/>
                <w:sz w:val="24"/>
                <w:szCs w:val="24"/>
                <w:highlight w:val="none"/>
              </w:rPr>
              <w:t>否</w:t>
            </w:r>
          </w:p>
          <w:p w14:paraId="191757FD">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sym w:font="Wingdings 2" w:char="00A3"/>
            </w:r>
            <w:r>
              <w:rPr>
                <w:rFonts w:hint="default" w:ascii="Times New Roman" w:hAnsi="Times New Roman" w:eastAsia="Times New Roman" w:cs="Times New Roman"/>
                <w:color w:val="auto"/>
                <w:sz w:val="24"/>
                <w:szCs w:val="24"/>
                <w:highlight w:val="none"/>
              </w:rPr>
              <w:t>是</w:t>
            </w:r>
            <w:r>
              <w:rPr>
                <w:rFonts w:hint="eastAsia" w:eastAsia="宋体" w:cs="Times New Roman"/>
                <w:color w:val="auto"/>
                <w:sz w:val="24"/>
                <w:szCs w:val="24"/>
                <w:highlight w:val="none"/>
                <w:u w:val="single"/>
                <w:lang w:val="en-US" w:eastAsia="zh-CN"/>
              </w:rPr>
              <w:t xml:space="preserve">        </w:t>
            </w:r>
          </w:p>
        </w:tc>
        <w:tc>
          <w:tcPr>
            <w:tcW w:w="2242" w:type="dxa"/>
            <w:noWrap w:val="0"/>
            <w:tcMar>
              <w:top w:w="16" w:type="dxa"/>
              <w:left w:w="16" w:type="dxa"/>
              <w:right w:w="16" w:type="dxa"/>
            </w:tcMar>
            <w:vAlign w:val="center"/>
          </w:tcPr>
          <w:p w14:paraId="5CEB77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pacing w:val="-6"/>
                <w:sz w:val="24"/>
                <w:szCs w:val="24"/>
                <w:highlight w:val="none"/>
              </w:rPr>
            </w:pPr>
            <w:r>
              <w:rPr>
                <w:rFonts w:hint="default" w:ascii="Times New Roman" w:hAnsi="Times New Roman" w:eastAsia="Times New Roman" w:cs="Times New Roman"/>
                <w:color w:val="auto"/>
                <w:spacing w:val="-6"/>
                <w:sz w:val="24"/>
                <w:szCs w:val="24"/>
                <w:highlight w:val="none"/>
              </w:rPr>
              <w:t>用地（用海）</w:t>
            </w:r>
          </w:p>
          <w:p w14:paraId="2E2E12C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pacing w:val="-6"/>
                <w:sz w:val="24"/>
                <w:szCs w:val="24"/>
                <w:highlight w:val="none"/>
              </w:rPr>
              <w:t>面积（m</w:t>
            </w:r>
            <w:r>
              <w:rPr>
                <w:rFonts w:hint="default" w:ascii="Times New Roman" w:hAnsi="Times New Roman" w:eastAsia="Times New Roman" w:cs="Times New Roman"/>
                <w:color w:val="auto"/>
                <w:spacing w:val="-6"/>
                <w:sz w:val="24"/>
                <w:szCs w:val="24"/>
                <w:highlight w:val="none"/>
                <w:vertAlign w:val="superscript"/>
              </w:rPr>
              <w:t>2</w:t>
            </w:r>
            <w:r>
              <w:rPr>
                <w:rFonts w:hint="default" w:ascii="Times New Roman" w:hAnsi="Times New Roman" w:eastAsia="Times New Roman" w:cs="Times New Roman"/>
                <w:color w:val="auto"/>
                <w:spacing w:val="-6"/>
                <w:sz w:val="24"/>
                <w:szCs w:val="24"/>
                <w:highlight w:val="none"/>
              </w:rPr>
              <w:t>）</w:t>
            </w:r>
          </w:p>
        </w:tc>
        <w:tc>
          <w:tcPr>
            <w:tcW w:w="3952" w:type="dxa"/>
            <w:noWrap w:val="0"/>
            <w:vAlign w:val="center"/>
          </w:tcPr>
          <w:p w14:paraId="45DB3C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6460（租赁面积</w:t>
            </w:r>
            <w:r>
              <w:rPr>
                <w:rFonts w:hint="default" w:ascii="Times New Roman" w:hAnsi="Times New Roman" w:eastAsia="Times New Roman" w:cs="Times New Roman"/>
                <w:color w:val="auto"/>
                <w:spacing w:val="-6"/>
                <w:sz w:val="24"/>
                <w:szCs w:val="24"/>
                <w:highlight w:val="none"/>
              </w:rPr>
              <w:t>）</w:t>
            </w:r>
          </w:p>
        </w:tc>
      </w:tr>
      <w:tr w14:paraId="576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noWrap w:val="0"/>
            <w:vAlign w:val="center"/>
          </w:tcPr>
          <w:p w14:paraId="134E9A90">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专项评价设置情况</w:t>
            </w:r>
          </w:p>
        </w:tc>
        <w:tc>
          <w:tcPr>
            <w:tcW w:w="8054" w:type="dxa"/>
            <w:gridSpan w:val="4"/>
            <w:noWrap w:val="0"/>
            <w:vAlign w:val="center"/>
          </w:tcPr>
          <w:p w14:paraId="1DBEC3D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1"/>
                <w:szCs w:val="21"/>
                <w:highlight w:val="none"/>
              </w:rPr>
            </w:pPr>
            <w:r>
              <w:rPr>
                <w:rFonts w:hint="default" w:ascii="Times New Roman" w:hAnsi="Times New Roman" w:eastAsia="Times New Roman" w:cs="Times New Roman"/>
                <w:color w:val="auto"/>
                <w:kern w:val="0"/>
                <w:sz w:val="21"/>
                <w:szCs w:val="21"/>
                <w:highlight w:val="none"/>
              </w:rPr>
              <w:t>无</w:t>
            </w:r>
          </w:p>
        </w:tc>
      </w:tr>
      <w:tr w14:paraId="5E79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17" w:type="dxa"/>
            <w:noWrap w:val="0"/>
            <w:vAlign w:val="center"/>
          </w:tcPr>
          <w:p w14:paraId="42742C43">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规划情况</w:t>
            </w:r>
          </w:p>
        </w:tc>
        <w:tc>
          <w:tcPr>
            <w:tcW w:w="8054" w:type="dxa"/>
            <w:gridSpan w:val="4"/>
            <w:noWrap w:val="0"/>
            <w:vAlign w:val="center"/>
          </w:tcPr>
          <w:p w14:paraId="6AC062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规划文件名称：《汤阴县新型材料产业园区总体发展规划（201</w:t>
            </w:r>
            <w:r>
              <w:rPr>
                <w:rFonts w:hint="eastAsia" w:eastAsia="Times New Roman" w:cs="Times New Roman"/>
                <w:color w:val="auto"/>
                <w:sz w:val="24"/>
                <w:szCs w:val="24"/>
                <w:highlight w:val="none"/>
                <w:lang w:val="en-US" w:eastAsia="zh-CN"/>
              </w:rPr>
              <w:t>2</w:t>
            </w:r>
            <w:r>
              <w:rPr>
                <w:rFonts w:hint="default" w:ascii="Times New Roman" w:hAnsi="Times New Roman" w:eastAsia="Times New Roman" w:cs="Times New Roman"/>
                <w:color w:val="auto"/>
                <w:sz w:val="24"/>
                <w:szCs w:val="24"/>
                <w:highlight w:val="none"/>
              </w:rPr>
              <w:t>-2020）》</w:t>
            </w:r>
          </w:p>
          <w:p w14:paraId="23BBC3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规划园区名称：汤阴县</w:t>
            </w:r>
            <w:r>
              <w:rPr>
                <w:rFonts w:hint="eastAsia" w:ascii="Times New Roman" w:hAnsi="Times New Roman" w:eastAsia="Times New Roman" w:cs="Times New Roman"/>
                <w:color w:val="auto"/>
                <w:sz w:val="24"/>
                <w:szCs w:val="24"/>
                <w:highlight w:val="none"/>
                <w:lang w:eastAsia="zh-CN"/>
              </w:rPr>
              <w:t>新型材料产业园区</w:t>
            </w:r>
          </w:p>
          <w:p w14:paraId="74DAE1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规划审批部门：安阳市发展和改革委员会</w:t>
            </w:r>
          </w:p>
          <w:p w14:paraId="281850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eastAsia="zh-CN"/>
              </w:rPr>
              <w:t>规划审批文件名称及文号：《关于汤阴县新型材料产业园区发展规划的批复》（安发改工业﹝</w:t>
            </w:r>
            <w:r>
              <w:rPr>
                <w:rFonts w:hint="eastAsia" w:ascii="Times New Roman" w:hAnsi="Times New Roman" w:eastAsia="Times New Roman" w:cs="Times New Roman"/>
                <w:color w:val="auto"/>
                <w:sz w:val="24"/>
                <w:szCs w:val="24"/>
                <w:highlight w:val="none"/>
                <w:lang w:val="en-US" w:eastAsia="zh-CN"/>
              </w:rPr>
              <w:t>2012</w:t>
            </w:r>
            <w:r>
              <w:rPr>
                <w:rFonts w:hint="eastAsia" w:ascii="Times New Roman" w:hAnsi="Times New Roman" w:eastAsia="Times New Roman" w:cs="Times New Roman"/>
                <w:color w:val="auto"/>
                <w:sz w:val="24"/>
                <w:szCs w:val="24"/>
                <w:highlight w:val="none"/>
                <w:lang w:eastAsia="zh-CN"/>
              </w:rPr>
              <w:t>﹞</w:t>
            </w:r>
            <w:r>
              <w:rPr>
                <w:rFonts w:hint="eastAsia" w:ascii="Times New Roman" w:hAnsi="Times New Roman" w:eastAsia="Times New Roman" w:cs="Times New Roman"/>
                <w:color w:val="auto"/>
                <w:sz w:val="24"/>
                <w:szCs w:val="24"/>
                <w:highlight w:val="none"/>
                <w:lang w:val="en-US" w:eastAsia="zh-CN"/>
              </w:rPr>
              <w:t>724号）。</w:t>
            </w:r>
          </w:p>
        </w:tc>
      </w:tr>
      <w:tr w14:paraId="09EE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noWrap w:val="0"/>
            <w:vAlign w:val="center"/>
          </w:tcPr>
          <w:p w14:paraId="7C00B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规划环境影响评价情况</w:t>
            </w:r>
          </w:p>
        </w:tc>
        <w:tc>
          <w:tcPr>
            <w:tcW w:w="8054" w:type="dxa"/>
            <w:gridSpan w:val="4"/>
            <w:noWrap w:val="0"/>
            <w:vAlign w:val="center"/>
          </w:tcPr>
          <w:p w14:paraId="1D8CAC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rPr>
              <w:t>规划环境影响评价文件名称：</w:t>
            </w:r>
            <w:r>
              <w:rPr>
                <w:rFonts w:hint="eastAsia" w:eastAsia="宋体" w:cs="Times New Roman"/>
                <w:color w:val="auto"/>
                <w:sz w:val="24"/>
                <w:szCs w:val="24"/>
                <w:highlight w:val="none"/>
                <w:lang w:val="en-US" w:eastAsia="zh-CN"/>
              </w:rPr>
              <w:t xml:space="preserve">  </w:t>
            </w:r>
          </w:p>
          <w:p w14:paraId="72E33B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审查机关：</w:t>
            </w:r>
            <w:r>
              <w:rPr>
                <w:rFonts w:hint="eastAsia" w:ascii="Times New Roman" w:hAnsi="Times New Roman" w:eastAsia="宋体" w:cs="Times New Roman"/>
                <w:color w:val="auto"/>
                <w:sz w:val="24"/>
                <w:szCs w:val="24"/>
                <w:highlight w:val="none"/>
                <w:lang w:eastAsia="zh-CN"/>
              </w:rPr>
              <w:t>安阳市</w:t>
            </w:r>
            <w:r>
              <w:rPr>
                <w:rFonts w:hint="eastAsia" w:cs="Times New Roman"/>
                <w:color w:val="auto"/>
                <w:sz w:val="24"/>
                <w:szCs w:val="24"/>
                <w:highlight w:val="none"/>
                <w:lang w:eastAsia="zh-CN"/>
              </w:rPr>
              <w:t>生态环境局</w:t>
            </w:r>
          </w:p>
          <w:p w14:paraId="4B2068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审查文件及文号：《汤阴县新型材料产业园区总体发展规划（</w:t>
            </w:r>
            <w:r>
              <w:rPr>
                <w:rFonts w:hint="eastAsia" w:ascii="Times New Roman" w:hAnsi="Times New Roman" w:eastAsia="宋体" w:cs="Times New Roman"/>
                <w:color w:val="auto"/>
                <w:sz w:val="24"/>
                <w:szCs w:val="24"/>
                <w:highlight w:val="none"/>
                <w:lang w:val="en-US" w:eastAsia="zh-CN"/>
              </w:rPr>
              <w:t>201</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-2020</w:t>
            </w:r>
            <w:r>
              <w:rPr>
                <w:rFonts w:hint="eastAsia" w:ascii="Times New Roman" w:hAnsi="Times New Roman" w:eastAsia="宋体" w:cs="Times New Roman"/>
                <w:color w:val="auto"/>
                <w:sz w:val="24"/>
                <w:szCs w:val="24"/>
                <w:highlight w:val="none"/>
                <w:lang w:eastAsia="zh-CN"/>
              </w:rPr>
              <w:t>）环境影响报告书审查小组意见》，原则同意通过该《报告书》，无文号。</w:t>
            </w:r>
          </w:p>
        </w:tc>
      </w:tr>
      <w:tr w14:paraId="455D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 w:type="dxa"/>
            <w:noWrap w:val="0"/>
            <w:vAlign w:val="center"/>
          </w:tcPr>
          <w:p w14:paraId="666F0E47">
            <w:pPr>
              <w:keepNext w:val="0"/>
              <w:keepLines w:val="0"/>
              <w:suppressLineNumbers w:val="0"/>
              <w:autoSpaceDE w:val="0"/>
              <w:autoSpaceDN w:val="0"/>
              <w:adjustRightInd w:val="0"/>
              <w:snapToGrid w:val="0"/>
              <w:spacing w:before="0" w:beforeAutospacing="0" w:after="0" w:afterAutospacing="0"/>
              <w:ind w:left="0" w:right="0"/>
              <w:jc w:val="center"/>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规划及规划环境影响评价符合性分析</w:t>
            </w:r>
          </w:p>
          <w:p w14:paraId="2E4EF519">
            <w:pPr>
              <w:keepNext w:val="0"/>
              <w:keepLines w:val="0"/>
              <w:suppressLineNumbers w:val="0"/>
              <w:autoSpaceDE w:val="0"/>
              <w:autoSpaceDN w:val="0"/>
              <w:adjustRightInd w:val="0"/>
              <w:snapToGrid w:val="0"/>
              <w:spacing w:before="0" w:beforeAutospacing="0" w:after="0" w:afterAutospacing="0" w:line="360" w:lineRule="auto"/>
              <w:ind w:left="0" w:leftChars="0" w:right="0" w:rightChars="0"/>
              <w:rPr>
                <w:rFonts w:hint="eastAsia" w:asciiTheme="majorEastAsia" w:hAnsiTheme="majorEastAsia" w:eastAsiaTheme="majorEastAsia" w:cstheme="majorEastAsia"/>
                <w:color w:val="auto"/>
                <w:sz w:val="24"/>
                <w:szCs w:val="24"/>
                <w:highlight w:val="none"/>
              </w:rPr>
            </w:pPr>
          </w:p>
        </w:tc>
        <w:tc>
          <w:tcPr>
            <w:tcW w:w="8054" w:type="dxa"/>
            <w:gridSpan w:val="4"/>
            <w:noWrap w:val="0"/>
            <w:vAlign w:val="center"/>
          </w:tcPr>
          <w:p w14:paraId="07A61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1.汤阴县新型材料产业园区</w:t>
            </w:r>
            <w:r>
              <w:rPr>
                <w:rFonts w:hint="default" w:ascii="Times New Roman" w:hAnsi="Times New Roman" w:eastAsia="宋体" w:cs="Times New Roman"/>
                <w:b/>
                <w:bCs/>
                <w:color w:val="auto"/>
                <w:sz w:val="24"/>
                <w:szCs w:val="24"/>
                <w:highlight w:val="none"/>
                <w:lang w:val="en-US" w:eastAsia="zh-CN"/>
              </w:rPr>
              <w:t>规</w:t>
            </w:r>
            <w:r>
              <w:rPr>
                <w:rFonts w:hint="default" w:ascii="Times New Roman" w:hAnsi="Times New Roman" w:eastAsia="Times New Roman" w:cs="Times New Roman"/>
                <w:b/>
                <w:bCs/>
                <w:color w:val="auto"/>
                <w:sz w:val="24"/>
                <w:szCs w:val="24"/>
                <w:highlight w:val="none"/>
                <w:lang w:val="en-US" w:eastAsia="zh-CN"/>
              </w:rPr>
              <w:t>划及规划环评符合性分析</w:t>
            </w:r>
          </w:p>
          <w:p w14:paraId="49568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rPr>
              <w:t>汤阴县</w:t>
            </w:r>
            <w:r>
              <w:rPr>
                <w:rFonts w:hint="default" w:ascii="Times New Roman" w:hAnsi="Times New Roman" w:eastAsia="宋体" w:cs="Times New Roman"/>
                <w:color w:val="auto"/>
                <w:sz w:val="24"/>
                <w:szCs w:val="24"/>
                <w:highlight w:val="none"/>
                <w:lang w:val="en-US" w:eastAsia="zh-CN"/>
              </w:rPr>
              <w:t>新型材料产业园区</w:t>
            </w:r>
            <w:r>
              <w:rPr>
                <w:rFonts w:hint="default" w:ascii="Times New Roman" w:hAnsi="Times New Roman" w:eastAsia="Times New Roman" w:cs="Times New Roman"/>
                <w:color w:val="auto"/>
                <w:sz w:val="24"/>
                <w:szCs w:val="24"/>
                <w:highlight w:val="none"/>
              </w:rPr>
              <w:t>成立于</w:t>
            </w:r>
            <w:r>
              <w:rPr>
                <w:rFonts w:hint="eastAsia" w:ascii="Times New Roman" w:hAnsi="Times New Roman" w:eastAsia="Times New Roman" w:cs="Times New Roman"/>
                <w:color w:val="auto"/>
                <w:sz w:val="24"/>
                <w:szCs w:val="24"/>
                <w:highlight w:val="none"/>
                <w:lang w:val="en-US" w:eastAsia="zh-CN"/>
              </w:rPr>
              <w:t>2012</w:t>
            </w:r>
            <w:r>
              <w:rPr>
                <w:rFonts w:hint="default" w:ascii="Times New Roman" w:hAnsi="Times New Roman" w:eastAsia="Times New Roman" w:cs="Times New Roman"/>
                <w:color w:val="auto"/>
                <w:sz w:val="24"/>
                <w:szCs w:val="24"/>
                <w:highlight w:val="none"/>
              </w:rPr>
              <w:t>年</w:t>
            </w:r>
            <w:r>
              <w:rPr>
                <w:rFonts w:hint="eastAsia" w:ascii="Times New Roman" w:hAnsi="Times New Roman" w:eastAsia="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主导产业为新型材料产业和木材精深加工产业两大产业。</w:t>
            </w:r>
            <w:r>
              <w:rPr>
                <w:rFonts w:hint="default" w:ascii="Times New Roman" w:hAnsi="Times New Roman" w:eastAsia="Times New Roman" w:cs="Times New Roman"/>
                <w:color w:val="auto"/>
                <w:sz w:val="24"/>
                <w:szCs w:val="24"/>
                <w:highlight w:val="none"/>
              </w:rPr>
              <w:t>《汤阴县新型材料产业园区总体发展规划（2012-2020）》编制于</w:t>
            </w:r>
            <w:r>
              <w:rPr>
                <w:rFonts w:hint="eastAsia" w:ascii="Times New Roman" w:hAnsi="Times New Roman" w:eastAsia="Times New Roman" w:cs="Times New Roman"/>
                <w:color w:val="auto"/>
                <w:sz w:val="24"/>
                <w:szCs w:val="24"/>
                <w:highlight w:val="none"/>
                <w:lang w:val="en-US" w:eastAsia="zh-CN"/>
              </w:rPr>
              <w:t>2012</w:t>
            </w:r>
            <w:r>
              <w:rPr>
                <w:rFonts w:hint="default" w:ascii="Times New Roman" w:hAnsi="Times New Roman" w:eastAsia="Times New Roman" w:cs="Times New Roman"/>
                <w:color w:val="auto"/>
                <w:sz w:val="24"/>
                <w:szCs w:val="24"/>
                <w:highlight w:val="none"/>
              </w:rPr>
              <w:t>年，</w:t>
            </w:r>
            <w:r>
              <w:rPr>
                <w:rFonts w:hint="eastAsia" w:ascii="Times New Roman" w:hAnsi="Times New Roman" w:eastAsia="Times New Roman" w:cs="Times New Roman"/>
                <w:color w:val="auto"/>
                <w:sz w:val="24"/>
                <w:szCs w:val="24"/>
                <w:highlight w:val="none"/>
                <w:lang w:eastAsia="zh-CN"/>
              </w:rPr>
              <w:t>安阳市</w:t>
            </w:r>
            <w:r>
              <w:rPr>
                <w:rFonts w:hint="default" w:ascii="Times New Roman" w:hAnsi="Times New Roman" w:eastAsia="Times New Roman" w:cs="Times New Roman"/>
                <w:color w:val="auto"/>
                <w:sz w:val="24"/>
                <w:szCs w:val="24"/>
                <w:highlight w:val="none"/>
                <w:lang w:eastAsia="zh-CN"/>
              </w:rPr>
              <w:t>环境保护</w:t>
            </w:r>
            <w:r>
              <w:rPr>
                <w:rFonts w:hint="eastAsia" w:eastAsia="Times New Roman" w:cs="Times New Roman"/>
                <w:color w:val="auto"/>
                <w:sz w:val="24"/>
                <w:szCs w:val="24"/>
                <w:highlight w:val="none"/>
                <w:lang w:eastAsia="zh-CN"/>
              </w:rPr>
              <w:t>局</w:t>
            </w:r>
            <w:r>
              <w:rPr>
                <w:rFonts w:hint="default" w:ascii="Times New Roman" w:hAnsi="Times New Roman" w:eastAsia="Times New Roman" w:cs="Times New Roman"/>
                <w:color w:val="auto"/>
                <w:sz w:val="24"/>
                <w:szCs w:val="24"/>
                <w:highlight w:val="none"/>
              </w:rPr>
              <w:t>以安发改工业〔2012〕724号文通过了其规划。汤阴县新型材料产业园区规划期限为2012-2020年，近期为2012-2015年，远期为2016-2020年。</w:t>
            </w:r>
          </w:p>
          <w:p w14:paraId="24BDD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Times New Roman" w:cs="Times New Roman"/>
                <w:color w:val="auto"/>
                <w:sz w:val="24"/>
                <w:szCs w:val="24"/>
                <w:highlight w:val="none"/>
                <w:lang w:eastAsia="zh-CN"/>
              </w:rPr>
              <w:t>产业园区</w:t>
            </w:r>
            <w:r>
              <w:rPr>
                <w:rFonts w:hint="default" w:ascii="Times New Roman" w:hAnsi="Times New Roman" w:eastAsia="Times New Roman" w:cs="Times New Roman"/>
                <w:color w:val="auto"/>
                <w:sz w:val="24"/>
                <w:szCs w:val="24"/>
                <w:highlight w:val="none"/>
              </w:rPr>
              <w:t>原规划面积</w:t>
            </w:r>
            <w:r>
              <w:rPr>
                <w:rFonts w:hint="eastAsia" w:ascii="Times New Roman" w:hAnsi="Times New Roman" w:eastAsia="Times New Roman" w:cs="Times New Roman"/>
                <w:color w:val="auto"/>
                <w:sz w:val="24"/>
                <w:szCs w:val="24"/>
                <w:highlight w:val="none"/>
                <w:lang w:val="en-US" w:eastAsia="zh-CN"/>
              </w:rPr>
              <w:t>3.66</w:t>
            </w:r>
            <w:r>
              <w:rPr>
                <w:rFonts w:hint="default" w:ascii="Times New Roman" w:hAnsi="Times New Roman" w:eastAsia="Times New Roman" w:cs="Times New Roman"/>
                <w:color w:val="auto"/>
                <w:sz w:val="24"/>
                <w:szCs w:val="24"/>
                <w:highlight w:val="none"/>
              </w:rPr>
              <w:t>km</w:t>
            </w:r>
            <w:r>
              <w:rPr>
                <w:rFonts w:hint="default" w:ascii="Times New Roman" w:hAnsi="Times New Roman" w:eastAsia="Times New Roman" w:cs="Times New Roman"/>
                <w:color w:val="auto"/>
                <w:sz w:val="24"/>
                <w:szCs w:val="24"/>
                <w:highlight w:val="none"/>
                <w:vertAlign w:val="superscript"/>
              </w:rPr>
              <w:t>2</w:t>
            </w:r>
            <w:r>
              <w:rPr>
                <w:rFonts w:hint="default" w:ascii="Times New Roman" w:hAnsi="Times New Roman" w:eastAsia="Times New Roman" w:cs="Times New Roman"/>
                <w:color w:val="auto"/>
                <w:sz w:val="24"/>
                <w:szCs w:val="24"/>
                <w:highlight w:val="none"/>
              </w:rPr>
              <w:t>，汤阴县新型材料产业园区的发展定位：新型材料产业基地和木业精深加工产业基</w:t>
            </w:r>
            <w:r>
              <w:rPr>
                <w:rFonts w:hint="default" w:ascii="Times New Roman" w:hAnsi="Times New Roman" w:eastAsia="宋体" w:cs="Times New Roman"/>
                <w:color w:val="auto"/>
                <w:sz w:val="24"/>
                <w:szCs w:val="24"/>
                <w:highlight w:val="none"/>
                <w:lang w:eastAsia="zh-CN"/>
              </w:rPr>
              <w:t>地。</w:t>
            </w:r>
          </w:p>
          <w:p w14:paraId="48A71E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主导产业：新型材料产业和木材精深加工产业两大产业。依托园区内现有的新型材料产业基础，通过积极培育、重点扶持，引入大型龙头企业，重点发展新型材料产业；依托园区内现有的木业精深加工产业基础，扶持壮大一批重点龙头企业，重点发展门业、窗业及家具业三个子产业。</w:t>
            </w:r>
          </w:p>
          <w:p w14:paraId="2FD8A3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lang w:eastAsia="zh-CN"/>
              </w:rPr>
            </w:pPr>
            <w:r>
              <w:rPr>
                <w:rFonts w:hint="default" w:ascii="Times New Roman" w:hAnsi="Times New Roman" w:eastAsia="宋体" w:cs="Times New Roman"/>
                <w:color w:val="auto"/>
                <w:sz w:val="24"/>
                <w:szCs w:val="24"/>
                <w:highlight w:val="none"/>
                <w:lang w:eastAsia="zh-CN"/>
              </w:rPr>
              <w:t>工业和信息化部《新材料产业“十二五”发展规划》中指出，新材料涉及领域广泛，一般指新出现的具有优异性能和特殊功能的材料，或是传统材料改进后性能明显提高和产生新功能的材料，主要包括新型功能材料、高性能结构材料和先进复合材料，主要包括以下六大领域：①特种金属功能材料。具有独特的声、光、电、热、磁等性能的金属材料。②高端金属结构材料。较传统金属结构材料具有更高的强度、韧性和耐高温、抗腐蚀等性能的金属材料。③先进高分子材料。具有相对独特物理化学性能、适宜在特殊领域或特定环境下应用的人工合成高分子新材料。④新型无机非金属材料。在传统无机非金属材料基础上新出现的具有耐磨、耐腐蚀、光电等特殊性能的材料。⑤高性能复合材料。由两种或两种以上异质、异型、异性材料（一种作为基体，其他作为增强体）复合而成的具有特殊功能和结构的新型材料。⑥前沿新材料。当前以基础研究为主，未来市场前景广阔，代表新材料科技发展方向，具有重要引领作用的材料。</w:t>
            </w:r>
          </w:p>
          <w:p w14:paraId="478BF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总体发展目标：</w:t>
            </w:r>
            <w:r>
              <w:rPr>
                <w:rFonts w:hint="default" w:ascii="Times New Roman" w:hAnsi="Times New Roman" w:eastAsia="宋体" w:cs="Times New Roman"/>
                <w:color w:val="auto"/>
                <w:sz w:val="24"/>
                <w:szCs w:val="24"/>
                <w:highlight w:val="none"/>
                <w:lang w:eastAsia="zh-CN"/>
              </w:rPr>
              <w:t>以市场为导向，以创新为动力，以整合区域资源为出发点，以招商引资为抓手，以项目入驻为根本，通过政府积极引导，合理规划布局，加强内引外联，大力招商引资，重点发展新兴材料、木业精深加工产业，推进产业集聚，做好服务引导等措施，规划期内，把汤阴县新型材料产业园区建设成为产业集聚、布局合理、功能完善、环境优美的新兴工业区，成为汤阴县经济发展新的增长点。</w:t>
            </w:r>
          </w:p>
          <w:p w14:paraId="037BF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szCs w:val="24"/>
                <w:highlight w:val="none"/>
                <w:lang w:val="en-GB" w:eastAsia="zh-CN"/>
              </w:rPr>
              <w:t>发展布局</w:t>
            </w:r>
            <w:r>
              <w:rPr>
                <w:rFonts w:hint="eastAsia" w:ascii="Times New Roman" w:hAnsi="Times New Roman" w:eastAsia="宋体" w:cs="Times New Roman"/>
                <w:color w:val="auto"/>
                <w:sz w:val="24"/>
                <w:szCs w:val="24"/>
                <w:highlight w:val="none"/>
                <w:lang w:val="en-GB" w:eastAsia="zh-CN"/>
              </w:rPr>
              <w:t>：</w:t>
            </w:r>
          </w:p>
          <w:p w14:paraId="6B5C4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szCs w:val="24"/>
                <w:highlight w:val="none"/>
                <w:lang w:val="en-GB" w:eastAsia="zh-CN"/>
              </w:rPr>
              <w:t>a、空间布局</w:t>
            </w:r>
          </w:p>
          <w:p w14:paraId="39700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szCs w:val="24"/>
                <w:highlight w:val="none"/>
                <w:lang w:val="en-GB" w:eastAsia="zh-CN"/>
              </w:rPr>
              <w:t>以安阳建设豫北区域性中心强市为契机，加强城市基础设施建设，增强城市集聚功能，以现有城区为中心，实现“北引、南联、西进、东扩”，为经济发展提供广阔空间。北引：在城区北部狠抓城市建设，积极吸引安阳市区的城市项目和产业项目向此转移，加快安汤一体化进程，实现与市区的无缝衔接。南联：是指积极向鹤壁方向推动中华路南延，主动和鹤壁市区进行链接，使县城南部成为鹤壁市区的延伸区域。西进：是指依托城区西部水系推进生态环境建设，促进城镇人口西移，进一步扩大城镇化面积，同时腾出东部空间用于产业和城市发展。东扩：是指抓住107改道机遇，将古贤以西的区域纳入城区发展范围，为城市、产业发展留出余地，也利于不便进入集聚区的项目在该处发展。同时要沿晋豫鲁通道汤阴东站向东扩展，促进航空港、陆路港建设和新兴工业基地的建设，实现伏道和集聚区的联结。</w:t>
            </w:r>
          </w:p>
          <w:p w14:paraId="590CBB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szCs w:val="24"/>
                <w:highlight w:val="none"/>
                <w:lang w:val="en-GB" w:eastAsia="zh-CN"/>
              </w:rPr>
              <w:t>b、产业布局</w:t>
            </w:r>
          </w:p>
          <w:p w14:paraId="14349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GB" w:eastAsia="zh-CN"/>
              </w:rPr>
            </w:pPr>
            <w:r>
              <w:rPr>
                <w:rFonts w:hint="default" w:ascii="Times New Roman" w:hAnsi="Times New Roman" w:eastAsia="宋体" w:cs="Times New Roman"/>
                <w:color w:val="auto"/>
                <w:sz w:val="24"/>
                <w:szCs w:val="24"/>
                <w:highlight w:val="none"/>
                <w:lang w:val="en-GB" w:eastAsia="zh-CN"/>
              </w:rPr>
              <w:t>在全县形成“一心两轴三区”的产业空间布局结构。一心即由县城和汤阴县产业集聚区构成的县域产业发展核心；两轴即沿107国道和京广铁路展开的新型城镇化空间扩展轴，沿汤屯路展开的现代农业发展轴；三区即西北部以食品、医药工业和现代物流、文化旅游业等现代服务业为主的安汤一体化区，西南部以装备制造业、休闲旅游和生态农业为主的汤鹤一体化区，东部以现代农业为主的特色高效农业区。</w:t>
            </w:r>
          </w:p>
          <w:p w14:paraId="0653B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yellow"/>
              </w:rPr>
            </w:pPr>
            <w:r>
              <w:rPr>
                <w:rFonts w:hint="default" w:ascii="Times New Roman" w:hAnsi="Times New Roman" w:eastAsia="宋体" w:cs="Times New Roman"/>
                <w:color w:val="auto"/>
                <w:sz w:val="24"/>
                <w:szCs w:val="24"/>
                <w:highlight w:val="none"/>
                <w:lang w:val="en-US" w:eastAsia="zh-CN"/>
              </w:rPr>
              <w:t>项目产品为</w:t>
            </w:r>
            <w:r>
              <w:rPr>
                <w:rFonts w:hint="eastAsia" w:cs="Times New Roman"/>
                <w:color w:val="auto"/>
                <w:sz w:val="24"/>
                <w:szCs w:val="24"/>
                <w:highlight w:val="none"/>
                <w:lang w:val="en-US" w:eastAsia="zh-CN"/>
              </w:rPr>
              <w:t>编织水带，使用的原辅材料为聚乙烯颗粒、聚乙烯丝、丙纶丝、热熔胶颗粒，属于先进高分子材料，本项目生产工艺主要是对先进高分子材料进行加工</w:t>
            </w:r>
            <w:r>
              <w:rPr>
                <w:rFonts w:hint="eastAsia" w:ascii="Times New Roman" w:hAnsi="Times New Roman"/>
                <w:color w:val="auto"/>
                <w:kern w:val="0"/>
                <w:sz w:val="24"/>
                <w:szCs w:val="24"/>
                <w:highlight w:val="none"/>
                <w:lang w:eastAsia="zh-CN"/>
              </w:rPr>
              <w:t>，</w:t>
            </w:r>
            <w:r>
              <w:rPr>
                <w:rFonts w:hint="eastAsia"/>
                <w:color w:val="auto"/>
                <w:kern w:val="0"/>
                <w:sz w:val="24"/>
                <w:szCs w:val="24"/>
                <w:highlight w:val="none"/>
                <w:lang w:eastAsia="zh-CN"/>
              </w:rPr>
              <w:t>属于新型材料产业的下游产业，与主导产业相关联，</w:t>
            </w:r>
            <w:r>
              <w:rPr>
                <w:rFonts w:hint="default" w:ascii="Times New Roman" w:hAnsi="Times New Roman" w:cs="Times New Roman"/>
                <w:color w:val="auto"/>
                <w:kern w:val="0"/>
                <w:sz w:val="24"/>
                <w:szCs w:val="24"/>
                <w:highlight w:val="none"/>
              </w:rPr>
              <w:t>本项目位于</w:t>
            </w:r>
            <w:r>
              <w:rPr>
                <w:rFonts w:hint="eastAsia" w:cs="Times New Roman"/>
                <w:color w:val="auto"/>
                <w:kern w:val="0"/>
                <w:sz w:val="24"/>
                <w:szCs w:val="24"/>
                <w:highlight w:val="none"/>
                <w:lang w:val="en-US" w:eastAsia="zh-CN"/>
              </w:rPr>
              <w:t>安阳市汤阴县古贤镇中西路、工业三路与工业四路交叉口西北角9号</w:t>
            </w:r>
            <w:r>
              <w:rPr>
                <w:rFonts w:hint="default" w:ascii="Times New Roman" w:hAnsi="Times New Roman" w:cs="Times New Roman"/>
                <w:color w:val="auto"/>
                <w:kern w:val="0"/>
                <w:sz w:val="24"/>
                <w:szCs w:val="24"/>
                <w:highlight w:val="none"/>
              </w:rPr>
              <w:t>，</w:t>
            </w:r>
            <w:r>
              <w:rPr>
                <w:rFonts w:hint="eastAsia" w:cs="Times New Roman"/>
                <w:b w:val="0"/>
                <w:bCs w:val="0"/>
                <w:color w:val="auto"/>
                <w:kern w:val="2"/>
                <w:sz w:val="24"/>
                <w:szCs w:val="24"/>
                <w:highlight w:val="none"/>
                <w:lang w:val="en-US" w:eastAsia="zh-CN" w:bidi="ar"/>
              </w:rPr>
              <w:t>根据汤阴县新型材料产业园区总体规划--用地规划图（2012-2020），本项目用地类型是工业用地，符合园区用地规划。</w:t>
            </w:r>
          </w:p>
          <w:p w14:paraId="52EEFB2B">
            <w:pPr>
              <w:pStyle w:val="2"/>
              <w:keepNext/>
              <w:keepLines w:val="0"/>
              <w:pageBreakBefore w:val="0"/>
              <w:widowControl w:val="0"/>
              <w:numPr>
                <w:ilvl w:val="0"/>
                <w:numId w:val="3"/>
              </w:numPr>
              <w:suppressLineNumbers w:val="0"/>
              <w:kinsoku/>
              <w:wordWrap/>
              <w:overflowPunct w:val="0"/>
              <w:topLinePunct w:val="0"/>
              <w:autoSpaceDE/>
              <w:autoSpaceDN/>
              <w:bidi w:val="0"/>
              <w:adjustRightInd/>
              <w:snapToGrid w:val="0"/>
              <w:spacing w:before="0" w:beforeAutospacing="0" w:after="0" w:afterAutospacing="0" w:line="360" w:lineRule="auto"/>
              <w:ind w:left="0" w:right="0" w:firstLine="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与汤阴县新型材料产业园区和环境保护对象相关符合分析</w:t>
            </w:r>
          </w:p>
          <w:p w14:paraId="6A28CA9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lang w:val="en-US" w:eastAsia="zh-CN"/>
              </w:rPr>
            </w:pPr>
            <w:r>
              <w:rPr>
                <w:rFonts w:hint="default" w:ascii="Times New Roman" w:hAnsi="Times New Roman" w:eastAsia="Times New Roman" w:cs="Times New Roman"/>
                <w:color w:val="auto"/>
                <w:sz w:val="24"/>
                <w:szCs w:val="24"/>
              </w:rPr>
              <w:t>汤阴县新型材料产业园区位于汤阴县</w:t>
            </w:r>
            <w:r>
              <w:rPr>
                <w:rFonts w:hint="eastAsia" w:eastAsia="宋体" w:cs="Times New Roman"/>
                <w:color w:val="auto"/>
                <w:sz w:val="24"/>
                <w:szCs w:val="24"/>
                <w:lang w:eastAsia="zh-CN"/>
              </w:rPr>
              <w:t>古贤镇</w:t>
            </w:r>
            <w:r>
              <w:rPr>
                <w:rFonts w:hint="default" w:ascii="Times New Roman" w:hAnsi="Times New Roman" w:eastAsia="Times New Roman" w:cs="Times New Roman"/>
                <w:color w:val="auto"/>
                <w:sz w:val="24"/>
                <w:szCs w:val="24"/>
              </w:rPr>
              <w:t>，规划范围内不涉及自然保护区、风景名胜区、森林公园、地质公园。根据现场调查并咨询当地文物保护部门，产业园区内多为农田、企业等，产业园区内未发现地表文物保护单位。</w:t>
            </w:r>
          </w:p>
          <w:p w14:paraId="1B56E3B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与汤阴县新型材料产业园区准入条件相符性分析</w:t>
            </w:r>
          </w:p>
          <w:p w14:paraId="77F878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依据</w:t>
            </w:r>
            <w:r>
              <w:rPr>
                <w:rFonts w:hint="default" w:ascii="Times New Roman" w:hAnsi="Times New Roman" w:eastAsia="Times New Roman" w:cs="Times New Roman"/>
                <w:color w:val="auto"/>
                <w:sz w:val="24"/>
                <w:szCs w:val="24"/>
                <w:highlight w:val="none"/>
              </w:rPr>
              <w:t>《汤阴县新型材料产业园区总体发展规划（2012-2020）》</w:t>
            </w:r>
            <w:r>
              <w:rPr>
                <w:rFonts w:hint="default" w:ascii="Times New Roman" w:hAnsi="Times New Roman" w:eastAsia="Times New Roman" w:cs="Times New Roman"/>
                <w:color w:val="auto"/>
                <w:kern w:val="0"/>
                <w:sz w:val="24"/>
                <w:szCs w:val="24"/>
                <w:highlight w:val="none"/>
              </w:rPr>
              <w:t>，汤阴县</w:t>
            </w:r>
            <w:r>
              <w:rPr>
                <w:rFonts w:hint="default" w:ascii="Times New Roman" w:hAnsi="Times New Roman" w:eastAsia="宋体" w:cs="Times New Roman"/>
                <w:color w:val="auto"/>
                <w:kern w:val="0"/>
                <w:sz w:val="24"/>
                <w:szCs w:val="24"/>
                <w:highlight w:val="none"/>
              </w:rPr>
              <w:t>新型材料产业园区</w:t>
            </w:r>
            <w:r>
              <w:rPr>
                <w:rFonts w:hint="default" w:ascii="Times New Roman" w:hAnsi="Times New Roman" w:eastAsia="Times New Roman" w:cs="Times New Roman"/>
                <w:color w:val="auto"/>
                <w:kern w:val="0"/>
                <w:sz w:val="24"/>
                <w:szCs w:val="24"/>
                <w:highlight w:val="none"/>
              </w:rPr>
              <w:t>环境准入条件见下表。</w:t>
            </w:r>
          </w:p>
          <w:p w14:paraId="0C7101BC">
            <w:pPr>
              <w:keepNext w:val="0"/>
              <w:keepLines w:val="0"/>
              <w:suppressLineNumbers w:val="0"/>
              <w:adjustRightInd w:val="0"/>
              <w:snapToGrid w:val="0"/>
              <w:spacing w:before="0" w:beforeAutospacing="0" w:after="0" w:afterAutospacing="0" w:line="240" w:lineRule="auto"/>
              <w:ind w:left="0" w:right="0"/>
              <w:contextualSpacing/>
              <w:jc w:val="center"/>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汤阴县</w:t>
            </w:r>
            <w:r>
              <w:rPr>
                <w:rFonts w:hint="eastAsia" w:ascii="Times New Roman" w:hAnsi="Times New Roman" w:eastAsia="Times New Roman" w:cs="Times New Roman"/>
                <w:b/>
                <w:color w:val="auto"/>
                <w:sz w:val="24"/>
                <w:szCs w:val="24"/>
                <w:highlight w:val="none"/>
                <w:lang w:eastAsia="zh-CN"/>
              </w:rPr>
              <w:t>新型材料产业园区</w:t>
            </w:r>
            <w:r>
              <w:rPr>
                <w:rFonts w:hint="default" w:ascii="Times New Roman" w:hAnsi="Times New Roman" w:eastAsia="Times New Roman" w:cs="Times New Roman"/>
                <w:b/>
                <w:color w:val="auto"/>
                <w:sz w:val="24"/>
                <w:szCs w:val="24"/>
                <w:highlight w:val="none"/>
              </w:rPr>
              <w:t>环境准入条件</w:t>
            </w:r>
          </w:p>
          <w:tbl>
            <w:tblPr>
              <w:tblStyle w:val="2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2311"/>
              <w:gridCol w:w="942"/>
            </w:tblGrid>
            <w:tr w14:paraId="6D680D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23" w:type="pct"/>
                  <w:noWrap w:val="0"/>
                  <w:vAlign w:val="center"/>
                </w:tcPr>
                <w:p w14:paraId="63D9832C">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kern w:val="0"/>
                      <w:sz w:val="24"/>
                      <w:szCs w:val="24"/>
                      <w:highlight w:val="none"/>
                    </w:rPr>
                  </w:pPr>
                  <w:r>
                    <w:rPr>
                      <w:rFonts w:hint="default" w:ascii="Times New Roman" w:hAnsi="Times New Roman" w:eastAsia="Times New Roman" w:cs="Times New Roman"/>
                      <w:b/>
                      <w:color w:val="auto"/>
                      <w:kern w:val="0"/>
                      <w:sz w:val="24"/>
                      <w:szCs w:val="24"/>
                      <w:highlight w:val="none"/>
                    </w:rPr>
                    <w:t>环境准入条件</w:t>
                  </w:r>
                </w:p>
              </w:tc>
              <w:tc>
                <w:tcPr>
                  <w:tcW w:w="1474" w:type="pct"/>
                  <w:noWrap w:val="0"/>
                  <w:vAlign w:val="center"/>
                </w:tcPr>
                <w:p w14:paraId="4FDCB4DA">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kern w:val="0"/>
                      <w:sz w:val="24"/>
                      <w:szCs w:val="24"/>
                      <w:highlight w:val="none"/>
                    </w:rPr>
                  </w:pPr>
                  <w:r>
                    <w:rPr>
                      <w:rFonts w:hint="default" w:ascii="Times New Roman" w:hAnsi="Times New Roman" w:eastAsia="Times New Roman" w:cs="Times New Roman"/>
                      <w:b/>
                      <w:color w:val="auto"/>
                      <w:kern w:val="0"/>
                      <w:sz w:val="24"/>
                      <w:szCs w:val="24"/>
                      <w:highlight w:val="none"/>
                    </w:rPr>
                    <w:t>本项目情况</w:t>
                  </w:r>
                </w:p>
              </w:tc>
              <w:tc>
                <w:tcPr>
                  <w:tcW w:w="601" w:type="pct"/>
                  <w:noWrap w:val="0"/>
                  <w:vAlign w:val="center"/>
                </w:tcPr>
                <w:p w14:paraId="349DC138">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kern w:val="0"/>
                      <w:sz w:val="24"/>
                      <w:szCs w:val="24"/>
                      <w:highlight w:val="none"/>
                    </w:rPr>
                  </w:pPr>
                  <w:r>
                    <w:rPr>
                      <w:rFonts w:hint="default" w:ascii="Times New Roman" w:hAnsi="Times New Roman" w:eastAsia="Times New Roman" w:cs="Times New Roman"/>
                      <w:b/>
                      <w:color w:val="auto"/>
                      <w:kern w:val="0"/>
                      <w:sz w:val="24"/>
                      <w:szCs w:val="24"/>
                      <w:highlight w:val="none"/>
                    </w:rPr>
                    <w:t>相符性</w:t>
                  </w:r>
                </w:p>
              </w:tc>
            </w:tr>
            <w:tr w14:paraId="475B1F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923" w:type="pct"/>
                  <w:noWrap w:val="0"/>
                  <w:vAlign w:val="center"/>
                </w:tcPr>
                <w:p w14:paraId="5EAD783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鼓励建设新型材料制造业、木业精深加工业等符合产业园区功能定位的建设项目入驻，同时应考虑上下游产品的关联性，尽可能延长产业链</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357611DB">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157" w:afterLines="50" w:afterAutospacing="0" w:line="240" w:lineRule="auto"/>
                    <w:ind w:left="0" w:right="0"/>
                    <w:jc w:val="both"/>
                    <w:textAlignment w:val="auto"/>
                    <w:rPr>
                      <w:rFonts w:hint="eastAsia" w:ascii="Times New Roman" w:hAnsi="Times New Roman" w:eastAsia="宋体" w:cs="Times New Roman"/>
                      <w:color w:val="auto"/>
                      <w:kern w:val="0"/>
                      <w:sz w:val="21"/>
                      <w:szCs w:val="21"/>
                      <w:highlight w:val="yellow"/>
                      <w:lang w:eastAsia="zh-CN"/>
                    </w:rPr>
                  </w:pPr>
                  <w:r>
                    <w:rPr>
                      <w:rFonts w:hint="eastAsia" w:cs="Times New Roman"/>
                      <w:color w:val="auto"/>
                      <w:kern w:val="0"/>
                      <w:sz w:val="21"/>
                      <w:szCs w:val="21"/>
                      <w:highlight w:val="none"/>
                      <w:lang w:eastAsia="zh-CN"/>
                    </w:rPr>
                    <w:t>本项目属于</w:t>
                  </w:r>
                  <w:r>
                    <w:rPr>
                      <w:rFonts w:hint="eastAsia" w:ascii="Times New Roman" w:hAnsi="Times New Roman"/>
                      <w:color w:val="auto"/>
                      <w:sz w:val="21"/>
                      <w:szCs w:val="21"/>
                      <w:lang w:eastAsia="zh-CN"/>
                    </w:rPr>
                    <w:t>橡胶和塑料</w:t>
                  </w:r>
                  <w:r>
                    <w:rPr>
                      <w:rFonts w:hint="eastAsia" w:ascii="Times New Roman" w:hAnsi="Times New Roman"/>
                      <w:color w:val="auto"/>
                      <w:sz w:val="21"/>
                      <w:szCs w:val="21"/>
                    </w:rPr>
                    <w:t>制品业</w:t>
                  </w:r>
                  <w:r>
                    <w:rPr>
                      <w:rFonts w:hint="eastAsia" w:cs="Times New Roman"/>
                      <w:color w:val="auto"/>
                      <w:kern w:val="0"/>
                      <w:sz w:val="21"/>
                      <w:szCs w:val="21"/>
                      <w:highlight w:val="none"/>
                      <w:lang w:val="en-US" w:eastAsia="zh-CN"/>
                    </w:rPr>
                    <w:t>，主要是对聚乙烯颗粒等先进高分子材料进行再加工，是新型材料制造业的下游产业，与主导产业相关联。</w:t>
                  </w:r>
                </w:p>
              </w:tc>
              <w:tc>
                <w:tcPr>
                  <w:tcW w:w="601" w:type="pct"/>
                  <w:noWrap w:val="0"/>
                  <w:vAlign w:val="center"/>
                </w:tcPr>
                <w:p w14:paraId="5F338098">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0"/>
                      <w:sz w:val="21"/>
                      <w:szCs w:val="21"/>
                      <w:highlight w:val="yellow"/>
                      <w:lang w:val="en-US" w:eastAsia="zh-CN"/>
                    </w:rPr>
                  </w:pPr>
                  <w:r>
                    <w:rPr>
                      <w:rFonts w:hint="eastAsia" w:cs="Times New Roman"/>
                      <w:color w:val="auto"/>
                      <w:kern w:val="0"/>
                      <w:sz w:val="21"/>
                      <w:szCs w:val="21"/>
                      <w:highlight w:val="none"/>
                      <w:lang w:val="en-US" w:eastAsia="zh-CN"/>
                    </w:rPr>
                    <w:t>相符</w:t>
                  </w:r>
                </w:p>
              </w:tc>
            </w:tr>
            <w:tr w14:paraId="79D97E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3" w:type="pct"/>
                  <w:noWrap w:val="0"/>
                  <w:vAlign w:val="center"/>
                </w:tcPr>
                <w:p w14:paraId="4D2E1BB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鼓励建设省级以上（含省级）认定的高新技术类项目</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219C8645">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yellow"/>
                      <w:lang w:val="en" w:eastAsia="zh-CN" w:bidi="ar-SA"/>
                    </w:rPr>
                  </w:pPr>
                  <w:r>
                    <w:rPr>
                      <w:rFonts w:hint="eastAsia" w:cs="Times New Roman"/>
                      <w:color w:val="auto"/>
                      <w:kern w:val="0"/>
                      <w:sz w:val="21"/>
                      <w:szCs w:val="21"/>
                      <w:highlight w:val="none"/>
                      <w:lang w:eastAsia="zh-CN"/>
                    </w:rPr>
                    <w:t>本项目不属于省级以上（含省级）认定的高新技术类项目。</w:t>
                  </w:r>
                </w:p>
              </w:tc>
              <w:tc>
                <w:tcPr>
                  <w:tcW w:w="601" w:type="pct"/>
                  <w:noWrap w:val="0"/>
                  <w:vAlign w:val="center"/>
                </w:tcPr>
                <w:p w14:paraId="5E60F751">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Times New Roman" w:cs="Times New Roman"/>
                      <w:color w:val="auto"/>
                      <w:kern w:val="0"/>
                      <w:sz w:val="21"/>
                      <w:szCs w:val="21"/>
                      <w:highlight w:val="none"/>
                      <w:lang w:val="en-US" w:eastAsia="zh-CN"/>
                    </w:rPr>
                    <w:t>/</w:t>
                  </w:r>
                </w:p>
              </w:tc>
            </w:tr>
            <w:tr w14:paraId="419AB7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923" w:type="pct"/>
                  <w:noWrap w:val="0"/>
                  <w:vAlign w:val="center"/>
                </w:tcPr>
                <w:p w14:paraId="674FF8E2">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禁止与主导产业相关性不强的企业入驻。</w:t>
                  </w:r>
                </w:p>
              </w:tc>
              <w:tc>
                <w:tcPr>
                  <w:tcW w:w="1474" w:type="pct"/>
                  <w:noWrap w:val="0"/>
                  <w:vAlign w:val="center"/>
                </w:tcPr>
                <w:p w14:paraId="4DD1FFA6">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yellow"/>
                      <w:lang w:val="en-US" w:eastAsia="zh-CN" w:bidi="ar-SA"/>
                    </w:rPr>
                  </w:pPr>
                  <w:r>
                    <w:rPr>
                      <w:rFonts w:hint="eastAsia" w:ascii="Times New Roman" w:cs="Times New Roman"/>
                      <w:color w:val="auto"/>
                      <w:kern w:val="2"/>
                      <w:sz w:val="21"/>
                      <w:szCs w:val="21"/>
                      <w:highlight w:val="none"/>
                      <w:lang w:val="en-US" w:eastAsia="zh-CN" w:bidi="ar-SA"/>
                    </w:rPr>
                    <w:t>本项目</w:t>
                  </w:r>
                  <w:r>
                    <w:rPr>
                      <w:rFonts w:hint="eastAsia" w:cs="Times New Roman"/>
                      <w:color w:val="auto"/>
                      <w:kern w:val="0"/>
                      <w:sz w:val="21"/>
                      <w:szCs w:val="21"/>
                      <w:highlight w:val="none"/>
                      <w:lang w:val="en-US" w:eastAsia="zh-CN"/>
                    </w:rPr>
                    <w:t>使用的原料为先进高分子材料，是新型材料制造业的下游产业，与主导产业相关联。</w:t>
                  </w:r>
                </w:p>
              </w:tc>
              <w:tc>
                <w:tcPr>
                  <w:tcW w:w="601" w:type="pct"/>
                  <w:noWrap w:val="0"/>
                  <w:vAlign w:val="center"/>
                </w:tcPr>
                <w:p w14:paraId="6F1B38F7">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相符</w:t>
                  </w:r>
                </w:p>
              </w:tc>
            </w:tr>
            <w:tr w14:paraId="2B0EF2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2923" w:type="pct"/>
                  <w:noWrap w:val="0"/>
                  <w:vAlign w:val="center"/>
                </w:tcPr>
                <w:p w14:paraId="3C7FCB85">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限制大气污染物排放量大的企业入驻</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1344F885">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 w:eastAsia="zh-CN" w:bidi="ar-SA"/>
                    </w:rPr>
                    <w:t>本项目涉及</w:t>
                  </w:r>
                  <w:r>
                    <w:rPr>
                      <w:rFonts w:hint="eastAsia" w:ascii="Times New Roman" w:cs="Times New Roman"/>
                      <w:color w:val="auto"/>
                      <w:kern w:val="2"/>
                      <w:sz w:val="21"/>
                      <w:szCs w:val="21"/>
                      <w:highlight w:val="none"/>
                      <w:lang w:val="en-US" w:eastAsia="zh-CN" w:bidi="ar-SA"/>
                    </w:rPr>
                    <w:t>VOCs排放，排放量很小。</w:t>
                  </w:r>
                </w:p>
              </w:tc>
              <w:tc>
                <w:tcPr>
                  <w:tcW w:w="601" w:type="pct"/>
                  <w:noWrap w:val="0"/>
                  <w:vAlign w:val="center"/>
                </w:tcPr>
                <w:p w14:paraId="5FE58303">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51DF6D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923" w:type="pct"/>
                  <w:noWrap w:val="0"/>
                  <w:vAlign w:val="center"/>
                </w:tcPr>
                <w:p w14:paraId="163DB043">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限制水资源消耗量大</w:t>
                  </w:r>
                  <w:r>
                    <w:rPr>
                      <w:rFonts w:hint="eastAsia" w:ascii="Times New Roman" w:cs="Times New Roman"/>
                      <w:color w:val="auto"/>
                      <w:kern w:val="2"/>
                      <w:sz w:val="21"/>
                      <w:szCs w:val="21"/>
                      <w:highlight w:val="none"/>
                      <w:lang w:val="en" w:eastAsia="zh-CN" w:bidi="ar-SA"/>
                    </w:rPr>
                    <w:t>，</w:t>
                  </w:r>
                  <w:r>
                    <w:rPr>
                      <w:rFonts w:hint="default" w:ascii="Times New Roman" w:hAnsi="Times New Roman" w:eastAsia="宋体" w:cs="Times New Roman"/>
                      <w:color w:val="auto"/>
                      <w:kern w:val="2"/>
                      <w:sz w:val="21"/>
                      <w:szCs w:val="21"/>
                      <w:highlight w:val="none"/>
                      <w:lang w:val="en" w:eastAsia="zh-CN" w:bidi="ar-SA"/>
                    </w:rPr>
                    <w:t>水污染物排放量大的企业入驻</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47478FDC">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本项目用水为生活用水和冷</w:t>
                  </w:r>
                  <w:r>
                    <w:rPr>
                      <w:rFonts w:hint="eastAsia" w:ascii="Times New Roman" w:cs="Times New Roman"/>
                      <w:color w:val="auto"/>
                      <w:kern w:val="2"/>
                      <w:sz w:val="21"/>
                      <w:szCs w:val="21"/>
                      <w:highlight w:val="none"/>
                      <w:lang w:val="en-US" w:eastAsia="zh-CN" w:bidi="ar-SA"/>
                    </w:rPr>
                    <w:t>却</w:t>
                  </w:r>
                  <w:r>
                    <w:rPr>
                      <w:rFonts w:hint="eastAsia" w:ascii="Times New Roman" w:hAnsi="Times New Roman" w:eastAsia="宋体" w:cs="Times New Roman"/>
                      <w:color w:val="auto"/>
                      <w:kern w:val="2"/>
                      <w:sz w:val="21"/>
                      <w:szCs w:val="21"/>
                      <w:highlight w:val="none"/>
                      <w:lang w:val="en-US" w:eastAsia="zh-CN" w:bidi="ar-SA"/>
                    </w:rPr>
                    <w:t>水，水资源消耗量很少，冷却水循环使用，定期补充，不外排，仅排放生活污水</w:t>
                  </w:r>
                  <w:r>
                    <w:rPr>
                      <w:rFonts w:hint="eastAsia" w:ascii="Times New Roman"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水污染物排放量很少。</w:t>
                  </w:r>
                </w:p>
              </w:tc>
              <w:tc>
                <w:tcPr>
                  <w:tcW w:w="601" w:type="pct"/>
                  <w:noWrap w:val="0"/>
                  <w:vAlign w:val="center"/>
                </w:tcPr>
                <w:p w14:paraId="5CAD6D98">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0E1C5A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23" w:type="pct"/>
                  <w:noWrap w:val="0"/>
                  <w:vAlign w:val="center"/>
                </w:tcPr>
                <w:p w14:paraId="75D8BCB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禁止新建电镀、皮革加工、造纸、印染、选矿、冶炼、炼焦、炼油和禽畜养殖以及其他污染重的建设项目</w:t>
                  </w:r>
                  <w:r>
                    <w:rPr>
                      <w:rFonts w:hint="eastAsia"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6031D83F">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不属于以上禁止项目。</w:t>
                  </w:r>
                </w:p>
              </w:tc>
              <w:tc>
                <w:tcPr>
                  <w:tcW w:w="601" w:type="pct"/>
                  <w:noWrap w:val="0"/>
                  <w:vAlign w:val="center"/>
                </w:tcPr>
                <w:p w14:paraId="600D8BBC">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w:t>
                  </w:r>
                </w:p>
              </w:tc>
            </w:tr>
            <w:tr w14:paraId="1A1CA4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923" w:type="pct"/>
                  <w:noWrap w:val="0"/>
                  <w:vAlign w:val="center"/>
                </w:tcPr>
                <w:p w14:paraId="33CFFA0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在环境保护与资源综合利用方面，建设项目应首先严格执行“三同时”制度，大力推行清洁生产，改进先进生产技术和设备，从生产的源头控制污染物产生量，降低末端治理压力。</w:t>
                  </w:r>
                </w:p>
              </w:tc>
              <w:tc>
                <w:tcPr>
                  <w:tcW w:w="1474" w:type="pct"/>
                  <w:noWrap w:val="0"/>
                  <w:vAlign w:val="center"/>
                </w:tcPr>
                <w:p w14:paraId="26CBA3DB">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本项目严格执行“三同时”制度。</w:t>
                  </w:r>
                </w:p>
              </w:tc>
              <w:tc>
                <w:tcPr>
                  <w:tcW w:w="601" w:type="pct"/>
                  <w:noWrap w:val="0"/>
                  <w:vAlign w:val="center"/>
                </w:tcPr>
                <w:p w14:paraId="7D30AF06">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7BC011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923" w:type="pct"/>
                  <w:noWrap w:val="0"/>
                  <w:vAlign w:val="center"/>
                </w:tcPr>
                <w:p w14:paraId="71F28440">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建设项目应采用国际、国内先进水平的清洁生产工艺和技术，禁止新建国家产业政策限制类、淘汰类的项目进入。</w:t>
                  </w:r>
                </w:p>
              </w:tc>
              <w:tc>
                <w:tcPr>
                  <w:tcW w:w="1474" w:type="pct"/>
                  <w:noWrap w:val="0"/>
                  <w:vAlign w:val="center"/>
                </w:tcPr>
                <w:p w14:paraId="785D90D7">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 w:eastAsia="zh-CN" w:bidi="ar-SA"/>
                    </w:rPr>
                    <w:t>本</w:t>
                  </w:r>
                  <w:r>
                    <w:rPr>
                      <w:rFonts w:hint="default" w:ascii="Times New Roman" w:hAnsi="Times New Roman" w:eastAsia="宋体" w:cs="Times New Roman"/>
                      <w:color w:val="auto"/>
                      <w:kern w:val="2"/>
                      <w:sz w:val="21"/>
                      <w:szCs w:val="21"/>
                      <w:highlight w:val="none"/>
                      <w:lang w:val="en" w:eastAsia="zh-CN" w:bidi="ar-SA"/>
                    </w:rPr>
                    <w:t>项</w:t>
                  </w:r>
                  <w:r>
                    <w:rPr>
                      <w:rFonts w:hint="eastAsia" w:ascii="Times New Roman" w:hAnsi="Times New Roman" w:eastAsia="宋体" w:cs="Times New Roman"/>
                      <w:color w:val="auto"/>
                      <w:kern w:val="2"/>
                      <w:sz w:val="21"/>
                      <w:szCs w:val="21"/>
                      <w:highlight w:val="none"/>
                      <w:lang w:val="en" w:eastAsia="zh-CN" w:bidi="ar-SA"/>
                    </w:rPr>
                    <w:t>目</w:t>
                  </w:r>
                  <w:r>
                    <w:rPr>
                      <w:rFonts w:hint="default" w:ascii="Times New Roman" w:hAnsi="Times New Roman" w:eastAsia="宋体" w:cs="Times New Roman"/>
                      <w:color w:val="auto"/>
                      <w:kern w:val="2"/>
                      <w:sz w:val="21"/>
                      <w:szCs w:val="21"/>
                      <w:highlight w:val="none"/>
                      <w:lang w:val="en" w:eastAsia="zh-CN" w:bidi="ar-SA"/>
                    </w:rPr>
                    <w:t>采用国内先进水平的清洁生产工艺和技术</w:t>
                  </w:r>
                  <w:r>
                    <w:rPr>
                      <w:rFonts w:hint="eastAsia" w:ascii="Times New Roman" w:hAnsi="Times New Roman" w:eastAsia="宋体" w:cs="Times New Roman"/>
                      <w:color w:val="auto"/>
                      <w:kern w:val="2"/>
                      <w:sz w:val="21"/>
                      <w:szCs w:val="21"/>
                      <w:highlight w:val="none"/>
                      <w:lang w:val="en" w:eastAsia="zh-CN" w:bidi="ar-SA"/>
                    </w:rPr>
                    <w:t>，不属于</w:t>
                  </w:r>
                  <w:r>
                    <w:rPr>
                      <w:rFonts w:hint="default" w:ascii="Times New Roman" w:hAnsi="Times New Roman" w:eastAsia="宋体" w:cs="Times New Roman"/>
                      <w:color w:val="auto"/>
                      <w:kern w:val="2"/>
                      <w:sz w:val="21"/>
                      <w:szCs w:val="21"/>
                      <w:highlight w:val="none"/>
                      <w:lang w:val="en" w:eastAsia="zh-CN" w:bidi="ar-SA"/>
                    </w:rPr>
                    <w:t>国家产业政策限制类、淘汰类的项目</w:t>
                  </w:r>
                  <w:r>
                    <w:rPr>
                      <w:rFonts w:hint="eastAsia" w:ascii="Times New Roman" w:hAnsi="Times New Roman" w:eastAsia="宋体" w:cs="Times New Roman"/>
                      <w:color w:val="auto"/>
                      <w:kern w:val="2"/>
                      <w:sz w:val="21"/>
                      <w:szCs w:val="21"/>
                      <w:highlight w:val="none"/>
                      <w:lang w:val="en" w:eastAsia="zh-CN" w:bidi="ar-SA"/>
                    </w:rPr>
                    <w:t>。</w:t>
                  </w:r>
                </w:p>
              </w:tc>
              <w:tc>
                <w:tcPr>
                  <w:tcW w:w="601" w:type="pct"/>
                  <w:noWrap w:val="0"/>
                  <w:vAlign w:val="center"/>
                </w:tcPr>
                <w:p w14:paraId="2779305B">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相符</w:t>
                  </w:r>
                </w:p>
              </w:tc>
            </w:tr>
            <w:tr w14:paraId="5E45A3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3" w:type="pct"/>
                  <w:noWrap w:val="0"/>
                  <w:vAlign w:val="center"/>
                </w:tcPr>
                <w:p w14:paraId="3F26A90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default" w:ascii="Times New Roman" w:hAnsi="Times New Roman" w:eastAsia="宋体" w:cs="Times New Roman"/>
                      <w:color w:val="auto"/>
                      <w:kern w:val="2"/>
                      <w:sz w:val="21"/>
                      <w:szCs w:val="21"/>
                      <w:highlight w:val="none"/>
                      <w:lang w:val="en" w:eastAsia="zh-CN" w:bidi="ar-SA"/>
                    </w:rPr>
                    <w:t>企业新建燃煤炉窑必须配置脱硫</w:t>
                  </w:r>
                  <w:r>
                    <w:rPr>
                      <w:rFonts w:hint="eastAsia" w:ascii="Times New Roman" w:hAnsi="Times New Roman" w:eastAsia="宋体" w:cs="Times New Roman"/>
                      <w:color w:val="auto"/>
                      <w:kern w:val="2"/>
                      <w:sz w:val="21"/>
                      <w:szCs w:val="21"/>
                      <w:highlight w:val="none"/>
                      <w:lang w:val="en" w:eastAsia="zh-CN" w:bidi="ar-SA"/>
                    </w:rPr>
                    <w:t>、脱硝</w:t>
                  </w:r>
                  <w:r>
                    <w:rPr>
                      <w:rFonts w:hint="default" w:ascii="Times New Roman" w:hAnsi="Times New Roman" w:eastAsia="宋体" w:cs="Times New Roman"/>
                      <w:color w:val="auto"/>
                      <w:kern w:val="2"/>
                      <w:sz w:val="21"/>
                      <w:szCs w:val="21"/>
                      <w:highlight w:val="none"/>
                      <w:lang w:val="en" w:eastAsia="zh-CN" w:bidi="ar-SA"/>
                    </w:rPr>
                    <w:t>措施，脱硫效率不低于80%</w:t>
                  </w:r>
                  <w:r>
                    <w:rPr>
                      <w:rFonts w:hint="eastAsia" w:ascii="Times New Roman" w:hAnsi="Times New Roman" w:eastAsia="宋体" w:cs="Times New Roman"/>
                      <w:color w:val="auto"/>
                      <w:kern w:val="2"/>
                      <w:sz w:val="21"/>
                      <w:szCs w:val="21"/>
                      <w:highlight w:val="none"/>
                      <w:lang w:val="en" w:eastAsia="zh-CN" w:bidi="ar-SA"/>
                    </w:rPr>
                    <w:t>、脱硝效率不低于60%</w:t>
                  </w:r>
                  <w:r>
                    <w:rPr>
                      <w:rFonts w:hint="default" w:ascii="Times New Roman" w:hAnsi="Times New Roman" w:eastAsia="宋体" w:cs="Times New Roman"/>
                      <w:color w:val="auto"/>
                      <w:kern w:val="2"/>
                      <w:sz w:val="21"/>
                      <w:szCs w:val="21"/>
                      <w:highlight w:val="none"/>
                      <w:lang w:val="en" w:eastAsia="zh-CN" w:bidi="ar-SA"/>
                    </w:rPr>
                    <w:t>。</w:t>
                  </w:r>
                </w:p>
              </w:tc>
              <w:tc>
                <w:tcPr>
                  <w:tcW w:w="1474" w:type="pct"/>
                  <w:noWrap w:val="0"/>
                  <w:vAlign w:val="center"/>
                </w:tcPr>
                <w:p w14:paraId="1BEB59AD">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不涉及</w:t>
                  </w:r>
                  <w:r>
                    <w:rPr>
                      <w:rFonts w:hint="default" w:ascii="Times New Roman" w:hAnsi="Times New Roman" w:eastAsia="宋体" w:cs="Times New Roman"/>
                      <w:color w:val="auto"/>
                      <w:kern w:val="2"/>
                      <w:sz w:val="21"/>
                      <w:szCs w:val="21"/>
                      <w:highlight w:val="none"/>
                      <w:lang w:val="en" w:eastAsia="zh-CN" w:bidi="ar-SA"/>
                    </w:rPr>
                    <w:t>燃煤炉窑</w:t>
                  </w:r>
                  <w:r>
                    <w:rPr>
                      <w:rFonts w:hint="eastAsia" w:ascii="Times New Roman" w:cs="Times New Roman"/>
                      <w:color w:val="auto"/>
                      <w:kern w:val="2"/>
                      <w:sz w:val="21"/>
                      <w:szCs w:val="21"/>
                      <w:highlight w:val="none"/>
                      <w:lang w:val="en" w:eastAsia="zh-CN" w:bidi="ar-SA"/>
                    </w:rPr>
                    <w:t>。</w:t>
                  </w:r>
                </w:p>
              </w:tc>
              <w:tc>
                <w:tcPr>
                  <w:tcW w:w="601" w:type="pct"/>
                  <w:noWrap w:val="0"/>
                  <w:vAlign w:val="center"/>
                </w:tcPr>
                <w:p w14:paraId="0B544C2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r>
            <w:tr w14:paraId="51565F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3" w:type="pct"/>
                  <w:noWrap w:val="0"/>
                  <w:vAlign w:val="center"/>
                </w:tcPr>
                <w:p w14:paraId="287DAE1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建议拟入驻的“退城进园”项目在满足园区发展指标、不违背园区土地利用和布局规划、不会对园区规划产生重大影响的前提下，可适当放宽入驻条件，不受园区主导产业限制。</w:t>
                  </w:r>
                </w:p>
              </w:tc>
              <w:tc>
                <w:tcPr>
                  <w:tcW w:w="1474" w:type="pct"/>
                  <w:noWrap w:val="0"/>
                  <w:vAlign w:val="center"/>
                </w:tcPr>
                <w:p w14:paraId="0DA0045E">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 w:eastAsia="zh-CN" w:bidi="ar-SA"/>
                    </w:rPr>
                  </w:pPr>
                  <w:r>
                    <w:rPr>
                      <w:rFonts w:hint="eastAsia" w:ascii="Times New Roman" w:hAnsi="Times New Roman" w:eastAsia="宋体" w:cs="Times New Roman"/>
                      <w:color w:val="auto"/>
                      <w:kern w:val="2"/>
                      <w:sz w:val="21"/>
                      <w:szCs w:val="21"/>
                      <w:highlight w:val="none"/>
                      <w:lang w:val="en" w:eastAsia="zh-CN" w:bidi="ar-SA"/>
                    </w:rPr>
                    <w:t>不属于“退城进园”项目。</w:t>
                  </w:r>
                </w:p>
              </w:tc>
              <w:tc>
                <w:tcPr>
                  <w:tcW w:w="601" w:type="pct"/>
                  <w:noWrap w:val="0"/>
                  <w:vAlign w:val="center"/>
                </w:tcPr>
                <w:p w14:paraId="39BAA044">
                  <w:pPr>
                    <w:pStyle w:val="6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r>
          </w:tbl>
          <w:p w14:paraId="1CBEC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r>
              <w:rPr>
                <w:rFonts w:hint="eastAsia"/>
                <w:color w:val="auto"/>
                <w:sz w:val="24"/>
                <w:szCs w:val="24"/>
                <w:lang w:eastAsia="zh-CN"/>
              </w:rPr>
              <w:t>综上，本项目符合汤阴县新型材料产业园区环境准入条件，符合</w:t>
            </w:r>
            <w:r>
              <w:rPr>
                <w:rFonts w:hint="default" w:ascii="Times New Roman" w:hAnsi="Times New Roman" w:eastAsia="Times New Roman" w:cs="Times New Roman"/>
                <w:color w:val="auto"/>
                <w:sz w:val="24"/>
                <w:szCs w:val="24"/>
                <w:highlight w:val="none"/>
              </w:rPr>
              <w:t>《汤阴县新型材料产业园区总体发展规划（2012-2020）》</w:t>
            </w:r>
            <w:r>
              <w:rPr>
                <w:rFonts w:hint="eastAsia" w:eastAsia="宋体" w:cs="Times New Roman"/>
                <w:color w:val="auto"/>
                <w:sz w:val="24"/>
                <w:szCs w:val="24"/>
                <w:highlight w:val="none"/>
                <w:lang w:eastAsia="zh-CN"/>
              </w:rPr>
              <w:t>及规划环评要求。</w:t>
            </w:r>
          </w:p>
          <w:p w14:paraId="2CCC3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0446D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527A5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30AE6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72E1C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5C307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1B97A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1ECD6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4B89B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48574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3130C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18673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0B0F8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32605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23098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34837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13BF8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361E4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00857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2DD3E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7CDC7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0E2C9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6EF0C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422A2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488E7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6F725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cs="Times New Roman"/>
                <w:color w:val="auto"/>
                <w:sz w:val="24"/>
                <w:szCs w:val="24"/>
                <w:highlight w:val="none"/>
                <w:lang w:eastAsia="zh-CN"/>
              </w:rPr>
            </w:pPr>
          </w:p>
          <w:p w14:paraId="05BFB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s="Times New Roman"/>
                <w:color w:val="auto"/>
                <w:sz w:val="24"/>
                <w:szCs w:val="24"/>
                <w:highlight w:val="none"/>
                <w:lang w:eastAsia="zh-CN"/>
              </w:rPr>
            </w:pPr>
          </w:p>
          <w:p w14:paraId="2AAF6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eastAsia="宋体" w:cs="Times New Roman"/>
                <w:color w:val="auto"/>
                <w:sz w:val="24"/>
                <w:szCs w:val="24"/>
                <w:highlight w:val="none"/>
                <w:lang w:eastAsia="zh-CN"/>
              </w:rPr>
            </w:pPr>
          </w:p>
        </w:tc>
      </w:tr>
      <w:tr w14:paraId="6224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5" w:hRule="atLeast"/>
          <w:jc w:val="center"/>
        </w:trPr>
        <w:tc>
          <w:tcPr>
            <w:tcW w:w="1017" w:type="dxa"/>
            <w:noWrap w:val="0"/>
            <w:vAlign w:val="center"/>
          </w:tcPr>
          <w:p w14:paraId="1E8D805E">
            <w:pPr>
              <w:keepNext w:val="0"/>
              <w:keepLines w:val="0"/>
              <w:suppressLineNumbers w:val="0"/>
              <w:autoSpaceDE w:val="0"/>
              <w:autoSpaceDN w:val="0"/>
              <w:adjustRightInd w:val="0"/>
              <w:snapToGrid w:val="0"/>
              <w:spacing w:before="0" w:beforeAutospacing="0" w:after="0" w:afterAutospacing="0" w:line="360" w:lineRule="auto"/>
              <w:ind w:left="0" w:leftChars="0" w:right="0" w:rightChars="0"/>
              <w:rPr>
                <w:rFonts w:hint="default" w:ascii="Times New Roman" w:hAnsi="Times New Roman" w:eastAsia="Times New Roman" w:cs="Times New Roman"/>
                <w:color w:val="auto"/>
                <w:sz w:val="21"/>
                <w:szCs w:val="21"/>
                <w:highlight w:val="none"/>
              </w:rPr>
            </w:pPr>
            <w:r>
              <w:rPr>
                <w:rFonts w:hint="eastAsia" w:asciiTheme="majorEastAsia" w:hAnsiTheme="majorEastAsia" w:eastAsiaTheme="majorEastAsia" w:cstheme="majorEastAsia"/>
                <w:color w:val="auto"/>
                <w:kern w:val="0"/>
                <w:sz w:val="24"/>
                <w:szCs w:val="24"/>
                <w:highlight w:val="none"/>
              </w:rPr>
              <w:t>其他符合性分析</w:t>
            </w:r>
          </w:p>
        </w:tc>
        <w:tc>
          <w:tcPr>
            <w:tcW w:w="8054" w:type="dxa"/>
            <w:gridSpan w:val="4"/>
            <w:noWrap w:val="0"/>
            <w:vAlign w:val="center"/>
          </w:tcPr>
          <w:p w14:paraId="798DA1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snapToGrid w:val="0"/>
                <w:color w:val="auto"/>
                <w:kern w:val="0"/>
                <w:sz w:val="24"/>
                <w:szCs w:val="24"/>
                <w:highlight w:val="none"/>
              </w:rPr>
            </w:pPr>
            <w:r>
              <w:rPr>
                <w:rFonts w:hint="eastAsia" w:ascii="Times New Roman" w:hAnsi="Times New Roman" w:eastAsia="Times New Roman" w:cs="Times New Roman"/>
                <w:b/>
                <w:snapToGrid w:val="0"/>
                <w:color w:val="auto"/>
                <w:kern w:val="0"/>
                <w:sz w:val="24"/>
                <w:szCs w:val="24"/>
                <w:highlight w:val="none"/>
                <w:lang w:val="en-US" w:eastAsia="zh-CN"/>
              </w:rPr>
              <w:t>1.</w:t>
            </w:r>
            <w:r>
              <w:rPr>
                <w:rFonts w:hint="default" w:ascii="Times New Roman" w:hAnsi="Times New Roman" w:eastAsia="Times New Roman" w:cs="Times New Roman"/>
                <w:b/>
                <w:snapToGrid w:val="0"/>
                <w:color w:val="auto"/>
                <w:kern w:val="0"/>
                <w:sz w:val="24"/>
                <w:szCs w:val="24"/>
                <w:highlight w:val="none"/>
              </w:rPr>
              <w:t>土地</w:t>
            </w:r>
            <w:r>
              <w:rPr>
                <w:rFonts w:hint="default" w:ascii="Times New Roman" w:hAnsi="Times New Roman" w:eastAsia="Times New Roman" w:cs="Times New Roman"/>
                <w:b/>
                <w:snapToGrid w:val="0"/>
                <w:color w:val="auto"/>
                <w:kern w:val="0"/>
                <w:sz w:val="24"/>
                <w:szCs w:val="24"/>
                <w:highlight w:val="none"/>
                <w:lang w:eastAsia="zh-CN"/>
              </w:rPr>
              <w:t>、</w:t>
            </w:r>
            <w:r>
              <w:rPr>
                <w:rFonts w:hint="default" w:ascii="Times New Roman" w:hAnsi="Times New Roman" w:eastAsia="Times New Roman" w:cs="Times New Roman"/>
                <w:b/>
                <w:snapToGrid w:val="0"/>
                <w:color w:val="auto"/>
                <w:kern w:val="0"/>
                <w:sz w:val="24"/>
                <w:szCs w:val="24"/>
                <w:highlight w:val="none"/>
                <w:lang w:val="en-US" w:eastAsia="zh-CN"/>
              </w:rPr>
              <w:t>规划</w:t>
            </w:r>
            <w:r>
              <w:rPr>
                <w:rFonts w:hint="default" w:ascii="Times New Roman" w:hAnsi="Times New Roman" w:eastAsia="Times New Roman" w:cs="Times New Roman"/>
                <w:b/>
                <w:snapToGrid w:val="0"/>
                <w:color w:val="auto"/>
                <w:kern w:val="0"/>
                <w:sz w:val="24"/>
                <w:szCs w:val="24"/>
                <w:highlight w:val="none"/>
              </w:rPr>
              <w:t>手续</w:t>
            </w:r>
          </w:p>
          <w:p w14:paraId="2790451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yellow"/>
              </w:rPr>
            </w:pPr>
            <w:r>
              <w:rPr>
                <w:rFonts w:hint="eastAsia" w:eastAsia="Times New Roman" w:cs="Times New Roman"/>
                <w:color w:val="auto"/>
                <w:sz w:val="24"/>
                <w:szCs w:val="24"/>
                <w:highlight w:val="none"/>
                <w:lang w:val="en-US" w:eastAsia="zh-CN"/>
              </w:rPr>
              <w:t>本项目</w:t>
            </w:r>
            <w:r>
              <w:rPr>
                <w:rFonts w:hint="default" w:ascii="Times New Roman" w:hAnsi="Times New Roman" w:eastAsia="Times New Roman" w:cs="Times New Roman"/>
                <w:color w:val="auto"/>
                <w:sz w:val="24"/>
                <w:szCs w:val="24"/>
                <w:highlight w:val="none"/>
                <w:lang w:val="en-US" w:eastAsia="zh-CN"/>
              </w:rPr>
              <w:t>位于</w:t>
            </w:r>
            <w:r>
              <w:rPr>
                <w:rFonts w:hint="eastAsia" w:eastAsia="Times New Roman" w:cs="Times New Roman"/>
                <w:color w:val="auto"/>
                <w:sz w:val="24"/>
                <w:szCs w:val="24"/>
                <w:highlight w:val="none"/>
                <w:lang w:val="en-US" w:eastAsia="zh-CN"/>
              </w:rPr>
              <w:t>安阳市汤阴县古贤镇中西路、工业三路与工业四路交叉口西北角9号，</w:t>
            </w:r>
            <w:r>
              <w:rPr>
                <w:rFonts w:hint="default" w:ascii="Times New Roman" w:hAnsi="Times New Roman" w:eastAsia="Times New Roman" w:cs="Times New Roman"/>
                <w:color w:val="auto"/>
                <w:sz w:val="24"/>
                <w:szCs w:val="24"/>
                <w:highlight w:val="none"/>
              </w:rPr>
              <w:t>项目租赁</w:t>
            </w:r>
            <w:r>
              <w:rPr>
                <w:rFonts w:hint="eastAsia" w:eastAsia="宋体" w:cs="Times New Roman"/>
                <w:color w:val="auto"/>
                <w:sz w:val="24"/>
                <w:szCs w:val="24"/>
                <w:highlight w:val="none"/>
                <w:lang w:eastAsia="zh-CN"/>
              </w:rPr>
              <w:t>安阳市金石园区运营管理有限公司现有厂房</w:t>
            </w:r>
            <w:r>
              <w:rPr>
                <w:rFonts w:hint="default" w:ascii="Times New Roman" w:hAnsi="Times New Roman" w:eastAsia="Times New Roman" w:cs="Times New Roman"/>
                <w:color w:val="auto"/>
                <w:sz w:val="24"/>
                <w:szCs w:val="24"/>
                <w:highlight w:val="none"/>
              </w:rPr>
              <w:t>，</w:t>
            </w:r>
            <w:r>
              <w:rPr>
                <w:rFonts w:hint="eastAsia" w:eastAsia="Times New Roman" w:cs="Times New Roman"/>
                <w:color w:val="auto"/>
                <w:sz w:val="24"/>
                <w:szCs w:val="24"/>
                <w:highlight w:val="none"/>
                <w:lang w:eastAsia="zh-CN"/>
              </w:rPr>
              <w:t>根据项目土地证、汤阴县新型材料产业园区总体发展规划，项目</w:t>
            </w:r>
            <w:r>
              <w:rPr>
                <w:rFonts w:hint="eastAsia" w:cs="Times New Roman"/>
                <w:color w:val="auto"/>
                <w:sz w:val="24"/>
                <w:szCs w:val="24"/>
                <w:highlight w:val="none"/>
                <w:lang w:eastAsia="zh-CN"/>
              </w:rPr>
              <w:t>用地类型是工业用地，符合园区用地规划</w:t>
            </w:r>
            <w:r>
              <w:rPr>
                <w:rFonts w:hint="default" w:ascii="Times New Roman" w:hAnsi="Times New Roman" w:eastAsia="Times New Roman" w:cs="Times New Roman"/>
                <w:color w:val="auto"/>
                <w:sz w:val="24"/>
                <w:szCs w:val="24"/>
                <w:highlight w:val="none"/>
              </w:rPr>
              <w:t>。</w:t>
            </w:r>
          </w:p>
          <w:p w14:paraId="54C6FB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建设项目与所在地“三线一单”相符性分析</w:t>
            </w:r>
          </w:p>
          <w:p w14:paraId="33F4D38D">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kern w:val="2"/>
                <w:sz w:val="24"/>
                <w:szCs w:val="24"/>
                <w:u w:val="none"/>
              </w:rPr>
            </w:pPr>
            <w:r>
              <w:rPr>
                <w:rFonts w:hint="eastAsia" w:ascii="宋体" w:hAnsi="宋体" w:eastAsia="宋体" w:cs="宋体"/>
                <w:bCs/>
                <w:color w:val="auto"/>
                <w:kern w:val="2"/>
                <w:sz w:val="24"/>
                <w:szCs w:val="24"/>
                <w:u w:val="none"/>
                <w:lang w:val="en-US" w:eastAsia="zh-CN" w:bidi="ar"/>
              </w:rPr>
              <w:t>河南省人民政府于</w:t>
            </w:r>
            <w:r>
              <w:rPr>
                <w:rFonts w:hint="default" w:ascii="Times New Roman" w:hAnsi="Times New Roman" w:eastAsia="宋体" w:cs="Times New Roman"/>
                <w:bCs/>
                <w:color w:val="auto"/>
                <w:kern w:val="2"/>
                <w:sz w:val="24"/>
                <w:szCs w:val="24"/>
                <w:u w:val="none"/>
                <w:lang w:val="en-US" w:eastAsia="zh-CN" w:bidi="ar"/>
              </w:rPr>
              <w:t>2020</w:t>
            </w:r>
            <w:r>
              <w:rPr>
                <w:rFonts w:hint="eastAsia" w:ascii="宋体" w:hAnsi="宋体" w:eastAsia="宋体" w:cs="宋体"/>
                <w:bCs/>
                <w:color w:val="auto"/>
                <w:kern w:val="2"/>
                <w:sz w:val="24"/>
                <w:szCs w:val="24"/>
                <w:u w:val="none"/>
                <w:lang w:val="en-US" w:eastAsia="zh-CN" w:bidi="ar"/>
              </w:rPr>
              <w:t>年</w:t>
            </w:r>
            <w:r>
              <w:rPr>
                <w:rFonts w:hint="default" w:ascii="Times New Roman" w:hAnsi="Times New Roman" w:eastAsia="宋体" w:cs="Times New Roman"/>
                <w:bCs/>
                <w:color w:val="auto"/>
                <w:kern w:val="2"/>
                <w:sz w:val="24"/>
                <w:szCs w:val="24"/>
                <w:u w:val="none"/>
                <w:lang w:val="en-US" w:eastAsia="zh-CN" w:bidi="ar"/>
              </w:rPr>
              <w:t>12</w:t>
            </w:r>
            <w:r>
              <w:rPr>
                <w:rFonts w:hint="eastAsia" w:ascii="宋体" w:hAnsi="宋体" w:eastAsia="宋体" w:cs="宋体"/>
                <w:bCs/>
                <w:color w:val="auto"/>
                <w:kern w:val="2"/>
                <w:sz w:val="24"/>
                <w:szCs w:val="24"/>
                <w:u w:val="none"/>
                <w:lang w:val="en-US" w:eastAsia="zh-CN" w:bidi="ar"/>
              </w:rPr>
              <w:t>月发布了《河南省人民政府关于实施“三线一单”生态环境分区管控的意见》（豫政〔</w:t>
            </w:r>
            <w:r>
              <w:rPr>
                <w:rFonts w:hint="default" w:ascii="Times New Roman" w:hAnsi="Times New Roman" w:eastAsia="宋体" w:cs="Times New Roman"/>
                <w:bCs/>
                <w:color w:val="auto"/>
                <w:kern w:val="2"/>
                <w:sz w:val="24"/>
                <w:szCs w:val="24"/>
                <w:u w:val="none"/>
                <w:lang w:val="en-US" w:eastAsia="zh-CN" w:bidi="ar"/>
              </w:rPr>
              <w:t>2020</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37</w:t>
            </w:r>
            <w:r>
              <w:rPr>
                <w:rFonts w:hint="eastAsia" w:ascii="宋体" w:hAnsi="宋体" w:eastAsia="宋体" w:cs="宋体"/>
                <w:bCs/>
                <w:color w:val="auto"/>
                <w:kern w:val="2"/>
                <w:sz w:val="24"/>
                <w:szCs w:val="24"/>
                <w:u w:val="none"/>
                <w:lang w:val="en-US" w:eastAsia="zh-CN" w:bidi="ar"/>
              </w:rPr>
              <w:t>号），按照生态保护红线、环境质量底线、资源利用上线等相关要求，划定全省优先保护单元、重点管控单元和一般管控单元三类生态环境管控单元，并实施分类管控。</w:t>
            </w:r>
          </w:p>
          <w:p w14:paraId="1CF623E2">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kern w:val="2"/>
                <w:sz w:val="24"/>
                <w:szCs w:val="24"/>
                <w:u w:val="none"/>
              </w:rPr>
            </w:pPr>
            <w:r>
              <w:rPr>
                <w:rFonts w:hint="eastAsia" w:ascii="宋体" w:hAnsi="宋体" w:eastAsia="宋体" w:cs="宋体"/>
                <w:bCs/>
                <w:color w:val="auto"/>
                <w:kern w:val="2"/>
                <w:sz w:val="24"/>
                <w:szCs w:val="24"/>
                <w:u w:val="none"/>
                <w:lang w:val="en-US" w:eastAsia="zh-CN" w:bidi="ar"/>
              </w:rPr>
              <w:t>为落实（豫政〔</w:t>
            </w:r>
            <w:r>
              <w:rPr>
                <w:rFonts w:hint="default" w:ascii="Times New Roman" w:hAnsi="Times New Roman" w:eastAsia="宋体" w:cs="Times New Roman"/>
                <w:bCs/>
                <w:color w:val="auto"/>
                <w:kern w:val="2"/>
                <w:sz w:val="24"/>
                <w:szCs w:val="24"/>
                <w:u w:val="none"/>
                <w:lang w:val="en-US" w:eastAsia="zh-CN" w:bidi="ar"/>
              </w:rPr>
              <w:t>2020</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37</w:t>
            </w:r>
            <w:r>
              <w:rPr>
                <w:rFonts w:hint="eastAsia" w:ascii="宋体" w:hAnsi="宋体" w:eastAsia="宋体" w:cs="宋体"/>
                <w:bCs/>
                <w:color w:val="auto"/>
                <w:kern w:val="2"/>
                <w:sz w:val="24"/>
                <w:szCs w:val="24"/>
                <w:u w:val="none"/>
                <w:lang w:val="en-US" w:eastAsia="zh-CN" w:bidi="ar"/>
              </w:rPr>
              <w:t>号），推进生态环境分区管控体系落地，河南省生态环境厅于</w:t>
            </w:r>
            <w:r>
              <w:rPr>
                <w:rFonts w:hint="default" w:ascii="Times New Roman" w:hAnsi="Times New Roman" w:eastAsia="宋体" w:cs="Times New Roman"/>
                <w:bCs/>
                <w:color w:val="auto"/>
                <w:kern w:val="2"/>
                <w:sz w:val="24"/>
                <w:szCs w:val="24"/>
                <w:u w:val="none"/>
                <w:lang w:val="en-US" w:eastAsia="zh-CN" w:bidi="ar"/>
              </w:rPr>
              <w:t>2021</w:t>
            </w:r>
            <w:r>
              <w:rPr>
                <w:rFonts w:hint="eastAsia" w:ascii="宋体" w:hAnsi="宋体" w:eastAsia="宋体" w:cs="宋体"/>
                <w:bCs/>
                <w:color w:val="auto"/>
                <w:kern w:val="2"/>
                <w:sz w:val="24"/>
                <w:szCs w:val="24"/>
                <w:u w:val="none"/>
                <w:lang w:val="en-US" w:eastAsia="zh-CN" w:bidi="ar"/>
              </w:rPr>
              <w:t>年</w:t>
            </w:r>
            <w:r>
              <w:rPr>
                <w:rFonts w:hint="default" w:ascii="Times New Roman" w:hAnsi="Times New Roman" w:eastAsia="宋体" w:cs="Times New Roman"/>
                <w:bCs/>
                <w:color w:val="auto"/>
                <w:kern w:val="2"/>
                <w:sz w:val="24"/>
                <w:szCs w:val="24"/>
                <w:u w:val="none"/>
                <w:lang w:val="en-US" w:eastAsia="zh-CN" w:bidi="ar"/>
              </w:rPr>
              <w:t>11</w:t>
            </w:r>
            <w:r>
              <w:rPr>
                <w:rFonts w:hint="eastAsia" w:ascii="宋体" w:hAnsi="宋体" w:eastAsia="宋体" w:cs="宋体"/>
                <w:bCs/>
                <w:color w:val="auto"/>
                <w:kern w:val="2"/>
                <w:sz w:val="24"/>
                <w:szCs w:val="24"/>
                <w:u w:val="none"/>
                <w:lang w:val="en-US" w:eastAsia="zh-CN" w:bidi="ar"/>
              </w:rPr>
              <w:t>月发布了《河南省生态环境分区管控总体要求（试行）（豫环函〔</w:t>
            </w:r>
            <w:r>
              <w:rPr>
                <w:rFonts w:hint="default" w:ascii="Times New Roman" w:hAnsi="Times New Roman" w:eastAsia="宋体" w:cs="Times New Roman"/>
                <w:bCs/>
                <w:color w:val="auto"/>
                <w:kern w:val="2"/>
                <w:sz w:val="24"/>
                <w:szCs w:val="24"/>
                <w:u w:val="none"/>
                <w:lang w:val="en-US" w:eastAsia="zh-CN" w:bidi="ar"/>
              </w:rPr>
              <w:t>2021</w:t>
            </w:r>
            <w:r>
              <w:rPr>
                <w:rFonts w:hint="eastAsia" w:ascii="宋体" w:hAnsi="宋体" w:eastAsia="宋体" w:cs="宋体"/>
                <w:bCs/>
                <w:color w:val="auto"/>
                <w:kern w:val="2"/>
                <w:sz w:val="24"/>
                <w:szCs w:val="24"/>
                <w:u w:val="none"/>
                <w:lang w:val="en-US" w:eastAsia="zh-CN" w:bidi="ar"/>
              </w:rPr>
              <w:t>〕</w:t>
            </w:r>
            <w:r>
              <w:rPr>
                <w:rFonts w:hint="default" w:ascii="Times New Roman" w:hAnsi="Times New Roman" w:eastAsia="宋体" w:cs="Times New Roman"/>
                <w:bCs/>
                <w:color w:val="auto"/>
                <w:kern w:val="2"/>
                <w:sz w:val="24"/>
                <w:szCs w:val="24"/>
                <w:u w:val="none"/>
                <w:lang w:val="en-US" w:eastAsia="zh-CN" w:bidi="ar"/>
              </w:rPr>
              <w:t>171</w:t>
            </w:r>
            <w:r>
              <w:rPr>
                <w:rFonts w:hint="eastAsia" w:ascii="宋体" w:hAnsi="宋体" w:eastAsia="宋体" w:cs="宋体"/>
                <w:bCs/>
                <w:color w:val="auto"/>
                <w:kern w:val="2"/>
                <w:sz w:val="24"/>
                <w:szCs w:val="24"/>
                <w:u w:val="none"/>
                <w:lang w:val="en-US" w:eastAsia="zh-CN" w:bidi="ar"/>
              </w:rPr>
              <w:t>号）。</w:t>
            </w:r>
            <w:r>
              <w:rPr>
                <w:rFonts w:hint="default" w:ascii="Times New Roman" w:hAnsi="Times New Roman" w:eastAsia="宋体" w:cs="Times New Roman"/>
                <w:bCs/>
                <w:color w:val="auto"/>
                <w:kern w:val="2"/>
                <w:sz w:val="24"/>
                <w:szCs w:val="24"/>
                <w:u w:val="none"/>
                <w:lang w:val="en-US" w:eastAsia="zh-CN" w:bidi="ar"/>
              </w:rPr>
              <w:t>2024</w:t>
            </w:r>
            <w:r>
              <w:rPr>
                <w:rFonts w:hint="eastAsia" w:ascii="宋体" w:hAnsi="宋体" w:eastAsia="宋体" w:cs="宋体"/>
                <w:bCs/>
                <w:color w:val="auto"/>
                <w:kern w:val="2"/>
                <w:sz w:val="24"/>
                <w:szCs w:val="24"/>
                <w:u w:val="none"/>
                <w:lang w:val="en-US" w:eastAsia="zh-CN" w:bidi="ar"/>
              </w:rPr>
              <w:t>年</w:t>
            </w:r>
            <w:r>
              <w:rPr>
                <w:rFonts w:hint="default" w:ascii="Times New Roman" w:hAnsi="Times New Roman" w:eastAsia="宋体" w:cs="Times New Roman"/>
                <w:bCs/>
                <w:color w:val="auto"/>
                <w:kern w:val="2"/>
                <w:sz w:val="24"/>
                <w:szCs w:val="24"/>
                <w:u w:val="none"/>
                <w:lang w:val="en-US" w:eastAsia="zh-CN" w:bidi="ar"/>
              </w:rPr>
              <w:t>2</w:t>
            </w:r>
            <w:r>
              <w:rPr>
                <w:rFonts w:hint="eastAsia" w:ascii="宋体" w:hAnsi="宋体" w:eastAsia="宋体" w:cs="宋体"/>
                <w:bCs/>
                <w:color w:val="auto"/>
                <w:kern w:val="2"/>
                <w:sz w:val="24"/>
                <w:szCs w:val="24"/>
                <w:u w:val="none"/>
                <w:lang w:val="en-US" w:eastAsia="zh-CN" w:bidi="ar"/>
              </w:rPr>
              <w:t>月</w:t>
            </w:r>
            <w:r>
              <w:rPr>
                <w:rFonts w:hint="default" w:ascii="Times New Roman" w:hAnsi="Times New Roman" w:eastAsia="宋体" w:cs="Times New Roman"/>
                <w:bCs/>
                <w:color w:val="auto"/>
                <w:kern w:val="2"/>
                <w:sz w:val="24"/>
                <w:szCs w:val="24"/>
                <w:u w:val="none"/>
                <w:lang w:val="en-US" w:eastAsia="zh-CN" w:bidi="ar"/>
              </w:rPr>
              <w:t>1</w:t>
            </w:r>
            <w:r>
              <w:rPr>
                <w:rFonts w:hint="eastAsia" w:ascii="宋体" w:hAnsi="宋体" w:eastAsia="宋体" w:cs="宋体"/>
                <w:bCs/>
                <w:color w:val="auto"/>
                <w:kern w:val="2"/>
                <w:sz w:val="24"/>
                <w:szCs w:val="24"/>
                <w:u w:val="none"/>
                <w:lang w:val="en-US" w:eastAsia="zh-CN" w:bidi="ar"/>
              </w:rPr>
              <w:t>日，河南省生态环境厅发布《关于公布河南省“三线一单”生态环境分区管控更新成果（</w:t>
            </w:r>
            <w:r>
              <w:rPr>
                <w:rFonts w:hint="default" w:ascii="Times New Roman" w:hAnsi="Times New Roman" w:eastAsia="宋体" w:cs="Times New Roman"/>
                <w:bCs/>
                <w:color w:val="auto"/>
                <w:kern w:val="2"/>
                <w:sz w:val="24"/>
                <w:szCs w:val="24"/>
                <w:u w:val="none"/>
                <w:lang w:val="en-US" w:eastAsia="zh-CN" w:bidi="ar"/>
              </w:rPr>
              <w:t>2023</w:t>
            </w:r>
            <w:r>
              <w:rPr>
                <w:rFonts w:hint="eastAsia" w:ascii="宋体" w:hAnsi="宋体" w:eastAsia="宋体" w:cs="宋体"/>
                <w:bCs/>
                <w:color w:val="auto"/>
                <w:kern w:val="2"/>
                <w:sz w:val="24"/>
                <w:szCs w:val="24"/>
                <w:u w:val="none"/>
                <w:lang w:val="en-US" w:eastAsia="zh-CN" w:bidi="ar"/>
              </w:rPr>
              <w:t>年版）的通知》，更新了《河南省生态环境分区管控总体要求（</w:t>
            </w:r>
            <w:r>
              <w:rPr>
                <w:rFonts w:hint="default" w:ascii="Times New Roman" w:hAnsi="Times New Roman" w:eastAsia="宋体" w:cs="Times New Roman"/>
                <w:bCs/>
                <w:color w:val="auto"/>
                <w:kern w:val="2"/>
                <w:sz w:val="24"/>
                <w:szCs w:val="24"/>
                <w:u w:val="none"/>
                <w:lang w:val="en-US" w:eastAsia="zh-CN" w:bidi="ar"/>
              </w:rPr>
              <w:t>2023</w:t>
            </w:r>
            <w:r>
              <w:rPr>
                <w:rFonts w:hint="eastAsia" w:ascii="宋体" w:hAnsi="宋体" w:eastAsia="宋体" w:cs="宋体"/>
                <w:bCs/>
                <w:color w:val="auto"/>
                <w:kern w:val="2"/>
                <w:sz w:val="24"/>
                <w:szCs w:val="24"/>
                <w:u w:val="none"/>
                <w:lang w:val="en-US" w:eastAsia="zh-CN" w:bidi="ar"/>
              </w:rPr>
              <w:t>年版）》（征求意见稿）本项目与其相关要求相符性分析如下：</w:t>
            </w:r>
          </w:p>
          <w:p w14:paraId="578D4D0F">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iCs/>
                <w:color w:val="auto"/>
                <w:kern w:val="2"/>
                <w:sz w:val="24"/>
                <w:szCs w:val="24"/>
              </w:rPr>
            </w:pPr>
            <w:r>
              <w:rPr>
                <w:rFonts w:hint="eastAsia" w:ascii="宋体" w:hAnsi="宋体" w:eastAsia="宋体" w:cs="宋体"/>
                <w:b/>
                <w:bCs w:val="0"/>
                <w:iCs/>
                <w:color w:val="auto"/>
                <w:kern w:val="2"/>
                <w:sz w:val="24"/>
                <w:szCs w:val="24"/>
                <w:lang w:val="en-US" w:eastAsia="zh-CN" w:bidi="ar"/>
              </w:rPr>
              <w:t>项目与全省生态环境总体准入要求相符性分析</w:t>
            </w:r>
          </w:p>
          <w:tbl>
            <w:tblPr>
              <w:tblStyle w:val="26"/>
              <w:tblW w:w="4996"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638"/>
              <w:gridCol w:w="3986"/>
              <w:gridCol w:w="1752"/>
              <w:gridCol w:w="587"/>
            </w:tblGrid>
            <w:tr w14:paraId="711A18F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op w:val="single" w:color="auto" w:sz="12" w:space="0"/>
                    <w:left w:val="nil"/>
                    <w:bottom w:val="single" w:color="auto" w:sz="4" w:space="0"/>
                    <w:right w:val="single" w:color="auto" w:sz="4" w:space="0"/>
                  </w:tcBorders>
                  <w:noWrap w:val="0"/>
                  <w:tcMar>
                    <w:left w:w="51" w:type="dxa"/>
                    <w:right w:w="51" w:type="dxa"/>
                  </w:tcMar>
                  <w:vAlign w:val="center"/>
                </w:tcPr>
                <w:p w14:paraId="428E2585">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环境管控单元分区</w:t>
                  </w:r>
                </w:p>
              </w:tc>
              <w:tc>
                <w:tcPr>
                  <w:tcW w:w="643" w:type="dxa"/>
                  <w:tcBorders>
                    <w:top w:val="single" w:color="auto" w:sz="12" w:space="0"/>
                    <w:left w:val="single" w:color="auto" w:sz="4" w:space="0"/>
                    <w:bottom w:val="single" w:color="auto" w:sz="4" w:space="0"/>
                    <w:right w:val="single" w:color="auto" w:sz="4" w:space="0"/>
                  </w:tcBorders>
                  <w:noWrap w:val="0"/>
                  <w:tcMar>
                    <w:left w:w="51" w:type="dxa"/>
                    <w:right w:w="51" w:type="dxa"/>
                  </w:tcMar>
                  <w:vAlign w:val="center"/>
                </w:tcPr>
                <w:p w14:paraId="5C8A2E37">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管控类别</w:t>
                  </w:r>
                </w:p>
              </w:tc>
              <w:tc>
                <w:tcPr>
                  <w:tcW w:w="4036" w:type="dxa"/>
                  <w:tcBorders>
                    <w:top w:val="single" w:color="auto" w:sz="12" w:space="0"/>
                    <w:left w:val="single" w:color="auto" w:sz="4" w:space="0"/>
                    <w:bottom w:val="single" w:color="auto" w:sz="4" w:space="0"/>
                    <w:right w:val="single" w:color="auto" w:sz="4" w:space="0"/>
                  </w:tcBorders>
                  <w:noWrap w:val="0"/>
                  <w:tcMar>
                    <w:left w:w="51" w:type="dxa"/>
                    <w:right w:w="51" w:type="dxa"/>
                  </w:tcMar>
                  <w:vAlign w:val="center"/>
                </w:tcPr>
                <w:p w14:paraId="1EC7DFF6">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准入要求</w:t>
                  </w:r>
                </w:p>
              </w:tc>
              <w:tc>
                <w:tcPr>
                  <w:tcW w:w="1768" w:type="dxa"/>
                  <w:tcBorders>
                    <w:top w:val="single" w:color="auto" w:sz="12" w:space="0"/>
                    <w:left w:val="single" w:color="auto" w:sz="4" w:space="0"/>
                    <w:bottom w:val="single" w:color="auto" w:sz="4" w:space="0"/>
                    <w:right w:val="single" w:color="auto" w:sz="4" w:space="0"/>
                  </w:tcBorders>
                  <w:noWrap w:val="0"/>
                  <w:tcMar>
                    <w:left w:w="51" w:type="dxa"/>
                    <w:right w:w="51" w:type="dxa"/>
                  </w:tcMar>
                  <w:vAlign w:val="center"/>
                </w:tcPr>
                <w:p w14:paraId="4449BE2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highlight w:val="yellow"/>
                    </w:rPr>
                  </w:pPr>
                  <w:r>
                    <w:rPr>
                      <w:rFonts w:hint="eastAsia" w:ascii="宋体" w:hAnsi="宋体" w:eastAsia="宋体" w:cs="宋体"/>
                      <w:b/>
                      <w:bCs/>
                      <w:color w:val="auto"/>
                      <w:kern w:val="2"/>
                      <w:sz w:val="21"/>
                      <w:szCs w:val="21"/>
                      <w:highlight w:val="none"/>
                      <w:lang w:val="en-US" w:eastAsia="zh-CN" w:bidi="ar"/>
                    </w:rPr>
                    <w:t>项目情况</w:t>
                  </w:r>
                </w:p>
              </w:tc>
              <w:tc>
                <w:tcPr>
                  <w:tcW w:w="591" w:type="dxa"/>
                  <w:tcBorders>
                    <w:top w:val="single" w:color="auto" w:sz="12" w:space="0"/>
                    <w:left w:val="single" w:color="auto" w:sz="4" w:space="0"/>
                    <w:bottom w:val="single" w:color="auto" w:sz="4" w:space="0"/>
                    <w:right w:val="nil"/>
                  </w:tcBorders>
                  <w:noWrap w:val="0"/>
                  <w:tcMar>
                    <w:left w:w="51" w:type="dxa"/>
                    <w:right w:w="51" w:type="dxa"/>
                  </w:tcMar>
                  <w:vAlign w:val="center"/>
                </w:tcPr>
                <w:p w14:paraId="5AAADBAD">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符合性</w:t>
                  </w:r>
                </w:p>
              </w:tc>
            </w:tr>
            <w:tr w14:paraId="60F4250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tcBorders>
                    <w:top w:val="single" w:color="auto" w:sz="4" w:space="0"/>
                    <w:left w:val="nil"/>
                    <w:bottom w:val="single" w:color="auto" w:sz="4" w:space="0"/>
                    <w:right w:val="single" w:color="auto" w:sz="4" w:space="0"/>
                  </w:tcBorders>
                  <w:noWrap w:val="0"/>
                  <w:tcMar>
                    <w:left w:w="51" w:type="dxa"/>
                    <w:right w:w="51" w:type="dxa"/>
                  </w:tcMar>
                  <w:vAlign w:val="center"/>
                </w:tcPr>
                <w:p w14:paraId="71C48E4B">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重点管控单元</w:t>
                  </w:r>
                </w:p>
              </w:tc>
              <w:tc>
                <w:tcPr>
                  <w:tcW w:w="643"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4DBFDC1">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空间约束</w:t>
                  </w:r>
                </w:p>
              </w:tc>
              <w:tc>
                <w:tcPr>
                  <w:tcW w:w="4036"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076E2A84">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鼓励钢铁冶炼项目依托现有生产基地集聚发展，鼓励新建焦化项目与钢铁、化工产业融合，促进区域减污降碳协同发展。</w:t>
                  </w:r>
                </w:p>
                <w:p w14:paraId="332B1CAB">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鼓励再生铝企业靠近废铝资源聚集地区布局。</w:t>
                  </w:r>
                </w:p>
                <w:p w14:paraId="5980BBD8">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根据国家产业政策、区域定位及环境特征等，建立差别化的产业准入要求，鼓励建设符合规划环评的项目。</w:t>
                  </w:r>
                </w:p>
                <w:p w14:paraId="497BFB95">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强化环境准入约束，坚决遏制</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两高</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项目盲目发展，严把准入关口，对不符合规定的项目坚决停批停建。</w:t>
                  </w:r>
                </w:p>
                <w:p w14:paraId="44BE4AA1">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加快城市建成区内重污染企业就地改造、退城入园、转型转产或关闭退出。</w:t>
                  </w:r>
                </w:p>
                <w:p w14:paraId="15931687">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新建铜铅锌冶炼项目及新建、扩建石化、焦化、现代煤化工项目，应布设在依法合规设立的产业园区，并符合规划及规划环境影响评价要求。</w:t>
                  </w:r>
                </w:p>
                <w:p w14:paraId="2A58C6B0">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w:t>
                  </w:r>
                  <w:r>
                    <w:rPr>
                      <w:rFonts w:hint="eastAsia" w:ascii="宋体" w:hAnsi="宋体" w:eastAsia="宋体" w:cs="宋体"/>
                      <w:color w:val="auto"/>
                      <w:kern w:val="2"/>
                      <w:sz w:val="21"/>
                      <w:szCs w:val="21"/>
                      <w:lang w:val="en-US" w:eastAsia="zh-CN" w:bidi="ar"/>
                    </w:rPr>
                    <w:t>将土壤环境要求纳入国土空间规划，根据土壤污染状况和风险合理规划土地用途。对列入建设用地土壤污染风险管控和修复名录的地块，不得作为住宅、公共管理与公共服务用地：不得办理土地征收、回购、收购、土地供应以及改变土地用途等手续。</w:t>
                  </w:r>
                </w:p>
                <w:p w14:paraId="3CBADB1E">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b/>
                      <w:bCs w:val="0"/>
                      <w:color w:val="auto"/>
                      <w:kern w:val="2"/>
                      <w:sz w:val="21"/>
                      <w:szCs w:val="21"/>
                    </w:rPr>
                  </w:pPr>
                  <w:r>
                    <w:rPr>
                      <w:rFonts w:hint="default" w:ascii="Times New Roman" w:hAnsi="Times New Roman" w:eastAsia="宋体" w:cs="Times New Roman"/>
                      <w:color w:val="auto"/>
                      <w:kern w:val="2"/>
                      <w:sz w:val="21"/>
                      <w:szCs w:val="21"/>
                      <w:lang w:val="en-US" w:eastAsia="zh-CN" w:bidi="ar"/>
                    </w:rPr>
                    <w:t>8.</w:t>
                  </w:r>
                  <w:r>
                    <w:rPr>
                      <w:rFonts w:hint="eastAsia" w:ascii="宋体" w:hAnsi="宋体" w:eastAsia="宋体" w:cs="宋体"/>
                      <w:color w:val="auto"/>
                      <w:kern w:val="2"/>
                      <w:sz w:val="21"/>
                      <w:szCs w:val="21"/>
                      <w:lang w:val="en-US" w:eastAsia="zh-CN" w:bidi="ar"/>
                    </w:rPr>
                    <w:t>在集中供热管网覆盖地区，禁止新建、扩建分散燃煤供热锅炉。</w:t>
                  </w:r>
                </w:p>
              </w:tc>
              <w:tc>
                <w:tcPr>
                  <w:tcW w:w="1768"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754CE655">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1-2.</w:t>
                  </w:r>
                  <w:r>
                    <w:rPr>
                      <w:rFonts w:hint="eastAsia" w:ascii="宋体" w:hAnsi="宋体" w:eastAsia="宋体" w:cs="宋体"/>
                      <w:bCs/>
                      <w:color w:val="auto"/>
                      <w:kern w:val="2"/>
                      <w:sz w:val="21"/>
                      <w:szCs w:val="21"/>
                      <w:highlight w:val="none"/>
                      <w:lang w:val="en-US" w:eastAsia="zh-CN" w:bidi="ar"/>
                    </w:rPr>
                    <w:t>本项目为橡胶和塑料制品业，不属于钢铁冶炼、焦化项目</w:t>
                  </w:r>
                  <w:r>
                    <w:rPr>
                      <w:rFonts w:hint="eastAsia" w:ascii="宋体" w:hAnsi="宋体" w:eastAsia="宋体" w:cs="宋体"/>
                      <w:color w:val="auto"/>
                      <w:kern w:val="2"/>
                      <w:sz w:val="21"/>
                      <w:szCs w:val="21"/>
                      <w:highlight w:val="none"/>
                      <w:lang w:val="en-US" w:eastAsia="zh-CN" w:bidi="ar"/>
                    </w:rPr>
                    <w:t>。</w:t>
                  </w:r>
                </w:p>
                <w:p w14:paraId="74E8B3B6">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本项目位于安阳市汤阴县古贤镇中西路、工业三路与工业四路交叉口西北角</w:t>
                  </w:r>
                  <w:r>
                    <w:rPr>
                      <w:rFonts w:hint="default" w:ascii="Times New Roman" w:hAnsi="Times New Roman" w:eastAsia="宋体" w:cs="Times New Roman"/>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号，符合汤阴县新型材料园区准入</w:t>
                  </w:r>
                  <w:r>
                    <w:rPr>
                      <w:rFonts w:hint="eastAsia" w:ascii="宋体" w:hAnsi="宋体" w:cs="宋体"/>
                      <w:color w:val="auto"/>
                      <w:kern w:val="2"/>
                      <w:sz w:val="21"/>
                      <w:szCs w:val="21"/>
                      <w:highlight w:val="none"/>
                      <w:lang w:val="en-US" w:eastAsia="zh-CN" w:bidi="ar"/>
                    </w:rPr>
                    <w:t>清单</w:t>
                  </w:r>
                  <w:r>
                    <w:rPr>
                      <w:rFonts w:hint="eastAsia" w:ascii="宋体" w:hAnsi="宋体" w:eastAsia="宋体" w:cs="宋体"/>
                      <w:color w:val="auto"/>
                      <w:kern w:val="2"/>
                      <w:sz w:val="21"/>
                      <w:szCs w:val="21"/>
                      <w:highlight w:val="none"/>
                      <w:lang w:val="en-US" w:eastAsia="zh-CN" w:bidi="ar"/>
                    </w:rPr>
                    <w:t>，不属于禁止入驻项目。</w:t>
                  </w:r>
                </w:p>
                <w:p w14:paraId="0488515A">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宋体" w:hAnsi="宋体"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本项目不属于“两高”项目。</w:t>
                  </w:r>
                </w:p>
                <w:p w14:paraId="1B97C05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宋体" w:hAnsi="宋体"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本项目位于安阳市汤阴县古贤镇中西路、工业三路与工业四路交叉口西北角</w:t>
                  </w:r>
                  <w:r>
                    <w:rPr>
                      <w:rFonts w:hint="default" w:ascii="Times New Roman" w:hAnsi="Times New Roman" w:eastAsia="宋体" w:cs="Times New Roman"/>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号，属于汤阴县新型材料产业园区。</w:t>
                  </w:r>
                </w:p>
                <w:p w14:paraId="16F1D0C5">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本项目不涉及前述行业。</w:t>
                  </w:r>
                </w:p>
                <w:p w14:paraId="7F8E6500">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不涉及。</w:t>
                  </w:r>
                </w:p>
                <w:p w14:paraId="59AB22D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本项目不涉及新建、扩建分散燃煤供热锅炉。</w:t>
                  </w:r>
                </w:p>
              </w:tc>
              <w:tc>
                <w:tcPr>
                  <w:tcW w:w="591" w:type="dxa"/>
                  <w:tcBorders>
                    <w:top w:val="single" w:color="auto" w:sz="4" w:space="0"/>
                    <w:left w:val="single" w:color="auto" w:sz="4" w:space="0"/>
                    <w:bottom w:val="single" w:color="auto" w:sz="4" w:space="0"/>
                    <w:right w:val="nil"/>
                  </w:tcBorders>
                  <w:noWrap w:val="0"/>
                  <w:tcMar>
                    <w:left w:w="51" w:type="dxa"/>
                    <w:right w:w="51" w:type="dxa"/>
                  </w:tcMar>
                  <w:vAlign w:val="center"/>
                </w:tcPr>
                <w:p w14:paraId="1889C940">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color w:val="auto"/>
                      <w:kern w:val="2"/>
                      <w:sz w:val="21"/>
                      <w:szCs w:val="21"/>
                    </w:rPr>
                  </w:pPr>
                  <w:r>
                    <w:rPr>
                      <w:rFonts w:hint="eastAsia" w:ascii="宋体" w:hAnsi="宋体" w:eastAsia="宋体" w:cs="宋体"/>
                      <w:bCs/>
                      <w:color w:val="auto"/>
                      <w:kern w:val="2"/>
                      <w:sz w:val="21"/>
                      <w:szCs w:val="21"/>
                      <w:lang w:val="en-US" w:eastAsia="zh-CN" w:bidi="ar"/>
                    </w:rPr>
                    <w:t>符合</w:t>
                  </w:r>
                </w:p>
              </w:tc>
            </w:tr>
            <w:tr w14:paraId="4BEBEF6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op w:val="single" w:color="auto" w:sz="4" w:space="0"/>
                    <w:left w:val="nil"/>
                    <w:bottom w:val="single" w:color="auto" w:sz="4" w:space="0"/>
                    <w:right w:val="single" w:color="auto" w:sz="4" w:space="0"/>
                  </w:tcBorders>
                  <w:noWrap w:val="0"/>
                  <w:tcMar>
                    <w:left w:w="51" w:type="dxa"/>
                    <w:right w:w="51" w:type="dxa"/>
                  </w:tcMar>
                  <w:vAlign w:val="center"/>
                </w:tcPr>
                <w:p w14:paraId="42E9A9E6">
                  <w:pPr>
                    <w:keepNext w:val="0"/>
                    <w:keepLines w:val="0"/>
                    <w:pageBreakBefore w:val="0"/>
                    <w:widowControl w:val="0"/>
                    <w:suppressLineNumbers w:val="0"/>
                    <w:kinsoku/>
                    <w:wordWrap w:val="0"/>
                    <w:overflowPunct/>
                    <w:topLinePunct w:val="0"/>
                    <w:bidi w:val="0"/>
                    <w:spacing w:before="0" w:beforeAutospacing="0" w:after="0" w:afterAutospacing="0"/>
                    <w:ind w:left="0" w:right="0"/>
                    <w:textAlignment w:val="auto"/>
                    <w:rPr>
                      <w:rFonts w:hint="default" w:ascii="Calibri" w:hAnsi="Calibri" w:eastAsia="宋体" w:cs="Times New Roman"/>
                      <w:color w:val="auto"/>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A1F867E">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污染物排放管控</w:t>
                  </w:r>
                </w:p>
              </w:tc>
              <w:tc>
                <w:tcPr>
                  <w:tcW w:w="4036"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0BEBC27">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严格实施污染物总量控制制度，落实污染物排放限值及控制要求，根据区域环境质量改善目标，削减污染物排放总量。</w:t>
                  </w:r>
                </w:p>
                <w:p w14:paraId="5125526D">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强化项目环评及</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三同时</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管理，新建、扩建</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两高</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项目应采用先进的工艺技术和装备，单位产品污染物排放强度应达到清洁生产先进水平，国家、省绩效分级重点行业新建、扩建项目达到</w:t>
                  </w:r>
                  <w:r>
                    <w:rPr>
                      <w:rFonts w:hint="default" w:ascii="Times New Roman" w:hAnsi="Times New Roman" w:eastAsia="宋体" w:cs="Times New Roman"/>
                      <w:color w:val="auto"/>
                      <w:kern w:val="2"/>
                      <w:sz w:val="21"/>
                      <w:szCs w:val="21"/>
                      <w:lang w:val="en-US" w:eastAsia="zh-CN" w:bidi="ar"/>
                    </w:rPr>
                    <w:t>A</w:t>
                  </w:r>
                  <w:r>
                    <w:rPr>
                      <w:rFonts w:hint="eastAsia" w:ascii="宋体" w:hAnsi="宋体" w:eastAsia="宋体" w:cs="宋体"/>
                      <w:color w:val="auto"/>
                      <w:kern w:val="2"/>
                      <w:sz w:val="21"/>
                      <w:szCs w:val="21"/>
                      <w:lang w:val="en-US" w:eastAsia="zh-CN" w:bidi="ar"/>
                    </w:rPr>
                    <w:t>级水平，改建项目达到</w:t>
                  </w:r>
                  <w:r>
                    <w:rPr>
                      <w:rFonts w:hint="default" w:ascii="Times New Roman" w:hAnsi="Times New Roman" w:eastAsia="宋体" w:cs="Times New Roman"/>
                      <w:color w:val="auto"/>
                      <w:kern w:val="2"/>
                      <w:sz w:val="21"/>
                      <w:szCs w:val="21"/>
                      <w:lang w:val="en-US" w:eastAsia="zh-CN" w:bidi="ar"/>
                    </w:rPr>
                    <w:t>B</w:t>
                  </w:r>
                  <w:r>
                    <w:rPr>
                      <w:rFonts w:hint="eastAsia" w:ascii="宋体" w:hAnsi="宋体" w:eastAsia="宋体" w:cs="宋体"/>
                      <w:color w:val="auto"/>
                      <w:kern w:val="2"/>
                      <w:sz w:val="21"/>
                      <w:szCs w:val="21"/>
                      <w:lang w:val="en-US" w:eastAsia="zh-CN" w:bidi="ar"/>
                    </w:rPr>
                    <w:t>级以上水平。</w:t>
                  </w:r>
                </w:p>
                <w:p w14:paraId="447FB79D">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以钢铁、焦化、铸造、建材、有色、石化、化工、工业涂装、包装印刷、电镀、制革、石油开采、造纸、纺织印染、农副食品加工等行业为重点，开展全流程清洁化、循环化、低碳化改造；加快推进钢铁、水泥、焦化行业超低排放改造。</w:t>
                  </w:r>
                </w:p>
                <w:p w14:paraId="6D01C98A">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深入推进低挥发性有机物含量原辅材料源头替代，全面推广使用低挥发性有机物含量的涂料、油墨、胶粘剂、清洗剂等新兴原辅材料。</w:t>
                  </w:r>
                </w:p>
                <w:p w14:paraId="4880CFF6">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采矿项目矿井涌水应尽可能回用生产或综合利用，外排矿井涌水应满足受纳水体水功能区划和控制断面水质要求：选厂的生产废水及初期雨水、矿石及废石场的淋溶水、尾矿库澄清水及渗滤水应收集回用，不外排。</w:t>
                  </w:r>
                </w:p>
                <w:p w14:paraId="66AEBBC1">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新建、扩建开发区、工业园区同步规划建设污水收集和集中处理设施，强化工业废水处理设施运行管理，确保稳定达标排放；按照“减量化、稳定化、无害化、资源化”要求，加快城镇污水处理厂污泥处理设施建设，新建污水处理厂必须有明确的污泥处置途径；依法查处取缔非法污泥堆放点，禁止重金属等污染物不达标的污泥进行土地利用。</w:t>
                  </w:r>
                </w:p>
              </w:tc>
              <w:tc>
                <w:tcPr>
                  <w:tcW w:w="1768"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11E8A4B7">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r>
                    <w:rPr>
                      <w:rFonts w:hint="eastAsia" w:ascii="宋体" w:hAnsi="宋体" w:eastAsia="宋体" w:cs="宋体"/>
                      <w:bCs/>
                      <w:color w:val="auto"/>
                      <w:kern w:val="2"/>
                      <w:sz w:val="21"/>
                      <w:szCs w:val="21"/>
                      <w:highlight w:val="none"/>
                      <w:lang w:val="en-US" w:eastAsia="zh-CN" w:bidi="ar"/>
                    </w:rPr>
                    <w:t>本项目</w:t>
                  </w:r>
                  <w:r>
                    <w:rPr>
                      <w:rFonts w:hint="eastAsia" w:ascii="宋体" w:hAnsi="宋体" w:cs="宋体"/>
                      <w:bCs/>
                      <w:color w:val="auto"/>
                      <w:kern w:val="2"/>
                      <w:sz w:val="21"/>
                      <w:szCs w:val="21"/>
                      <w:highlight w:val="none"/>
                      <w:lang w:val="en-US" w:eastAsia="zh-CN" w:bidi="ar"/>
                    </w:rPr>
                    <w:t>废气</w:t>
                  </w:r>
                  <w:r>
                    <w:rPr>
                      <w:rFonts w:hint="eastAsia" w:ascii="宋体" w:hAnsi="宋体" w:eastAsia="宋体" w:cs="宋体"/>
                      <w:bCs/>
                      <w:color w:val="auto"/>
                      <w:kern w:val="2"/>
                      <w:sz w:val="21"/>
                      <w:szCs w:val="21"/>
                      <w:highlight w:val="none"/>
                      <w:lang w:val="en-US" w:eastAsia="zh-CN" w:bidi="ar"/>
                    </w:rPr>
                    <w:t>污染物排放量实行倍量替代</w:t>
                  </w:r>
                  <w:r>
                    <w:rPr>
                      <w:rFonts w:hint="eastAsia" w:ascii="宋体" w:hAnsi="宋体" w:cs="宋体"/>
                      <w:bCs/>
                      <w:color w:val="auto"/>
                      <w:kern w:val="2"/>
                      <w:sz w:val="21"/>
                      <w:szCs w:val="21"/>
                      <w:highlight w:val="none"/>
                      <w:lang w:val="en-US" w:eastAsia="zh-CN" w:bidi="ar"/>
                    </w:rPr>
                    <w:t>，</w:t>
                  </w:r>
                  <w:r>
                    <w:rPr>
                      <w:rFonts w:hint="eastAsia" w:ascii="宋体" w:hAnsi="宋体" w:cs="宋体"/>
                      <w:bCs/>
                      <w:color w:val="auto"/>
                      <w:kern w:val="2"/>
                      <w:sz w:val="21"/>
                      <w:szCs w:val="21"/>
                      <w:highlight w:val="none"/>
                      <w:lang w:val="en-US" w:eastAsia="zh-CN" w:bidi="ar"/>
                    </w:rPr>
                    <w:t>废水污染物实行等量替代</w:t>
                  </w:r>
                  <w:r>
                    <w:rPr>
                      <w:rFonts w:hint="eastAsia" w:ascii="宋体" w:hAnsi="宋体" w:eastAsia="宋体" w:cs="宋体"/>
                      <w:bCs/>
                      <w:color w:val="auto"/>
                      <w:kern w:val="2"/>
                      <w:sz w:val="21"/>
                      <w:szCs w:val="21"/>
                      <w:highlight w:val="none"/>
                      <w:lang w:val="en-US" w:eastAsia="zh-CN" w:bidi="ar"/>
                    </w:rPr>
                    <w:t>。</w:t>
                  </w:r>
                </w:p>
                <w:p w14:paraId="69B48D9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2.</w:t>
                  </w:r>
                  <w:r>
                    <w:rPr>
                      <w:rFonts w:hint="eastAsia" w:ascii="宋体" w:hAnsi="宋体" w:eastAsia="宋体" w:cs="宋体"/>
                      <w:bCs/>
                      <w:color w:val="auto"/>
                      <w:kern w:val="2"/>
                      <w:sz w:val="21"/>
                      <w:szCs w:val="21"/>
                      <w:highlight w:val="none"/>
                      <w:lang w:val="en-US" w:eastAsia="zh-CN" w:bidi="ar"/>
                    </w:rPr>
                    <w:t>本项目将严格执行“三同时”管理，本项目为橡胶和塑料制品业，不属于“两高”项目，</w:t>
                  </w:r>
                  <w:r>
                    <w:rPr>
                      <w:rFonts w:hint="default" w:ascii="Times New Roman" w:hAnsi="Times New Roman" w:cs="Times New Roman"/>
                      <w:bCs/>
                      <w:color w:val="auto"/>
                      <w:kern w:val="2"/>
                      <w:sz w:val="21"/>
                      <w:szCs w:val="21"/>
                      <w:highlight w:val="none"/>
                      <w:lang w:val="en-US" w:eastAsia="zh-CN" w:bidi="ar"/>
                    </w:rPr>
                    <w:t>项目按</w:t>
                  </w:r>
                  <w:r>
                    <w:rPr>
                      <w:rFonts w:hint="default" w:ascii="Times New Roman" w:hAnsi="Times New Roman" w:eastAsia="宋体" w:cs="Times New Roman"/>
                      <w:bCs/>
                      <w:color w:val="auto"/>
                      <w:kern w:val="2"/>
                      <w:sz w:val="21"/>
                      <w:szCs w:val="21"/>
                      <w:highlight w:val="none"/>
                      <w:lang w:val="en-US" w:eastAsia="zh-CN" w:bidi="ar"/>
                    </w:rPr>
                    <w:t>照《河南省重污染天气重点行业应急减排措施制定技术指南（2024年版）》中塑料制品行业企业A级指标要求</w:t>
                  </w:r>
                  <w:r>
                    <w:rPr>
                      <w:rFonts w:hint="eastAsia" w:cs="Times New Roman"/>
                      <w:bCs/>
                      <w:color w:val="auto"/>
                      <w:kern w:val="2"/>
                      <w:sz w:val="21"/>
                      <w:szCs w:val="21"/>
                      <w:highlight w:val="none"/>
                      <w:lang w:val="en-US" w:eastAsia="zh-CN" w:bidi="ar"/>
                    </w:rPr>
                    <w:t>设计</w:t>
                  </w:r>
                  <w:r>
                    <w:rPr>
                      <w:rFonts w:hint="eastAsia" w:ascii="Times New Roman" w:hAnsi="Times New Roman" w:cs="Times New Roman"/>
                      <w:bCs/>
                      <w:color w:val="auto"/>
                      <w:kern w:val="2"/>
                      <w:sz w:val="21"/>
                      <w:szCs w:val="21"/>
                      <w:highlight w:val="none"/>
                      <w:lang w:val="en-US" w:eastAsia="zh-CN" w:bidi="ar"/>
                    </w:rPr>
                    <w:t>、建设</w:t>
                  </w:r>
                  <w:r>
                    <w:rPr>
                      <w:rFonts w:hint="eastAsia" w:ascii="宋体" w:hAnsi="宋体" w:eastAsia="宋体" w:cs="宋体"/>
                      <w:bCs/>
                      <w:color w:val="auto"/>
                      <w:kern w:val="2"/>
                      <w:sz w:val="21"/>
                      <w:szCs w:val="21"/>
                      <w:highlight w:val="none"/>
                      <w:lang w:val="en-US" w:eastAsia="zh-CN" w:bidi="ar"/>
                    </w:rPr>
                    <w:t>。</w:t>
                  </w:r>
                </w:p>
                <w:p w14:paraId="4B61A538">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3.</w:t>
                  </w:r>
                  <w:r>
                    <w:rPr>
                      <w:rFonts w:hint="eastAsia" w:ascii="宋体" w:hAnsi="宋体" w:eastAsia="宋体" w:cs="宋体"/>
                      <w:bCs/>
                      <w:color w:val="auto"/>
                      <w:kern w:val="2"/>
                      <w:sz w:val="21"/>
                      <w:szCs w:val="21"/>
                      <w:highlight w:val="none"/>
                      <w:lang w:val="en-US" w:eastAsia="zh-CN" w:bidi="ar"/>
                    </w:rPr>
                    <w:t>本项目为橡胶和塑料制品业，不涉及前述行业。</w:t>
                  </w:r>
                </w:p>
                <w:p w14:paraId="5131185F">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4.</w:t>
                  </w:r>
                  <w:r>
                    <w:rPr>
                      <w:rFonts w:hint="eastAsia" w:ascii="宋体" w:hAnsi="宋体" w:eastAsia="宋体" w:cs="宋体"/>
                      <w:bCs/>
                      <w:color w:val="auto"/>
                      <w:kern w:val="2"/>
                      <w:sz w:val="21"/>
                      <w:szCs w:val="21"/>
                      <w:highlight w:val="none"/>
                      <w:lang w:val="en-US" w:eastAsia="zh-CN" w:bidi="ar"/>
                    </w:rPr>
                    <w:t>本项目使用低挥发性有机物含量原料。</w:t>
                  </w:r>
                </w:p>
                <w:p w14:paraId="335D7154">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5.</w:t>
                  </w:r>
                  <w:r>
                    <w:rPr>
                      <w:rFonts w:hint="eastAsia" w:ascii="宋体" w:hAnsi="宋体" w:eastAsia="宋体" w:cs="宋体"/>
                      <w:bCs/>
                      <w:color w:val="auto"/>
                      <w:kern w:val="2"/>
                      <w:sz w:val="21"/>
                      <w:szCs w:val="21"/>
                      <w:highlight w:val="none"/>
                      <w:lang w:val="en-US" w:eastAsia="zh-CN" w:bidi="ar"/>
                    </w:rPr>
                    <w:t>不涉及。</w:t>
                  </w:r>
                </w:p>
                <w:p w14:paraId="2CDA84CB">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Cs/>
                      <w:color w:val="auto"/>
                      <w:kern w:val="2"/>
                      <w:sz w:val="21"/>
                      <w:szCs w:val="21"/>
                      <w:highlight w:val="yellow"/>
                    </w:rPr>
                  </w:pPr>
                  <w:r>
                    <w:rPr>
                      <w:rFonts w:hint="default" w:ascii="Times New Roman" w:hAnsi="Times New Roman" w:eastAsia="宋体" w:cs="Times New Roman"/>
                      <w:bCs/>
                      <w:color w:val="auto"/>
                      <w:kern w:val="2"/>
                      <w:sz w:val="21"/>
                      <w:szCs w:val="21"/>
                      <w:highlight w:val="none"/>
                      <w:lang w:val="en-US" w:eastAsia="zh-CN" w:bidi="ar"/>
                    </w:rPr>
                    <w:t>6.</w:t>
                  </w:r>
                  <w:r>
                    <w:rPr>
                      <w:rFonts w:hint="eastAsia" w:ascii="宋体" w:hAnsi="宋体" w:eastAsia="宋体" w:cs="宋体"/>
                      <w:bCs/>
                      <w:color w:val="auto"/>
                      <w:kern w:val="2"/>
                      <w:sz w:val="21"/>
                      <w:szCs w:val="21"/>
                      <w:highlight w:val="none"/>
                      <w:lang w:val="en-US" w:eastAsia="zh-CN" w:bidi="ar"/>
                    </w:rPr>
                    <w:t>不涉及。</w:t>
                  </w:r>
                </w:p>
              </w:tc>
              <w:tc>
                <w:tcPr>
                  <w:tcW w:w="591" w:type="dxa"/>
                  <w:tcBorders>
                    <w:top w:val="single" w:color="auto" w:sz="4" w:space="0"/>
                    <w:left w:val="single" w:color="auto" w:sz="4" w:space="0"/>
                    <w:bottom w:val="single" w:color="auto" w:sz="4" w:space="0"/>
                    <w:right w:val="nil"/>
                  </w:tcBorders>
                  <w:noWrap w:val="0"/>
                  <w:tcMar>
                    <w:left w:w="51" w:type="dxa"/>
                    <w:right w:w="51" w:type="dxa"/>
                  </w:tcMar>
                  <w:vAlign w:val="center"/>
                </w:tcPr>
                <w:p w14:paraId="375C001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符合</w:t>
                  </w:r>
                </w:p>
              </w:tc>
            </w:tr>
            <w:tr w14:paraId="2B7A228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op w:val="single" w:color="auto" w:sz="4" w:space="0"/>
                    <w:left w:val="nil"/>
                    <w:bottom w:val="single" w:color="auto" w:sz="4" w:space="0"/>
                    <w:right w:val="single" w:color="auto" w:sz="4" w:space="0"/>
                  </w:tcBorders>
                  <w:noWrap w:val="0"/>
                  <w:tcMar>
                    <w:left w:w="51" w:type="dxa"/>
                    <w:right w:w="51" w:type="dxa"/>
                  </w:tcMar>
                  <w:vAlign w:val="center"/>
                </w:tcPr>
                <w:p w14:paraId="37606661">
                  <w:pPr>
                    <w:keepNext w:val="0"/>
                    <w:keepLines w:val="0"/>
                    <w:pageBreakBefore w:val="0"/>
                    <w:widowControl w:val="0"/>
                    <w:suppressLineNumbers w:val="0"/>
                    <w:kinsoku/>
                    <w:wordWrap w:val="0"/>
                    <w:overflowPunct/>
                    <w:topLinePunct w:val="0"/>
                    <w:bidi w:val="0"/>
                    <w:spacing w:before="0" w:beforeAutospacing="0" w:after="0" w:afterAutospacing="0"/>
                    <w:ind w:left="0" w:right="0"/>
                    <w:textAlignment w:val="auto"/>
                    <w:rPr>
                      <w:rFonts w:hint="default" w:ascii="Calibri" w:hAnsi="Calibri" w:eastAsia="宋体" w:cs="Times New Roman"/>
                      <w:color w:val="auto"/>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3DAE4891">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环境风险防控</w:t>
                  </w:r>
                </w:p>
              </w:tc>
              <w:tc>
                <w:tcPr>
                  <w:tcW w:w="4036"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5B1B2295">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安全利用类耕地加强利用过程监管，严格管控类耕地严禁种植食用农产品；用途变更为住宅、公共管理与公共服务用地及有土壤污染风险的建设用地地块，应当依法开展土壤污染状况调查；污染地块经治理与修复，并符合相应规划用地土壤环境质量要求后，方可进入用地程序；合理规划污染地块土地用途，鼓励农药、化工等行业中重度污染地块优先规划用于拓展生态空间。</w:t>
                  </w:r>
                </w:p>
                <w:p w14:paraId="16FC0A99">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以涉重涉危及有毒有害等行业企业为重点，加强水环境风险日常监管，强化企业应急建设；完善上下游政府及相关部门之间的联防联控、信息共享、闸坝调度机制，落实防范措施。</w:t>
                  </w:r>
                </w:p>
                <w:p w14:paraId="040B0D10">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b/>
                      <w:bCs w:val="0"/>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化工园区内涉及有毒有害物质的重点场所或者重点设施设备（特别是地下储罐、管网等）应进行防渗漏设计和建设，消除土壤和地下水污染隐患；建立完善的生态环境监测监控和风险预警体系，相关监测监控数据应接入地方监测预警系统：建立满足突发环境事件情形下应急处置需求的应急救援体系、预案、平台和专职应急救援队伍，配备符合相关国家标准、行业标准要求的人员和装备。</w:t>
                  </w:r>
                </w:p>
              </w:tc>
              <w:tc>
                <w:tcPr>
                  <w:tcW w:w="1768" w:type="dxa"/>
                  <w:tcBorders>
                    <w:top w:val="single" w:color="auto" w:sz="4" w:space="0"/>
                    <w:left w:val="single" w:color="auto" w:sz="4" w:space="0"/>
                    <w:bottom w:val="single" w:color="auto" w:sz="4" w:space="0"/>
                    <w:right w:val="single" w:color="auto" w:sz="4" w:space="0"/>
                  </w:tcBorders>
                  <w:noWrap w:val="0"/>
                  <w:tcMar>
                    <w:left w:w="51" w:type="dxa"/>
                    <w:right w:w="51" w:type="dxa"/>
                  </w:tcMar>
                  <w:vAlign w:val="center"/>
                </w:tcPr>
                <w:p w14:paraId="61B1923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不涉及。</w:t>
                  </w:r>
                </w:p>
                <w:p w14:paraId="72A45CE0">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本项目不属于有毒有害行业。</w:t>
                  </w:r>
                </w:p>
                <w:p w14:paraId="6E1A92E8">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bCs w:val="0"/>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本项目建成后会建立满足突发环境事件情形下应急处置需求的应急救援体系、预案、平台和专职应急救援队伍，配备符合相关国家标准、行业标准要求的人员和装备。</w:t>
                  </w:r>
                </w:p>
              </w:tc>
              <w:tc>
                <w:tcPr>
                  <w:tcW w:w="591" w:type="dxa"/>
                  <w:tcBorders>
                    <w:top w:val="single" w:color="auto" w:sz="4" w:space="0"/>
                    <w:left w:val="single" w:color="auto" w:sz="4" w:space="0"/>
                    <w:bottom w:val="single" w:color="auto" w:sz="4" w:space="0"/>
                    <w:right w:val="nil"/>
                  </w:tcBorders>
                  <w:noWrap w:val="0"/>
                  <w:tcMar>
                    <w:left w:w="51" w:type="dxa"/>
                    <w:right w:w="51" w:type="dxa"/>
                  </w:tcMar>
                  <w:vAlign w:val="center"/>
                </w:tcPr>
                <w:p w14:paraId="6CF315B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rPr>
                  </w:pPr>
                  <w:r>
                    <w:rPr>
                      <w:rFonts w:hint="eastAsia" w:ascii="宋体" w:hAnsi="宋体" w:eastAsia="宋体" w:cs="宋体"/>
                      <w:b w:val="0"/>
                      <w:bCs/>
                      <w:color w:val="auto"/>
                      <w:kern w:val="2"/>
                      <w:sz w:val="21"/>
                      <w:szCs w:val="21"/>
                      <w:lang w:val="en-US" w:eastAsia="zh-CN" w:bidi="ar"/>
                    </w:rPr>
                    <w:t>符合</w:t>
                  </w:r>
                </w:p>
              </w:tc>
            </w:tr>
            <w:tr w14:paraId="73F0CD3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top w:val="single" w:color="auto" w:sz="4" w:space="0"/>
                    <w:left w:val="nil"/>
                    <w:bottom w:val="single" w:color="auto" w:sz="12" w:space="0"/>
                    <w:right w:val="single" w:color="auto" w:sz="4" w:space="0"/>
                  </w:tcBorders>
                  <w:noWrap w:val="0"/>
                  <w:tcMar>
                    <w:left w:w="51" w:type="dxa"/>
                    <w:right w:w="51" w:type="dxa"/>
                  </w:tcMar>
                  <w:vAlign w:val="center"/>
                </w:tcPr>
                <w:p w14:paraId="0EABD7AE">
                  <w:pPr>
                    <w:keepNext w:val="0"/>
                    <w:keepLines w:val="0"/>
                    <w:pageBreakBefore w:val="0"/>
                    <w:widowControl w:val="0"/>
                    <w:suppressLineNumbers w:val="0"/>
                    <w:kinsoku/>
                    <w:wordWrap w:val="0"/>
                    <w:overflowPunct/>
                    <w:topLinePunct w:val="0"/>
                    <w:bidi w:val="0"/>
                    <w:spacing w:before="0" w:beforeAutospacing="0" w:after="0" w:afterAutospacing="0"/>
                    <w:ind w:left="0" w:right="0"/>
                    <w:textAlignment w:val="auto"/>
                    <w:rPr>
                      <w:rFonts w:hint="default" w:ascii="Calibri" w:hAnsi="Calibri" w:eastAsia="宋体" w:cs="Times New Roman"/>
                      <w:color w:val="auto"/>
                      <w:kern w:val="2"/>
                      <w:sz w:val="21"/>
                      <w:szCs w:val="21"/>
                    </w:rPr>
                  </w:pPr>
                </w:p>
              </w:tc>
              <w:tc>
                <w:tcPr>
                  <w:tcW w:w="643" w:type="dxa"/>
                  <w:tcBorders>
                    <w:top w:val="single" w:color="auto" w:sz="4" w:space="0"/>
                    <w:left w:val="single" w:color="auto" w:sz="4" w:space="0"/>
                    <w:bottom w:val="single" w:color="auto" w:sz="12" w:space="0"/>
                    <w:right w:val="single" w:color="auto" w:sz="4" w:space="0"/>
                  </w:tcBorders>
                  <w:noWrap w:val="0"/>
                  <w:tcMar>
                    <w:left w:w="51" w:type="dxa"/>
                    <w:right w:w="51" w:type="dxa"/>
                  </w:tcMar>
                  <w:vAlign w:val="center"/>
                </w:tcPr>
                <w:p w14:paraId="350A68AF">
                  <w:pPr>
                    <w:keepNext w:val="0"/>
                    <w:keepLines w:val="0"/>
                    <w:pageBreakBefore w:val="0"/>
                    <w:widowControl w:val="0"/>
                    <w:suppressLineNumbers w:val="0"/>
                    <w:kinsoku/>
                    <w:wordWrap w:val="0"/>
                    <w:overflowPunct/>
                    <w:topLinePunct w:val="0"/>
                    <w:bidi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资源利用效率</w:t>
                  </w:r>
                </w:p>
              </w:tc>
              <w:tc>
                <w:tcPr>
                  <w:tcW w:w="4036" w:type="dxa"/>
                  <w:tcBorders>
                    <w:top w:val="single" w:color="auto" w:sz="4" w:space="0"/>
                    <w:left w:val="single" w:color="auto" w:sz="4" w:space="0"/>
                    <w:bottom w:val="single" w:color="auto" w:sz="12" w:space="0"/>
                    <w:right w:val="single" w:color="auto" w:sz="4" w:space="0"/>
                  </w:tcBorders>
                  <w:noWrap w:val="0"/>
                  <w:tcMar>
                    <w:left w:w="51" w:type="dxa"/>
                    <w:right w:w="51" w:type="dxa"/>
                  </w:tcMar>
                  <w:vAlign w:val="center"/>
                </w:tcPr>
                <w:p w14:paraId="6DAB0F97">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“十四五”时期，规模以上工业单位增加值能耗下降</w:t>
                  </w:r>
                  <w:r>
                    <w:rPr>
                      <w:rFonts w:hint="default" w:ascii="Times New Roman" w:hAnsi="Times New Roman" w:eastAsia="宋体" w:cs="Times New Roman"/>
                      <w:color w:val="auto"/>
                      <w:kern w:val="2"/>
                      <w:sz w:val="21"/>
                      <w:szCs w:val="21"/>
                      <w:lang w:val="en-US" w:eastAsia="zh-CN" w:bidi="ar"/>
                    </w:rPr>
                    <w:t>18%</w:t>
                  </w:r>
                  <w:r>
                    <w:rPr>
                      <w:rFonts w:hint="eastAsia" w:ascii="宋体" w:hAnsi="宋体" w:eastAsia="宋体" w:cs="宋体"/>
                      <w:color w:val="auto"/>
                      <w:kern w:val="2"/>
                      <w:sz w:val="21"/>
                      <w:szCs w:val="21"/>
                      <w:lang w:val="en-US" w:eastAsia="zh-CN" w:bidi="ar"/>
                    </w:rPr>
                    <w:t>，万元工业增加值用水量下降</w:t>
                  </w:r>
                  <w:r>
                    <w:rPr>
                      <w:rFonts w:hint="default" w:ascii="Times New Roman" w:hAnsi="Times New Roman" w:eastAsia="宋体" w:cs="Times New Roman"/>
                      <w:color w:val="auto"/>
                      <w:kern w:val="2"/>
                      <w:sz w:val="21"/>
                      <w:szCs w:val="21"/>
                      <w:lang w:val="en-US" w:eastAsia="zh-CN" w:bidi="ar"/>
                    </w:rPr>
                    <w:t>10%</w:t>
                  </w:r>
                  <w:r>
                    <w:rPr>
                      <w:rFonts w:hint="eastAsia" w:ascii="宋体" w:hAnsi="宋体" w:eastAsia="宋体" w:cs="宋体"/>
                      <w:color w:val="auto"/>
                      <w:kern w:val="2"/>
                      <w:sz w:val="21"/>
                      <w:szCs w:val="21"/>
                      <w:lang w:val="en-US" w:eastAsia="zh-CN" w:bidi="ar"/>
                    </w:rPr>
                    <w:t>。</w:t>
                  </w:r>
                </w:p>
                <w:p w14:paraId="6066E439">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新建、扩建“两高”项目单位产品物耗、能耗、水耗等达到清洁生产先进水平。</w:t>
                  </w:r>
                </w:p>
                <w:p w14:paraId="08E322C9">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实施重点领域节能降碳改造，到</w:t>
                  </w:r>
                  <w:r>
                    <w:rPr>
                      <w:rFonts w:hint="default" w:ascii="Times New Roman" w:hAnsi="Times New Roman" w:eastAsia="宋体" w:cs="Times New Roman"/>
                      <w:color w:val="auto"/>
                      <w:kern w:val="2"/>
                      <w:sz w:val="21"/>
                      <w:szCs w:val="21"/>
                      <w:lang w:val="en-US" w:eastAsia="zh-CN" w:bidi="ar"/>
                    </w:rPr>
                    <w:t>2025</w:t>
                  </w:r>
                  <w:r>
                    <w:rPr>
                      <w:rFonts w:hint="eastAsia" w:ascii="宋体" w:hAnsi="宋体" w:eastAsia="宋体" w:cs="宋体"/>
                      <w:color w:val="auto"/>
                      <w:kern w:val="2"/>
                      <w:sz w:val="21"/>
                      <w:szCs w:val="21"/>
                      <w:lang w:val="en-US" w:eastAsia="zh-CN" w:bidi="ar"/>
                    </w:rPr>
                    <w:t>年钢铁、电解铝、水泥、炼油、乙烯、焦化等重点行业产能达到能效标杆水平的比例超过</w:t>
                  </w:r>
                  <w:r>
                    <w:rPr>
                      <w:rFonts w:hint="default" w:ascii="Times New Roman" w:hAnsi="Times New Roman" w:eastAsia="宋体" w:cs="Times New Roman"/>
                      <w:color w:val="auto"/>
                      <w:kern w:val="2"/>
                      <w:sz w:val="21"/>
                      <w:szCs w:val="21"/>
                      <w:lang w:val="en-US" w:eastAsia="zh-CN" w:bidi="ar"/>
                    </w:rPr>
                    <w:t>30%</w:t>
                  </w:r>
                  <w:r>
                    <w:rPr>
                      <w:rFonts w:hint="eastAsia" w:ascii="宋体" w:hAnsi="宋体" w:eastAsia="宋体" w:cs="宋体"/>
                      <w:color w:val="auto"/>
                      <w:kern w:val="2"/>
                      <w:sz w:val="21"/>
                      <w:szCs w:val="21"/>
                      <w:lang w:val="en-US" w:eastAsia="zh-CN" w:bidi="ar"/>
                    </w:rPr>
                    <w:t>，行业整体能效水平明显提升，碳排放强度明显下降，绿色低碳发展能力显著增强。</w:t>
                  </w:r>
                </w:p>
                <w:p w14:paraId="3071AF6F">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对以煤、石油焦、渣油、重油等为燃料的锅炉和工业炉窑，加快使用工业余热、电厂热力、清洁能源等进行替代。</w:t>
                  </w:r>
                </w:p>
                <w:p w14:paraId="3342FEBE">
                  <w:pPr>
                    <w:keepNext w:val="0"/>
                    <w:keepLines w:val="0"/>
                    <w:pageBreakBefore w:val="0"/>
                    <w:widowControl w:val="0"/>
                    <w:suppressLineNumbers w:val="0"/>
                    <w:kinsoku/>
                    <w:wordWrap w:val="0"/>
                    <w:overflowPunct/>
                    <w:topLinePunct w:val="0"/>
                    <w:bidi w:val="0"/>
                    <w:spacing w:before="0" w:beforeAutospacing="0" w:after="0" w:afterAutospacing="0"/>
                    <w:ind w:left="0" w:right="0"/>
                    <w:jc w:val="both"/>
                    <w:textAlignment w:val="auto"/>
                    <w:rPr>
                      <w:rFonts w:hint="eastAsia" w:ascii="Times New Roman" w:hAnsi="Times New Roman" w:eastAsia="宋体" w:cs="Times New Roman"/>
                      <w:b/>
                      <w:bCs w:val="0"/>
                      <w:color w:val="auto"/>
                      <w:kern w:val="2"/>
                      <w:sz w:val="21"/>
                      <w:szCs w:val="21"/>
                    </w:rPr>
                  </w:pPr>
                  <w:r>
                    <w:rPr>
                      <w:rFonts w:hint="default" w:ascii="Times New Roman" w:hAnsi="Times New Roman" w:eastAsia="宋体" w:cs="Times New Roman"/>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除应急取（排）水、地下水监测外，在地下水禁采区内，禁止取用地下水；在地下水限采区内，禁止开凿新的取水井或者增加地下水取水量。</w:t>
                  </w:r>
                </w:p>
              </w:tc>
              <w:tc>
                <w:tcPr>
                  <w:tcW w:w="1768" w:type="dxa"/>
                  <w:tcBorders>
                    <w:top w:val="single" w:color="auto" w:sz="4" w:space="0"/>
                    <w:left w:val="single" w:color="auto" w:sz="4" w:space="0"/>
                    <w:bottom w:val="single" w:color="auto" w:sz="12" w:space="0"/>
                    <w:right w:val="single" w:color="auto" w:sz="4" w:space="0"/>
                  </w:tcBorders>
                  <w:noWrap w:val="0"/>
                  <w:tcMar>
                    <w:left w:w="51" w:type="dxa"/>
                    <w:right w:w="51" w:type="dxa"/>
                  </w:tcMar>
                  <w:vAlign w:val="center"/>
                </w:tcPr>
                <w:p w14:paraId="377CCF63">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1</w:t>
                  </w:r>
                  <w:r>
                    <w:rPr>
                      <w:rFonts w:hint="default" w:ascii="Times New Roman" w:hAnsi="Times New Roman" w:eastAsia="宋体" w:cs="Times New Roman"/>
                      <w:b w:val="0"/>
                      <w:bCs/>
                      <w:color w:val="auto"/>
                      <w:kern w:val="2"/>
                      <w:sz w:val="21"/>
                      <w:szCs w:val="21"/>
                      <w:highlight w:val="none"/>
                      <w:lang w:val="en-US" w:eastAsia="zh-CN" w:bidi="ar"/>
                    </w:rPr>
                    <w:t>.</w:t>
                  </w:r>
                  <w:r>
                    <w:rPr>
                      <w:rFonts w:hint="eastAsia" w:ascii="Times New Roman" w:hAnsi="Times New Roman" w:eastAsia="宋体" w:cs="Times New Roman"/>
                      <w:b w:val="0"/>
                      <w:bCs/>
                      <w:color w:val="auto"/>
                      <w:kern w:val="2"/>
                      <w:sz w:val="21"/>
                      <w:szCs w:val="21"/>
                      <w:highlight w:val="none"/>
                      <w:lang w:val="en-US" w:eastAsia="zh-CN" w:bidi="ar"/>
                    </w:rPr>
                    <w:t>本项目由市政管网供水，</w:t>
                  </w:r>
                  <w:r>
                    <w:rPr>
                      <w:rFonts w:hint="default" w:ascii="Times New Roman" w:hAnsi="Times New Roman" w:eastAsia="宋体" w:cs="Times New Roman"/>
                      <w:b w:val="0"/>
                      <w:bCs/>
                      <w:color w:val="auto"/>
                      <w:kern w:val="2"/>
                      <w:sz w:val="21"/>
                      <w:szCs w:val="21"/>
                      <w:highlight w:val="none"/>
                      <w:lang w:val="en-US" w:eastAsia="zh-CN" w:bidi="ar"/>
                    </w:rPr>
                    <w:t>新增用水量</w:t>
                  </w:r>
                  <w:r>
                    <w:rPr>
                      <w:rFonts w:hint="eastAsia" w:ascii="Times New Roman" w:hAnsi="Times New Roman" w:eastAsia="宋体" w:cs="Times New Roman"/>
                      <w:b w:val="0"/>
                      <w:bCs/>
                      <w:color w:val="auto"/>
                      <w:kern w:val="2"/>
                      <w:sz w:val="21"/>
                      <w:szCs w:val="21"/>
                      <w:highlight w:val="none"/>
                      <w:lang w:val="en-US" w:eastAsia="zh-CN" w:bidi="ar"/>
                    </w:rPr>
                    <w:t>为858m</w:t>
                  </w:r>
                  <w:r>
                    <w:rPr>
                      <w:rFonts w:hint="eastAsia" w:ascii="Times New Roman" w:hAnsi="Times New Roman" w:eastAsia="宋体" w:cs="Times New Roman"/>
                      <w:b w:val="0"/>
                      <w:bCs/>
                      <w:color w:val="auto"/>
                      <w:kern w:val="2"/>
                      <w:sz w:val="21"/>
                      <w:szCs w:val="21"/>
                      <w:highlight w:val="none"/>
                      <w:vertAlign w:val="superscript"/>
                      <w:lang w:val="en-US" w:eastAsia="zh-CN" w:bidi="ar"/>
                    </w:rPr>
                    <w:t>3</w:t>
                  </w:r>
                  <w:r>
                    <w:rPr>
                      <w:rFonts w:hint="eastAsia" w:ascii="Times New Roman" w:hAnsi="Times New Roman" w:eastAsia="宋体" w:cs="Times New Roman"/>
                      <w:b w:val="0"/>
                      <w:bCs/>
                      <w:color w:val="auto"/>
                      <w:kern w:val="2"/>
                      <w:sz w:val="21"/>
                      <w:szCs w:val="21"/>
                      <w:highlight w:val="none"/>
                      <w:lang w:val="en-US" w:eastAsia="zh-CN" w:bidi="ar"/>
                    </w:rPr>
                    <w:t>/a，用水量不大。</w:t>
                  </w:r>
                </w:p>
                <w:p w14:paraId="1180E9A1">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2、本项目不属于两高项目。</w:t>
                  </w:r>
                </w:p>
                <w:p w14:paraId="01475F5E">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3.</w:t>
                  </w:r>
                  <w:r>
                    <w:rPr>
                      <w:rFonts w:hint="eastAsia" w:ascii="宋体" w:hAnsi="宋体" w:eastAsia="宋体" w:cs="宋体"/>
                      <w:b w:val="0"/>
                      <w:bCs/>
                      <w:color w:val="auto"/>
                      <w:kern w:val="2"/>
                      <w:sz w:val="21"/>
                      <w:szCs w:val="21"/>
                      <w:highlight w:val="none"/>
                      <w:lang w:val="en-US" w:eastAsia="zh-CN" w:bidi="ar"/>
                    </w:rPr>
                    <w:t>本项目为橡胶和塑料制品业，</w:t>
                  </w:r>
                  <w:r>
                    <w:rPr>
                      <w:rFonts w:hint="eastAsia" w:ascii="宋体" w:hAnsi="宋体" w:eastAsia="宋体" w:cs="宋体"/>
                      <w:b w:val="0"/>
                      <w:bCs/>
                      <w:color w:val="auto"/>
                      <w:kern w:val="2"/>
                      <w:sz w:val="21"/>
                      <w:szCs w:val="21"/>
                      <w:highlight w:val="none"/>
                      <w:lang w:val="en-US" w:eastAsia="zh-CN" w:bidi="ar"/>
                    </w:rPr>
                    <w:t>不属于前述重点行业。</w:t>
                  </w:r>
                </w:p>
                <w:p w14:paraId="3EF80141">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kern w:val="2"/>
                      <w:sz w:val="21"/>
                      <w:szCs w:val="21"/>
                      <w:highlight w:val="none"/>
                      <w:lang w:val="en-US" w:eastAsia="zh-CN" w:bidi="ar"/>
                    </w:rPr>
                    <w:t>4.</w:t>
                  </w:r>
                  <w:r>
                    <w:rPr>
                      <w:rFonts w:hint="eastAsia" w:ascii="宋体" w:hAnsi="宋体" w:eastAsia="宋体" w:cs="宋体"/>
                      <w:b w:val="0"/>
                      <w:bCs/>
                      <w:color w:val="auto"/>
                      <w:kern w:val="2"/>
                      <w:sz w:val="21"/>
                      <w:szCs w:val="21"/>
                      <w:highlight w:val="none"/>
                      <w:lang w:val="en-US" w:eastAsia="zh-CN" w:bidi="ar"/>
                    </w:rPr>
                    <w:t>本项目不涉及煤、石油焦、渣油、重油等燃料。</w:t>
                  </w:r>
                </w:p>
                <w:p w14:paraId="224E4EED">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bCs/>
                      <w:color w:val="auto"/>
                      <w:kern w:val="2"/>
                      <w:sz w:val="21"/>
                      <w:szCs w:val="21"/>
                      <w:highlight w:val="yellow"/>
                    </w:rPr>
                  </w:pPr>
                  <w:r>
                    <w:rPr>
                      <w:rFonts w:hint="default" w:ascii="Times New Roman" w:hAnsi="Times New Roman" w:eastAsia="宋体" w:cs="Times New Roman"/>
                      <w:b w:val="0"/>
                      <w:bCs/>
                      <w:color w:val="auto"/>
                      <w:kern w:val="2"/>
                      <w:sz w:val="21"/>
                      <w:szCs w:val="21"/>
                      <w:highlight w:val="none"/>
                      <w:lang w:val="en-US" w:eastAsia="zh-CN" w:bidi="ar"/>
                    </w:rPr>
                    <w:t>5.</w:t>
                  </w:r>
                  <w:r>
                    <w:rPr>
                      <w:rFonts w:hint="eastAsia" w:ascii="宋体" w:hAnsi="宋体" w:eastAsia="宋体" w:cs="宋体"/>
                      <w:b w:val="0"/>
                      <w:bCs/>
                      <w:color w:val="auto"/>
                      <w:kern w:val="2"/>
                      <w:sz w:val="21"/>
                      <w:szCs w:val="21"/>
                      <w:highlight w:val="none"/>
                      <w:lang w:val="en-US" w:eastAsia="zh-CN" w:bidi="ar"/>
                    </w:rPr>
                    <w:t>本项目由市政管网供水。</w:t>
                  </w:r>
                </w:p>
              </w:tc>
              <w:tc>
                <w:tcPr>
                  <w:tcW w:w="591" w:type="dxa"/>
                  <w:tcBorders>
                    <w:top w:val="single" w:color="auto" w:sz="4" w:space="0"/>
                    <w:left w:val="single" w:color="auto" w:sz="4" w:space="0"/>
                    <w:bottom w:val="single" w:color="auto" w:sz="12" w:space="0"/>
                    <w:right w:val="nil"/>
                  </w:tcBorders>
                  <w:noWrap w:val="0"/>
                  <w:tcMar>
                    <w:left w:w="51" w:type="dxa"/>
                    <w:right w:w="51" w:type="dxa"/>
                  </w:tcMar>
                  <w:vAlign w:val="center"/>
                </w:tcPr>
                <w:p w14:paraId="236BD82A">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b/>
                      <w:bCs w:val="0"/>
                      <w:color w:val="auto"/>
                      <w:kern w:val="2"/>
                      <w:sz w:val="21"/>
                      <w:szCs w:val="21"/>
                    </w:rPr>
                  </w:pPr>
                  <w:r>
                    <w:rPr>
                      <w:rFonts w:hint="eastAsia" w:ascii="宋体" w:hAnsi="宋体" w:eastAsia="宋体" w:cs="宋体"/>
                      <w:b w:val="0"/>
                      <w:bCs/>
                      <w:color w:val="auto"/>
                      <w:kern w:val="2"/>
                      <w:sz w:val="21"/>
                      <w:szCs w:val="21"/>
                      <w:lang w:val="en-US" w:eastAsia="zh-CN" w:bidi="ar"/>
                    </w:rPr>
                    <w:t>符合</w:t>
                  </w:r>
                </w:p>
              </w:tc>
            </w:tr>
          </w:tbl>
          <w:p w14:paraId="5A043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b w:val="0"/>
                <w:bCs w:val="0"/>
                <w:color w:val="auto"/>
                <w:sz w:val="24"/>
                <w:szCs w:val="24"/>
                <w:highlight w:val="none"/>
                <w:u w:val="none" w:color="auto"/>
                <w:lang w:val="en-US" w:eastAsia="zh-CN"/>
              </w:rPr>
              <w:t>根据《安阳市生态环境保护委员会办公室关于更新调整安阳市生态环境分区管控方案的通知》（安环委办〔2025〕19号）</w:t>
            </w:r>
            <w:r>
              <w:rPr>
                <w:rFonts w:hint="eastAsia" w:ascii="Times New Roman" w:hAnsi="Times New Roman" w:eastAsia="宋体" w:cs="Times New Roman"/>
                <w:color w:val="auto"/>
                <w:sz w:val="24"/>
                <w:szCs w:val="24"/>
                <w:highlight w:val="none"/>
                <w:lang w:val="en-US" w:eastAsia="zh-CN"/>
              </w:rPr>
              <w:t>，项目与安阳市生态环境总体准入要求相符性分析如下：</w:t>
            </w:r>
          </w:p>
          <w:p w14:paraId="31FC3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sz w:val="24"/>
                <w:szCs w:val="24"/>
                <w:highlight w:val="none"/>
                <w:vertAlign w:val="baseline"/>
                <w:lang w:val="en-US" w:eastAsia="zh-CN"/>
              </w:rPr>
            </w:pPr>
            <w:r>
              <w:rPr>
                <w:rFonts w:hint="eastAsia" w:ascii="Times New Roman" w:hAnsi="Times New Roman" w:eastAsia="宋体" w:cs="Times New Roman"/>
                <w:b/>
                <w:bCs/>
                <w:color w:val="auto"/>
                <w:sz w:val="24"/>
                <w:szCs w:val="24"/>
                <w:highlight w:val="none"/>
                <w:lang w:val="en-US" w:eastAsia="zh-CN"/>
              </w:rPr>
              <w:t>安阳市生态环境总体准入要求</w:t>
            </w:r>
          </w:p>
          <w:tbl>
            <w:tblPr>
              <w:tblStyle w:val="26"/>
              <w:tblW w:w="496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825"/>
              <w:gridCol w:w="2337"/>
              <w:gridCol w:w="845"/>
            </w:tblGrid>
            <w:tr w14:paraId="7436F2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8" w:type="dxa"/>
                  <w:noWrap w:val="0"/>
                  <w:vAlign w:val="center"/>
                </w:tcPr>
                <w:p w14:paraId="0804F152">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维度</w:t>
                  </w:r>
                </w:p>
              </w:tc>
              <w:tc>
                <w:tcPr>
                  <w:tcW w:w="3825" w:type="dxa"/>
                  <w:noWrap w:val="0"/>
                  <w:vAlign w:val="center"/>
                </w:tcPr>
                <w:p w14:paraId="628BC687">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管控要求</w:t>
                  </w:r>
                </w:p>
              </w:tc>
              <w:tc>
                <w:tcPr>
                  <w:tcW w:w="2337" w:type="dxa"/>
                  <w:noWrap w:val="0"/>
                  <w:vAlign w:val="center"/>
                </w:tcPr>
                <w:p w14:paraId="031C0F1F">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本项目情况</w:t>
                  </w:r>
                </w:p>
              </w:tc>
              <w:tc>
                <w:tcPr>
                  <w:tcW w:w="845" w:type="dxa"/>
                  <w:noWrap w:val="0"/>
                  <w:vAlign w:val="center"/>
                </w:tcPr>
                <w:p w14:paraId="1F7D6024">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2"/>
                      <w:sz w:val="21"/>
                      <w:szCs w:val="21"/>
                    </w:rPr>
                  </w:pPr>
                  <w:r>
                    <w:rPr>
                      <w:rFonts w:hint="default" w:ascii="Times New Roman" w:hAnsi="Times New Roman" w:eastAsia="宋体" w:cs="Times New Roman"/>
                      <w:b/>
                      <w:bCs/>
                      <w:color w:val="auto"/>
                      <w:kern w:val="2"/>
                      <w:sz w:val="21"/>
                      <w:szCs w:val="21"/>
                    </w:rPr>
                    <w:t>相符性</w:t>
                  </w:r>
                </w:p>
              </w:tc>
            </w:tr>
            <w:tr w14:paraId="52C8D9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noWrap w:val="0"/>
                  <w:vAlign w:val="center"/>
                </w:tcPr>
                <w:p w14:paraId="5F403E11">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空间布局约束</w:t>
                  </w:r>
                </w:p>
              </w:tc>
              <w:tc>
                <w:tcPr>
                  <w:tcW w:w="3825" w:type="dxa"/>
                  <w:noWrap w:val="0"/>
                  <w:vAlign w:val="center"/>
                </w:tcPr>
                <w:p w14:paraId="6D0DEBD5">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严格控制高耗能、高排放项目准入，新建、改建、扩建“两高”项目须符合生态环境保护法律法规和相关法定规划，满足重点污染物排放总量控制、碳排放达峰目标、相关规划环评和相应行业建设项目环境准入条件、环评文件审批原则要求。</w:t>
                  </w:r>
                </w:p>
              </w:tc>
              <w:tc>
                <w:tcPr>
                  <w:tcW w:w="2337" w:type="dxa"/>
                  <w:noWrap w:val="0"/>
                  <w:vAlign w:val="center"/>
                </w:tcPr>
                <w:p w14:paraId="2C96D83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1、</w:t>
                  </w:r>
                  <w:r>
                    <w:rPr>
                      <w:rFonts w:hint="default" w:ascii="Times New Roman" w:hAnsi="Times New Roman" w:eastAsia="宋体" w:cs="Times New Roman"/>
                      <w:bCs/>
                      <w:color w:val="auto"/>
                      <w:kern w:val="2"/>
                      <w:sz w:val="21"/>
                      <w:szCs w:val="21"/>
                      <w:lang w:val="en-US" w:eastAsia="zh-CN" w:bidi="ar"/>
                    </w:rPr>
                    <w:t>本项目不属于</w:t>
                  </w:r>
                  <w:r>
                    <w:rPr>
                      <w:rFonts w:hint="eastAsia" w:ascii="Times New Roman" w:hAnsi="Times New Roman" w:eastAsia="宋体" w:cs="Times New Roman"/>
                      <w:bCs/>
                      <w:color w:val="auto"/>
                      <w:kern w:val="2"/>
                      <w:sz w:val="21"/>
                      <w:szCs w:val="21"/>
                      <w:lang w:val="en-US" w:eastAsia="zh-CN" w:bidi="ar"/>
                    </w:rPr>
                    <w:t>“</w:t>
                  </w:r>
                  <w:r>
                    <w:rPr>
                      <w:rFonts w:hint="default" w:ascii="Times New Roman" w:hAnsi="Times New Roman" w:eastAsia="宋体" w:cs="Times New Roman"/>
                      <w:bCs/>
                      <w:color w:val="auto"/>
                      <w:kern w:val="2"/>
                      <w:sz w:val="21"/>
                      <w:szCs w:val="21"/>
                      <w:lang w:val="en-US" w:eastAsia="zh-CN" w:bidi="ar"/>
                    </w:rPr>
                    <w:t>两高</w:t>
                  </w:r>
                  <w:r>
                    <w:rPr>
                      <w:rFonts w:hint="eastAsia" w:ascii="Times New Roman" w:hAnsi="Times New Roman" w:eastAsia="宋体" w:cs="Times New Roman"/>
                      <w:bCs/>
                      <w:color w:val="auto"/>
                      <w:kern w:val="2"/>
                      <w:sz w:val="21"/>
                      <w:szCs w:val="21"/>
                      <w:lang w:val="en-US" w:eastAsia="zh-CN" w:bidi="ar"/>
                    </w:rPr>
                    <w:t>”</w:t>
                  </w:r>
                  <w:r>
                    <w:rPr>
                      <w:rFonts w:hint="default" w:ascii="Times New Roman" w:hAnsi="Times New Roman" w:eastAsia="宋体" w:cs="Times New Roman"/>
                      <w:bCs/>
                      <w:color w:val="auto"/>
                      <w:kern w:val="2"/>
                      <w:sz w:val="21"/>
                      <w:szCs w:val="21"/>
                      <w:lang w:val="en-US" w:eastAsia="zh-CN" w:bidi="ar"/>
                    </w:rPr>
                    <w:t>项目。</w:t>
                  </w:r>
                </w:p>
              </w:tc>
              <w:tc>
                <w:tcPr>
                  <w:tcW w:w="845" w:type="dxa"/>
                  <w:noWrap w:val="0"/>
                  <w:vAlign w:val="center"/>
                </w:tcPr>
                <w:p w14:paraId="2EA46175">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相符</w:t>
                  </w:r>
                </w:p>
              </w:tc>
            </w:tr>
            <w:tr w14:paraId="6574DF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F7F6B4D">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FB86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2、新建、扩建、搬迁的化学原料药和生物生化制品建设项目应位于产业园区，并符合园区产业定位、园区规划、规划环评及审查意见要求。</w:t>
                  </w:r>
                </w:p>
              </w:tc>
              <w:tc>
                <w:tcPr>
                  <w:tcW w:w="2337" w:type="dxa"/>
                  <w:noWrap w:val="0"/>
                  <w:vAlign w:val="center"/>
                </w:tcPr>
                <w:p w14:paraId="2548EE16">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2、</w:t>
                  </w:r>
                  <w:r>
                    <w:rPr>
                      <w:rFonts w:hint="default" w:ascii="Times New Roman" w:hAnsi="Times New Roman" w:eastAsia="宋体" w:cs="Times New Roman"/>
                      <w:color w:val="auto"/>
                      <w:kern w:val="2"/>
                      <w:sz w:val="21"/>
                      <w:szCs w:val="21"/>
                    </w:rPr>
                    <w:t>本项目不属于</w:t>
                  </w:r>
                  <w:r>
                    <w:rPr>
                      <w:rFonts w:hint="default" w:ascii="Times New Roman" w:hAnsi="Times New Roman" w:eastAsia="宋体" w:cs="Times New Roman"/>
                      <w:color w:val="auto"/>
                      <w:kern w:val="2"/>
                      <w:sz w:val="21"/>
                      <w:szCs w:val="21"/>
                      <w:lang w:val="en-US" w:eastAsia="zh-CN" w:bidi="ar"/>
                    </w:rPr>
                    <w:t>化学原料药和生物生化制品建设项目</w:t>
                  </w:r>
                  <w:r>
                    <w:rPr>
                      <w:rFonts w:hint="eastAsia" w:ascii="Times New Roman" w:hAnsi="Times New Roman" w:eastAsia="宋体" w:cs="Times New Roman"/>
                      <w:color w:val="auto"/>
                      <w:kern w:val="2"/>
                      <w:sz w:val="21"/>
                      <w:szCs w:val="21"/>
                      <w:lang w:val="en-US" w:eastAsia="zh-CN" w:bidi="ar"/>
                    </w:rPr>
                    <w:t>。</w:t>
                  </w:r>
                </w:p>
              </w:tc>
              <w:tc>
                <w:tcPr>
                  <w:tcW w:w="845" w:type="dxa"/>
                  <w:noWrap w:val="0"/>
                  <w:vAlign w:val="center"/>
                </w:tcPr>
                <w:p w14:paraId="202A6BA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bidi="ar"/>
                    </w:rPr>
                    <w:t>不涉及</w:t>
                  </w:r>
                </w:p>
              </w:tc>
            </w:tr>
            <w:tr w14:paraId="79EFFF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6CD369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F837616">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3、铸造企业不得采用无芯工频感应电炉、无磁轭（≥0.25吨）铝壳中频感应电炉、水玻璃熔模精密铸造氯化铵硬化模壳、铝合金六氯乙烷精炼等淘汰类工艺和装备。严格区分锻压行业和钢铁行业生产工艺特征特点，避免锻压配套的炼钢判定为钢铁冶炼生产，也严禁以铸造和锻压名义违规新增钢铁产能、违规生产钢坯钢锭及上市销售。</w:t>
                  </w:r>
                </w:p>
              </w:tc>
              <w:tc>
                <w:tcPr>
                  <w:tcW w:w="2337" w:type="dxa"/>
                  <w:noWrap w:val="0"/>
                  <w:vAlign w:val="center"/>
                </w:tcPr>
                <w:p w14:paraId="2AF83C6B">
                  <w:pPr>
                    <w:pStyle w:val="77"/>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eastAsia="zh-CN"/>
                    </w:rPr>
                  </w:pPr>
                  <w:r>
                    <w:rPr>
                      <w:rFonts w:hint="eastAsia" w:ascii="Times New Roman" w:hAnsi="Times New Roman" w:cs="Times New Roman"/>
                      <w:color w:val="auto"/>
                      <w:kern w:val="2"/>
                      <w:sz w:val="21"/>
                      <w:szCs w:val="21"/>
                      <w:lang w:val="en-US" w:eastAsia="zh-CN"/>
                    </w:rPr>
                    <w:t>3、</w:t>
                  </w:r>
                  <w:r>
                    <w:rPr>
                      <w:rFonts w:hint="eastAsia" w:ascii="Times New Roman" w:hAnsi="Times New Roman" w:cs="Times New Roman"/>
                      <w:color w:val="auto"/>
                      <w:kern w:val="2"/>
                      <w:sz w:val="21"/>
                      <w:szCs w:val="21"/>
                      <w:lang w:eastAsia="zh-CN"/>
                    </w:rPr>
                    <w:t>本项目不属于铸造企业。</w:t>
                  </w:r>
                </w:p>
              </w:tc>
              <w:tc>
                <w:tcPr>
                  <w:tcW w:w="845" w:type="dxa"/>
                  <w:noWrap w:val="0"/>
                  <w:vAlign w:val="center"/>
                </w:tcPr>
                <w:p w14:paraId="2D74FC9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54C640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9F687E3">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9117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4、严控磷铵、电石、黄磷等行业新增产能。</w:t>
                  </w:r>
                </w:p>
              </w:tc>
              <w:tc>
                <w:tcPr>
                  <w:tcW w:w="2337" w:type="dxa"/>
                  <w:noWrap w:val="0"/>
                  <w:vAlign w:val="center"/>
                </w:tcPr>
                <w:p w14:paraId="298B2DB9">
                  <w:pPr>
                    <w:pStyle w:val="77"/>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4、本项目不属于磷铵、电石、黄磷等行业。</w:t>
                  </w:r>
                </w:p>
              </w:tc>
              <w:tc>
                <w:tcPr>
                  <w:tcW w:w="845" w:type="dxa"/>
                  <w:noWrap w:val="0"/>
                  <w:vAlign w:val="center"/>
                </w:tcPr>
                <w:p w14:paraId="69B01BC1">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6BABA3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9A8351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8A17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禁止在黄河干支流岸线管控范围内新建、扩建化工园区和化工项目。新建危险化学品生产项目必须进入通过认定的一般或较低安全风险的化工园区（与其他行业生产装置配套建设的项目除外，配套建设项目由工业和信息化部门会同应急管理部门认定），引导其他化工项目在化工园区发展。</w:t>
                  </w:r>
                </w:p>
              </w:tc>
              <w:tc>
                <w:tcPr>
                  <w:tcW w:w="2337" w:type="dxa"/>
                  <w:noWrap w:val="0"/>
                  <w:vAlign w:val="center"/>
                </w:tcPr>
                <w:p w14:paraId="08301F13">
                  <w:pPr>
                    <w:pStyle w:val="77"/>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5、本项目不属于化工项目。</w:t>
                  </w:r>
                </w:p>
              </w:tc>
              <w:tc>
                <w:tcPr>
                  <w:tcW w:w="845" w:type="dxa"/>
                  <w:noWrap w:val="0"/>
                  <w:vAlign w:val="center"/>
                </w:tcPr>
                <w:p w14:paraId="7A36FEE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07A1E9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A920692">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5053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禁止承接不符合国家石化、现代煤化工等产业布局规划的项目。禁止承接包含《安阳市承接化工产业转移“禁限控”目录》中所列工艺装备或产品的项目。禁止承接煤化工产能。禁止承接一次性固定资产投资额低于3亿元（不含土地费用）的危险化学品生产建设项目（列入国家战略性新兴产业重点产品和服务指导目录的项目除外）。禁止在化工园区外承接化工项目。</w:t>
                  </w:r>
                </w:p>
              </w:tc>
              <w:tc>
                <w:tcPr>
                  <w:tcW w:w="2337" w:type="dxa"/>
                  <w:noWrap w:val="0"/>
                  <w:vAlign w:val="center"/>
                </w:tcPr>
                <w:p w14:paraId="3DD94146">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6、</w:t>
                  </w:r>
                  <w:r>
                    <w:rPr>
                      <w:rFonts w:hint="default" w:ascii="Times New Roman" w:hAnsi="Times New Roman" w:eastAsia="宋体" w:cs="Times New Roman"/>
                      <w:color w:val="auto"/>
                      <w:kern w:val="0"/>
                      <w:sz w:val="21"/>
                      <w:szCs w:val="21"/>
                      <w:lang w:val="en-US" w:eastAsia="zh-CN" w:bidi="ar"/>
                    </w:rPr>
                    <w:t>本项目不属于化工项目。</w:t>
                  </w:r>
                </w:p>
              </w:tc>
              <w:tc>
                <w:tcPr>
                  <w:tcW w:w="845" w:type="dxa"/>
                  <w:noWrap w:val="0"/>
                  <w:vAlign w:val="center"/>
                </w:tcPr>
                <w:p w14:paraId="724B25AC">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43840F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887B1B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37EA6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7、从严从紧控制现代煤化工产能规模和新增煤炭消费量。确需新建的现代煤化工项目，应确保煤炭供应稳定，优先完成国家明确的发电供热用煤保供任务，不得通过减少保供煤用于现代煤化工项目建设，新建项目企业环保应达到绩效分级A级指标要求。新建项目应优先依托园区集中供热供汽设施，原则上不再新增自备燃煤机组。大气污染防治重点区域严禁新增煤化工产能（不含煤制油、煤制燃料）。</w:t>
                  </w:r>
                </w:p>
              </w:tc>
              <w:tc>
                <w:tcPr>
                  <w:tcW w:w="2337" w:type="dxa"/>
                  <w:noWrap w:val="0"/>
                  <w:vAlign w:val="center"/>
                </w:tcPr>
                <w:p w14:paraId="766CD3C3">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7</w:t>
                  </w:r>
                  <w:r>
                    <w:rPr>
                      <w:rFonts w:hint="default" w:ascii="Times New Roman" w:hAnsi="Times New Roman" w:eastAsia="宋体" w:cs="Times New Roman"/>
                      <w:color w:val="auto"/>
                      <w:kern w:val="0"/>
                      <w:sz w:val="21"/>
                      <w:szCs w:val="21"/>
                      <w:lang w:val="en-US" w:eastAsia="zh-CN" w:bidi="ar"/>
                    </w:rPr>
                    <w:t>、本项目不属于化工项目。</w:t>
                  </w:r>
                </w:p>
              </w:tc>
              <w:tc>
                <w:tcPr>
                  <w:tcW w:w="845" w:type="dxa"/>
                  <w:noWrap w:val="0"/>
                  <w:vAlign w:val="center"/>
                </w:tcPr>
                <w:p w14:paraId="40CFA5A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128CF4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AA06391">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46C6718">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8、推动涉重金属产业集中优化发展，禁止低端落后产能向我市转移。禁止新建用汞的电石法（聚）氯乙烯生产工艺。新建、扩建的重有色金属冶炼、电镀、制革企业应选择布设在依法合规设立并经规划环评的产业园区。</w:t>
                  </w:r>
                </w:p>
              </w:tc>
              <w:tc>
                <w:tcPr>
                  <w:tcW w:w="2337" w:type="dxa"/>
                  <w:noWrap w:val="0"/>
                  <w:vAlign w:val="center"/>
                </w:tcPr>
                <w:p w14:paraId="6547F9BA">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8</w:t>
                  </w:r>
                  <w:r>
                    <w:rPr>
                      <w:rFonts w:hint="default" w:ascii="Times New Roman" w:hAnsi="Times New Roman" w:eastAsia="宋体" w:cs="Times New Roman"/>
                      <w:color w:val="auto"/>
                      <w:kern w:val="0"/>
                      <w:sz w:val="21"/>
                      <w:szCs w:val="21"/>
                      <w:lang w:val="en-US" w:eastAsia="zh-CN" w:bidi="ar"/>
                    </w:rPr>
                    <w:t>、本项目属于</w:t>
                  </w:r>
                  <w:r>
                    <w:rPr>
                      <w:rFonts w:hint="eastAsia" w:cs="Times New Roman"/>
                      <w:b w:val="0"/>
                      <w:bCs w:val="0"/>
                      <w:color w:val="auto"/>
                      <w:sz w:val="21"/>
                      <w:szCs w:val="21"/>
                      <w:u w:val="none" w:color="auto"/>
                      <w:lang w:val="en-US" w:eastAsia="zh-CN"/>
                    </w:rPr>
                    <w:t>橡胶和塑料制品业，</w:t>
                  </w:r>
                  <w:r>
                    <w:rPr>
                      <w:rFonts w:hint="eastAsia" w:cs="Times New Roman"/>
                      <w:color w:val="auto"/>
                      <w:kern w:val="0"/>
                      <w:sz w:val="21"/>
                      <w:szCs w:val="21"/>
                      <w:lang w:val="en-US" w:eastAsia="zh-CN" w:bidi="ar"/>
                    </w:rPr>
                    <w:t>不属于重金属产业</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未涉及汞的电石法（聚）氯乙烯生产工艺，不属于重有色金属冶炼、电镀、制革企业</w:t>
                  </w:r>
                  <w:r>
                    <w:rPr>
                      <w:rFonts w:hint="default" w:ascii="Times New Roman" w:hAnsi="Times New Roman" w:eastAsia="宋体" w:cs="Times New Roman"/>
                      <w:color w:val="auto"/>
                      <w:kern w:val="0"/>
                      <w:sz w:val="21"/>
                      <w:szCs w:val="21"/>
                      <w:lang w:val="en-US" w:eastAsia="zh-CN" w:bidi="ar"/>
                    </w:rPr>
                    <w:t>。</w:t>
                  </w:r>
                </w:p>
              </w:tc>
              <w:tc>
                <w:tcPr>
                  <w:tcW w:w="845" w:type="dxa"/>
                  <w:noWrap w:val="0"/>
                  <w:vAlign w:val="center"/>
                </w:tcPr>
                <w:p w14:paraId="66A64DF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3079A3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C78C732">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4BEB849">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9、禁止在水土流失严重区及重点预防区、水源保护区、生态脆弱区、自然保护地、野生动植物重要栖息地等区域，开展造成或者可能造成严重水土流失、破坏水生态环境和野生动植物栖息环境的生产建设活动。确因重大发展战略和重大公共利益需要建设的，应当经科学论证，并依法办理审批手续。严禁在黄河干流和主要支流临岸一定范围内新建“两高一资”（高耗能、高污染和资源性）项目及相关产业园区，具体范围由省人民政府制定。禁止在黄河干流岸线和重要支流岸线的管控范围内新建、改建、扩建尾矿库；但是以提升安全水平、生态环境保护水平为目的的改建除外。</w:t>
                  </w:r>
                </w:p>
              </w:tc>
              <w:tc>
                <w:tcPr>
                  <w:tcW w:w="2337" w:type="dxa"/>
                  <w:noWrap w:val="0"/>
                  <w:vAlign w:val="center"/>
                </w:tcPr>
                <w:p w14:paraId="6CE04A6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cs="Times New Roman"/>
                      <w:color w:val="auto"/>
                      <w:kern w:val="2"/>
                      <w:sz w:val="21"/>
                      <w:szCs w:val="21"/>
                      <w:lang w:val="en-US" w:eastAsia="zh-CN"/>
                    </w:rPr>
                    <w:t>9、</w:t>
                  </w:r>
                  <w:r>
                    <w:rPr>
                      <w:rFonts w:hint="default" w:ascii="Times New Roman" w:hAnsi="Times New Roman" w:eastAsia="宋体" w:cs="Times New Roman"/>
                      <w:color w:val="auto"/>
                      <w:kern w:val="2"/>
                      <w:sz w:val="21"/>
                      <w:szCs w:val="21"/>
                    </w:rPr>
                    <w:t>本项目不涉及。</w:t>
                  </w:r>
                </w:p>
              </w:tc>
              <w:tc>
                <w:tcPr>
                  <w:tcW w:w="845" w:type="dxa"/>
                  <w:noWrap w:val="0"/>
                  <w:vAlign w:val="center"/>
                </w:tcPr>
                <w:p w14:paraId="19478F2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w:t>
                  </w:r>
                </w:p>
              </w:tc>
            </w:tr>
            <w:tr w14:paraId="634BD2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742B81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0EDE6FA0">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10、原则上禁止曾用于生产、使用、贮存、回收、处置有毒有害物质的工矿用地复垦为种植食用农产品的耕地。</w:t>
                  </w:r>
                </w:p>
              </w:tc>
              <w:tc>
                <w:tcPr>
                  <w:tcW w:w="2337" w:type="dxa"/>
                  <w:noWrap w:val="0"/>
                  <w:vAlign w:val="center"/>
                </w:tcPr>
                <w:p w14:paraId="799AF159">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eastAsia" w:ascii="Times New Roman" w:hAnsi="Times New Roman" w:cs="Times New Roman"/>
                      <w:color w:val="auto"/>
                      <w:kern w:val="2"/>
                      <w:sz w:val="21"/>
                      <w:szCs w:val="21"/>
                      <w:lang w:val="en-US" w:eastAsia="zh-CN"/>
                    </w:rPr>
                    <w:t>10、</w:t>
                  </w:r>
                  <w:r>
                    <w:rPr>
                      <w:rFonts w:hint="default" w:ascii="Times New Roman" w:hAnsi="Times New Roman" w:eastAsia="宋体" w:cs="Times New Roman"/>
                      <w:color w:val="auto"/>
                      <w:kern w:val="2"/>
                      <w:sz w:val="21"/>
                      <w:szCs w:val="21"/>
                    </w:rPr>
                    <w:t>本项目不涉及。</w:t>
                  </w:r>
                </w:p>
              </w:tc>
              <w:tc>
                <w:tcPr>
                  <w:tcW w:w="845" w:type="dxa"/>
                  <w:noWrap w:val="0"/>
                  <w:vAlign w:val="center"/>
                </w:tcPr>
                <w:p w14:paraId="02BF704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相符</w:t>
                  </w:r>
                </w:p>
              </w:tc>
            </w:tr>
            <w:tr w14:paraId="4EF98F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F47C1A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7C5DD1C">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11、工业企业选址应对符合国土空间规划和相关规划要求，建设项目严格执行声功能区环境准入要求，禁止在0、1类声环境功能区、严格限制在城市建成区内2类声环境功能区（工业园区外）建设产生噪声污染的工业项目。严控噪声污染严重的工业企业向乡村居民区域转移。</w:t>
                  </w:r>
                </w:p>
              </w:tc>
              <w:tc>
                <w:tcPr>
                  <w:tcW w:w="2337" w:type="dxa"/>
                  <w:noWrap w:val="0"/>
                  <w:vAlign w:val="center"/>
                </w:tcPr>
                <w:p w14:paraId="7A4BF213">
                  <w:pPr>
                    <w:pStyle w:val="77"/>
                    <w:keepNext w:val="0"/>
                    <w:keepLines w:val="0"/>
                    <w:widowControl/>
                    <w:suppressLineNumbers w:val="0"/>
                    <w:spacing w:before="0" w:beforeAutospacing="0" w:after="0" w:afterAutospacing="0"/>
                    <w:ind w:left="0" w:right="0"/>
                    <w:jc w:val="left"/>
                    <w:rPr>
                      <w:rFonts w:hint="default" w:ascii="Times New Roman" w:hAnsi="Times New Roman"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11、</w:t>
                  </w:r>
                  <w:r>
                    <w:rPr>
                      <w:rFonts w:hint="default" w:ascii="Times New Roman" w:hAnsi="Times New Roman" w:eastAsia="宋体" w:cs="Times New Roman"/>
                      <w:color w:val="auto"/>
                      <w:kern w:val="0"/>
                      <w:sz w:val="21"/>
                      <w:szCs w:val="21"/>
                      <w:lang w:val="en-US" w:eastAsia="zh-CN" w:bidi="ar"/>
                    </w:rPr>
                    <w:t>本项目位于</w:t>
                  </w:r>
                  <w:r>
                    <w:rPr>
                      <w:rFonts w:hint="eastAsia" w:cs="Times New Roman"/>
                      <w:color w:val="auto"/>
                      <w:kern w:val="0"/>
                      <w:sz w:val="21"/>
                      <w:szCs w:val="21"/>
                      <w:lang w:val="en-US" w:eastAsia="zh-CN" w:bidi="ar"/>
                    </w:rPr>
                    <w:t>安阳市汤阴县古贤镇中西路、工业三路与工业四路交叉口西北角9号</w:t>
                  </w:r>
                  <w:r>
                    <w:rPr>
                      <w:rFonts w:hint="default"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位于新型材料加工区内，根据项目规划环评，执行2类声环境标准</w:t>
                  </w:r>
                  <w:r>
                    <w:rPr>
                      <w:rFonts w:hint="default" w:ascii="Times New Roman" w:hAnsi="Times New Roman" w:eastAsia="宋体" w:cs="Times New Roman"/>
                      <w:color w:val="auto"/>
                      <w:kern w:val="0"/>
                      <w:sz w:val="21"/>
                      <w:szCs w:val="21"/>
                      <w:lang w:val="en-US" w:eastAsia="zh-CN" w:bidi="ar"/>
                    </w:rPr>
                    <w:t>，厂界外50m范围内无声环境保护目标。</w:t>
                  </w:r>
                </w:p>
              </w:tc>
              <w:tc>
                <w:tcPr>
                  <w:tcW w:w="845" w:type="dxa"/>
                  <w:noWrap w:val="0"/>
                  <w:vAlign w:val="center"/>
                </w:tcPr>
                <w:p w14:paraId="5462245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bidi="ar"/>
                    </w:rPr>
                    <w:t>相符</w:t>
                  </w:r>
                </w:p>
              </w:tc>
            </w:tr>
            <w:tr w14:paraId="2A9A76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67FAEA55">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F209411">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12、禁止在饮用水水源一级保护区内新建、改建、扩建与供水设施和保护水源无关的建设项目，且不得新建排污口。禁止在饮用水水源二级保护区内新建、改建、扩建排放污染物的建设项目，且不得新建排污口。禁止在饮用水水源准保护区内新建、扩建对水体污染严重的建设项目，改建建设项目不得增加排污量。</w:t>
                  </w:r>
                </w:p>
              </w:tc>
              <w:tc>
                <w:tcPr>
                  <w:tcW w:w="2337" w:type="dxa"/>
                  <w:noWrap w:val="0"/>
                  <w:vAlign w:val="center"/>
                </w:tcPr>
                <w:p w14:paraId="70A279EE">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12、</w:t>
                  </w:r>
                  <w:r>
                    <w:rPr>
                      <w:rFonts w:hint="eastAsia" w:cs="Times New Roman"/>
                      <w:b w:val="0"/>
                      <w:bCs w:val="0"/>
                      <w:color w:val="auto"/>
                      <w:kern w:val="0"/>
                      <w:sz w:val="21"/>
                      <w:szCs w:val="21"/>
                      <w:u w:val="none"/>
                      <w:lang w:val="en-US" w:eastAsia="zh-CN" w:bidi="ar"/>
                    </w:rPr>
                    <w:t>距离古贤水源保护地1188m，</w:t>
                  </w:r>
                  <w:r>
                    <w:rPr>
                      <w:rFonts w:hint="eastAsia" w:cs="Times New Roman"/>
                      <w:color w:val="auto"/>
                      <w:kern w:val="0"/>
                      <w:sz w:val="21"/>
                      <w:szCs w:val="21"/>
                      <w:lang w:val="en-US" w:eastAsia="zh-CN" w:bidi="ar"/>
                    </w:rPr>
                    <w:t>未在</w:t>
                  </w:r>
                  <w:r>
                    <w:rPr>
                      <w:rFonts w:hint="default" w:ascii="Times New Roman" w:hAnsi="Times New Roman" w:eastAsia="宋体" w:cs="Times New Roman"/>
                      <w:color w:val="auto"/>
                      <w:kern w:val="2"/>
                      <w:sz w:val="21"/>
                      <w:szCs w:val="21"/>
                      <w:lang w:val="en-US" w:eastAsia="zh-CN" w:bidi="ar"/>
                    </w:rPr>
                    <w:t>饮用水水源一级、二级保护区及准保护区</w:t>
                  </w:r>
                  <w:r>
                    <w:rPr>
                      <w:rFonts w:hint="eastAsia" w:cs="Times New Roman"/>
                      <w:color w:val="auto"/>
                      <w:kern w:val="2"/>
                      <w:sz w:val="21"/>
                      <w:szCs w:val="21"/>
                      <w:lang w:val="en-US" w:eastAsia="zh-CN" w:bidi="ar"/>
                    </w:rPr>
                    <w:t>范围内</w:t>
                  </w:r>
                  <w:r>
                    <w:rPr>
                      <w:rFonts w:hint="default" w:ascii="Times New Roman" w:hAnsi="Times New Roman" w:eastAsia="宋体" w:cs="Times New Roman"/>
                      <w:color w:val="auto"/>
                      <w:kern w:val="2"/>
                      <w:sz w:val="21"/>
                      <w:szCs w:val="21"/>
                      <w:lang w:val="en-US" w:eastAsia="zh-CN" w:bidi="ar"/>
                    </w:rPr>
                    <w:t>。</w:t>
                  </w:r>
                </w:p>
              </w:tc>
              <w:tc>
                <w:tcPr>
                  <w:tcW w:w="845" w:type="dxa"/>
                  <w:noWrap w:val="0"/>
                  <w:vAlign w:val="center"/>
                </w:tcPr>
                <w:p w14:paraId="361712C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bCs/>
                      <w:color w:val="auto"/>
                      <w:kern w:val="2"/>
                      <w:sz w:val="21"/>
                      <w:szCs w:val="21"/>
                      <w:lang w:val="en-US" w:eastAsia="zh-CN" w:bidi="ar"/>
                    </w:rPr>
                    <w:t>相符</w:t>
                  </w:r>
                </w:p>
              </w:tc>
            </w:tr>
            <w:tr w14:paraId="454C91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099AEDB9">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A24B0F2">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default" w:ascii="Times New Roman" w:hAnsi="Times New Roman" w:eastAsia="宋体" w:cs="Times New Roman"/>
                      <w:b w:val="0"/>
                      <w:bCs w:val="0"/>
                      <w:color w:val="auto"/>
                      <w:kern w:val="2"/>
                      <w:sz w:val="21"/>
                      <w:szCs w:val="21"/>
                      <w:u w:val="none"/>
                      <w:lang w:val="en-US" w:eastAsia="zh-CN" w:bidi="ar"/>
                    </w:rPr>
                  </w:pPr>
                  <w:r>
                    <w:rPr>
                      <w:rFonts w:hint="default" w:ascii="Times New Roman" w:hAnsi="Times New Roman" w:eastAsia="宋体" w:cs="Times New Roman"/>
                      <w:b w:val="0"/>
                      <w:bCs/>
                      <w:color w:val="auto"/>
                      <w:kern w:val="0"/>
                      <w:sz w:val="21"/>
                      <w:szCs w:val="21"/>
                      <w:lang w:val="en-US" w:eastAsia="zh-CN" w:bidi="ar"/>
                    </w:rPr>
                    <w:t>13</w:t>
                  </w:r>
                  <w:r>
                    <w:rPr>
                      <w:rFonts w:hint="eastAsia" w:ascii="Times New Roman" w:hAnsi="Times New Roman" w:eastAsia="宋体" w:cs="Times New Roman"/>
                      <w:b w:val="0"/>
                      <w:bCs/>
                      <w:color w:val="auto"/>
                      <w:kern w:val="0"/>
                      <w:sz w:val="21"/>
                      <w:szCs w:val="21"/>
                      <w:lang w:val="en-US" w:eastAsia="zh-CN" w:bidi="ar"/>
                    </w:rPr>
                    <w:t>、林州万宝山省级自然保护区禁止下列行为：</w:t>
                  </w:r>
                  <w:r>
                    <w:rPr>
                      <w:rFonts w:hint="eastAsia" w:ascii="Times New Roman" w:hAnsi="Times New Roman" w:cs="Times New Roman"/>
                      <w:b w:val="0"/>
                      <w:bCs/>
                      <w:color w:val="auto"/>
                      <w:kern w:val="0"/>
                      <w:sz w:val="21"/>
                      <w:szCs w:val="21"/>
                      <w:lang w:val="en-US" w:eastAsia="zh-CN"/>
                    </w:rPr>
                    <w:t>略。</w:t>
                  </w:r>
                </w:p>
              </w:tc>
              <w:tc>
                <w:tcPr>
                  <w:tcW w:w="2337" w:type="dxa"/>
                  <w:noWrap w:val="0"/>
                  <w:vAlign w:val="center"/>
                </w:tcPr>
                <w:p w14:paraId="08A9FEBD">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13、不涉及。</w:t>
                  </w:r>
                </w:p>
              </w:tc>
              <w:tc>
                <w:tcPr>
                  <w:tcW w:w="845" w:type="dxa"/>
                  <w:noWrap w:val="0"/>
                  <w:vAlign w:val="center"/>
                </w:tcPr>
                <w:p w14:paraId="1BD474B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7B44C8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68E569E3">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1A0CCB6">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eastAsia"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14、林虑山风景名胜区内禁止以下行为：略。</w:t>
                  </w:r>
                </w:p>
              </w:tc>
              <w:tc>
                <w:tcPr>
                  <w:tcW w:w="2337" w:type="dxa"/>
                  <w:noWrap w:val="0"/>
                  <w:vAlign w:val="center"/>
                </w:tcPr>
                <w:p w14:paraId="702C3333">
                  <w:pPr>
                    <w:keepNext w:val="0"/>
                    <w:keepLines w:val="0"/>
                    <w:widowControl/>
                    <w:suppressLineNumbers w:val="0"/>
                    <w:adjustRightInd w:val="0"/>
                    <w:snapToGrid w:val="0"/>
                    <w:spacing w:before="0" w:beforeAutospacing="0" w:after="0" w:afterAutospacing="0"/>
                    <w:ind w:left="0" w:leftChars="0" w:right="0" w:rightChars="0"/>
                    <w:jc w:val="both"/>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14、不涉及。</w:t>
                  </w:r>
                </w:p>
              </w:tc>
              <w:tc>
                <w:tcPr>
                  <w:tcW w:w="845" w:type="dxa"/>
                  <w:noWrap w:val="0"/>
                  <w:vAlign w:val="center"/>
                </w:tcPr>
                <w:p w14:paraId="12CD6DF9">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16FE46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0F6FA32">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331F734">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eastAsia"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15、淇河国家鲫鱼种质资源保护区禁止下列行为：略。</w:t>
                  </w:r>
                </w:p>
              </w:tc>
              <w:tc>
                <w:tcPr>
                  <w:tcW w:w="2337" w:type="dxa"/>
                  <w:noWrap w:val="0"/>
                  <w:vAlign w:val="center"/>
                </w:tcPr>
                <w:p w14:paraId="37A578F4">
                  <w:pPr>
                    <w:keepNext w:val="0"/>
                    <w:keepLines w:val="0"/>
                    <w:widowControl/>
                    <w:suppressLineNumbers w:val="0"/>
                    <w:adjustRightInd w:val="0"/>
                    <w:snapToGrid w:val="0"/>
                    <w:spacing w:before="0" w:beforeAutospacing="0" w:after="0" w:afterAutospacing="0"/>
                    <w:ind w:left="0" w:leftChars="0" w:right="0" w:rightChars="0"/>
                    <w:jc w:val="both"/>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15、不涉及。</w:t>
                  </w:r>
                </w:p>
              </w:tc>
              <w:tc>
                <w:tcPr>
                  <w:tcW w:w="845" w:type="dxa"/>
                  <w:noWrap w:val="0"/>
                  <w:vAlign w:val="center"/>
                </w:tcPr>
                <w:p w14:paraId="4D0E5E2C">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12CA02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27CA6D5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5337A0E">
                  <w:pPr>
                    <w:pStyle w:val="23"/>
                    <w:keepNext w:val="0"/>
                    <w:keepLines w:val="0"/>
                    <w:widowControl w:val="0"/>
                    <w:suppressLineNumbers w:val="0"/>
                    <w:overflowPunct w:val="0"/>
                    <w:autoSpaceDE w:val="0"/>
                    <w:autoSpaceDN/>
                    <w:adjustRightInd w:val="0"/>
                    <w:snapToGrid w:val="0"/>
                    <w:spacing w:before="0" w:beforeAutospacing="0" w:after="0" w:afterAutospacing="0" w:line="252" w:lineRule="auto"/>
                    <w:ind w:left="0" w:leftChars="0" w:right="0" w:rightChars="0" w:firstLine="0" w:firstLineChars="0"/>
                    <w:jc w:val="both"/>
                    <w:rPr>
                      <w:rFonts w:hint="eastAsia"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16、淇淅河湿地公园核心区内禁止下列行为：略。</w:t>
                  </w:r>
                </w:p>
              </w:tc>
              <w:tc>
                <w:tcPr>
                  <w:tcW w:w="2337" w:type="dxa"/>
                  <w:noWrap w:val="0"/>
                  <w:vAlign w:val="center"/>
                </w:tcPr>
                <w:p w14:paraId="17A50E11">
                  <w:pPr>
                    <w:keepNext w:val="0"/>
                    <w:keepLines w:val="0"/>
                    <w:widowControl/>
                    <w:suppressLineNumbers w:val="0"/>
                    <w:adjustRightInd w:val="0"/>
                    <w:snapToGrid w:val="0"/>
                    <w:spacing w:before="0" w:beforeAutospacing="0" w:after="0" w:afterAutospacing="0"/>
                    <w:ind w:left="0" w:leftChars="0" w:right="0" w:rightChars="0"/>
                    <w:jc w:val="both"/>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16、不涉及。</w:t>
                  </w:r>
                </w:p>
              </w:tc>
              <w:tc>
                <w:tcPr>
                  <w:tcW w:w="845" w:type="dxa"/>
                  <w:noWrap w:val="0"/>
                  <w:vAlign w:val="center"/>
                </w:tcPr>
                <w:p w14:paraId="1617300F">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
                    </w:rPr>
                    <w:t>不涉及</w:t>
                  </w:r>
                </w:p>
              </w:tc>
            </w:tr>
            <w:tr w14:paraId="7D09E6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0E653A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1DF3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17、汤河国家湿地公园规划区内禁止下列行为：</w:t>
                  </w:r>
                </w:p>
                <w:p w14:paraId="0FFAF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（一）建设与湿地公园无关的项目；</w:t>
                  </w:r>
                </w:p>
                <w:p w14:paraId="77BEF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（二）未经达标处理排放废水；倾倒垃圾、粪便及其他废弃物；堆放、存储固体废弃物和其他污染物；</w:t>
                  </w:r>
                </w:p>
                <w:p w14:paraId="25929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（三）使用不符合国家环保标准的高毒高残留农药；</w:t>
                  </w:r>
                </w:p>
                <w:p w14:paraId="42BF5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（四）在景物上涂写、刻画、张贴等；损坏游览、服务等公共施舍和其他设施；</w:t>
                  </w:r>
                </w:p>
                <w:p w14:paraId="0289F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（五）洗涤污物、清洗机动车辆和船舶；</w:t>
                  </w:r>
                </w:p>
                <w:p w14:paraId="63513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（六）其他破坏湿地公园生态资源和人文历史风貌资源的行为。</w:t>
                  </w:r>
                </w:p>
              </w:tc>
              <w:tc>
                <w:tcPr>
                  <w:tcW w:w="2337" w:type="dxa"/>
                  <w:noWrap w:val="0"/>
                  <w:vAlign w:val="center"/>
                </w:tcPr>
                <w:p w14:paraId="1D1667DE">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17</w:t>
                  </w:r>
                  <w:r>
                    <w:rPr>
                      <w:rFonts w:hint="default" w:ascii="Times New Roman" w:hAnsi="Times New Roman" w:eastAsia="宋体" w:cs="Times New Roman"/>
                      <w:color w:val="auto"/>
                      <w:kern w:val="0"/>
                      <w:sz w:val="21"/>
                      <w:szCs w:val="21"/>
                      <w:lang w:val="en-US" w:eastAsia="zh-CN" w:bidi="ar"/>
                    </w:rPr>
                    <w:t>、本项目不涉及汤河国家湿地公园。</w:t>
                  </w:r>
                </w:p>
              </w:tc>
              <w:tc>
                <w:tcPr>
                  <w:tcW w:w="845" w:type="dxa"/>
                  <w:noWrap w:val="0"/>
                  <w:vAlign w:val="center"/>
                </w:tcPr>
                <w:p w14:paraId="3C7D420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0CA9AF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83D9D3C">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3F759A88">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val="0"/>
                      <w:bCs w:val="0"/>
                      <w:color w:val="auto"/>
                      <w:kern w:val="2"/>
                      <w:sz w:val="21"/>
                      <w:szCs w:val="21"/>
                      <w:u w:val="none"/>
                      <w:lang w:val="en-US" w:eastAsia="zh-CN" w:bidi="ar"/>
                    </w:rPr>
                  </w:pPr>
                  <w:r>
                    <w:rPr>
                      <w:rFonts w:hint="eastAsia" w:ascii="Times New Roman" w:hAnsi="Times New Roman" w:eastAsia="宋体" w:cs="Times New Roman"/>
                      <w:b w:val="0"/>
                      <w:bCs/>
                      <w:color w:val="auto"/>
                      <w:kern w:val="0"/>
                      <w:sz w:val="21"/>
                      <w:szCs w:val="21"/>
                      <w:lang w:val="en-US" w:eastAsia="zh-CN" w:bidi="ar"/>
                    </w:rPr>
                    <w:t>18、漳河峡谷国家湿地公园核心区、一级保护区内禁止下列行为：略。</w:t>
                  </w:r>
                </w:p>
              </w:tc>
              <w:tc>
                <w:tcPr>
                  <w:tcW w:w="2337" w:type="dxa"/>
                  <w:noWrap w:val="0"/>
                  <w:vAlign w:val="center"/>
                </w:tcPr>
                <w:p w14:paraId="48F4E518">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宋体" w:cs="Times New Roman"/>
                      <w:b w:val="0"/>
                      <w:bCs w:val="0"/>
                      <w:color w:val="auto"/>
                      <w:kern w:val="2"/>
                      <w:sz w:val="21"/>
                      <w:szCs w:val="21"/>
                      <w:u w:val="none"/>
                      <w:lang w:eastAsia="zh-CN"/>
                    </w:rPr>
                  </w:pPr>
                  <w:r>
                    <w:rPr>
                      <w:rFonts w:hint="eastAsia" w:cs="Times New Roman"/>
                      <w:b w:val="0"/>
                      <w:bCs w:val="0"/>
                      <w:color w:val="auto"/>
                      <w:kern w:val="2"/>
                      <w:sz w:val="21"/>
                      <w:szCs w:val="21"/>
                      <w:u w:val="none"/>
                      <w:lang w:val="en-US" w:eastAsia="zh-CN"/>
                    </w:rPr>
                    <w:t>18、</w:t>
                  </w:r>
                  <w:r>
                    <w:rPr>
                      <w:rFonts w:hint="eastAsia" w:cs="Times New Roman"/>
                      <w:b w:val="0"/>
                      <w:bCs w:val="0"/>
                      <w:color w:val="auto"/>
                      <w:kern w:val="2"/>
                      <w:sz w:val="21"/>
                      <w:szCs w:val="21"/>
                      <w:u w:val="none"/>
                      <w:lang w:eastAsia="zh-CN"/>
                    </w:rPr>
                    <w:t>不涉及</w:t>
                  </w:r>
                </w:p>
              </w:tc>
              <w:tc>
                <w:tcPr>
                  <w:tcW w:w="845" w:type="dxa"/>
                  <w:noWrap w:val="0"/>
                  <w:vAlign w:val="center"/>
                </w:tcPr>
                <w:p w14:paraId="3AE4EC4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u w:val="none"/>
                      <w:lang w:eastAsia="zh-CN"/>
                    </w:rPr>
                  </w:pPr>
                  <w:r>
                    <w:rPr>
                      <w:rFonts w:hint="default" w:ascii="Times New Roman" w:hAnsi="Times New Roman" w:eastAsia="宋体" w:cs="Times New Roman"/>
                      <w:b w:val="0"/>
                      <w:bCs w:val="0"/>
                      <w:color w:val="auto"/>
                      <w:kern w:val="0"/>
                      <w:sz w:val="21"/>
                      <w:szCs w:val="21"/>
                      <w:u w:val="none"/>
                      <w:lang w:val="en-US" w:eastAsia="zh-CN" w:bidi="ar"/>
                    </w:rPr>
                    <w:t>不涉及</w:t>
                  </w:r>
                </w:p>
              </w:tc>
            </w:tr>
            <w:tr w14:paraId="78053B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5848EF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F8EC63D">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19、禁燃区内，禁止销售和燃用国家规定的高污染燃料；禁止新建、扩建燃用高污染燃料的设施，已建成的，应当在市、县（市）人民政府规定的期限内改用天然气、液化石油气、电等清洁能源。</w:t>
                  </w:r>
                </w:p>
              </w:tc>
              <w:tc>
                <w:tcPr>
                  <w:tcW w:w="2337" w:type="dxa"/>
                  <w:noWrap w:val="0"/>
                  <w:vAlign w:val="center"/>
                </w:tcPr>
                <w:p w14:paraId="33F0A6A0">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19</w:t>
                  </w:r>
                  <w:r>
                    <w:rPr>
                      <w:rFonts w:hint="default" w:ascii="Times New Roman" w:hAnsi="Times New Roman" w:eastAsia="宋体" w:cs="Times New Roman"/>
                      <w:color w:val="auto"/>
                      <w:kern w:val="0"/>
                      <w:sz w:val="21"/>
                      <w:szCs w:val="21"/>
                      <w:lang w:val="en-US" w:eastAsia="zh-CN" w:bidi="ar"/>
                    </w:rPr>
                    <w:t>、本项目不涉及销售和燃用国家规定的高污染燃料；本项目不涉及新建、扩建燃用高污染燃料的设施。</w:t>
                  </w:r>
                </w:p>
              </w:tc>
              <w:tc>
                <w:tcPr>
                  <w:tcW w:w="845" w:type="dxa"/>
                  <w:noWrap w:val="0"/>
                  <w:vAlign w:val="center"/>
                </w:tcPr>
                <w:p w14:paraId="665E6E4D">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522AC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0A1129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6F2E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20、禁燃区内，禁止销售和燃用国家规定的高污染燃料；禁止新建、扩建燃用高污染燃料的设施，已建成的，应当在市、县（市）人民政府规定的期限内改用天然气、液化石油气、电等清洁能源。在高污染燃料禁燃区内，禁止新建燃烧煤炭、重油、渣油以及直接燃用生物质的锅炉，其他地区禁止新建每小时三十五蒸吨以下的燃烧煤炭、重油、渣油以及直接燃用生物质的锅炉。现有燃煤锅炉改为燃气锅炉的，应当同步实现低氮改造，氮氧化物排放应当达到本市控制要求。</w:t>
                  </w:r>
                </w:p>
              </w:tc>
              <w:tc>
                <w:tcPr>
                  <w:tcW w:w="2337" w:type="dxa"/>
                  <w:noWrap w:val="0"/>
                  <w:vAlign w:val="center"/>
                </w:tcPr>
                <w:p w14:paraId="69A744A9">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20</w:t>
                  </w:r>
                  <w:r>
                    <w:rPr>
                      <w:rFonts w:hint="default" w:ascii="Times New Roman" w:hAnsi="Times New Roman" w:eastAsia="宋体" w:cs="Times New Roman"/>
                      <w:color w:val="auto"/>
                      <w:kern w:val="0"/>
                      <w:sz w:val="21"/>
                      <w:szCs w:val="21"/>
                      <w:lang w:val="en-US" w:eastAsia="zh-CN" w:bidi="ar"/>
                    </w:rPr>
                    <w:t>、本项目不涉及煤炭、重油、渣油以及直接燃用生物质的锅炉。</w:t>
                  </w:r>
                </w:p>
              </w:tc>
              <w:tc>
                <w:tcPr>
                  <w:tcW w:w="845" w:type="dxa"/>
                  <w:noWrap w:val="0"/>
                  <w:vAlign w:val="center"/>
                </w:tcPr>
                <w:p w14:paraId="34D21C7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相符</w:t>
                  </w:r>
                </w:p>
              </w:tc>
            </w:tr>
            <w:tr w14:paraId="12A6C5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33B7046A">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21B87552">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21、禁止露天焚烧秸秆、落叶、树枝、枯草等产生烟尘污染的物质，以及非法焚烧电子废弃物、油毡、橡胶、塑料、皮革、沥青、垃圾及其他产生有毒有害烟尘、恶臭或者强烈异味气体的物质。禁止在城市建成区的道路及其两侧、广场、住宅小区等公共场所焚烧祭祀用品。任何单位和个人不得在人民政府禁止的区域内露天烧烤食品或者为露天烧烤食品提供场地。</w:t>
                  </w:r>
                </w:p>
              </w:tc>
              <w:tc>
                <w:tcPr>
                  <w:tcW w:w="2337" w:type="dxa"/>
                  <w:noWrap w:val="0"/>
                  <w:vAlign w:val="center"/>
                </w:tcPr>
                <w:p w14:paraId="68DC6B87">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21</w:t>
                  </w:r>
                  <w:r>
                    <w:rPr>
                      <w:rFonts w:hint="default" w:ascii="Times New Roman" w:hAnsi="Times New Roman" w:eastAsia="宋体" w:cs="Times New Roman"/>
                      <w:color w:val="auto"/>
                      <w:kern w:val="0"/>
                      <w:sz w:val="21"/>
                      <w:szCs w:val="21"/>
                      <w:lang w:val="en-US" w:eastAsia="zh-CN" w:bidi="ar"/>
                    </w:rPr>
                    <w:t>、本项目不涉及露天焚烧；不涉及焚烧祭祀用品不涉及烧烤等内容。</w:t>
                  </w:r>
                </w:p>
              </w:tc>
              <w:tc>
                <w:tcPr>
                  <w:tcW w:w="845" w:type="dxa"/>
                  <w:noWrap w:val="0"/>
                  <w:vAlign w:val="center"/>
                </w:tcPr>
                <w:p w14:paraId="2D1CF56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74A155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E24F2A0">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1C7D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22、禁止在下列场所新建、改建、扩建排放油烟的餐饮服务项目：</w:t>
                  </w:r>
                </w:p>
                <w:p w14:paraId="1EFDB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（一）居民住宅楼等非商用建筑；</w:t>
                  </w:r>
                </w:p>
                <w:p w14:paraId="640C8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（二）未设立配套规划专用烟道的商住综合楼；</w:t>
                  </w:r>
                </w:p>
                <w:p w14:paraId="5367DD6A">
                  <w:pPr>
                    <w:pStyle w:val="7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（三）商住综合楼内与居住层相邻的楼层。</w:t>
                  </w:r>
                </w:p>
              </w:tc>
              <w:tc>
                <w:tcPr>
                  <w:tcW w:w="2337" w:type="dxa"/>
                  <w:noWrap w:val="0"/>
                  <w:vAlign w:val="center"/>
                </w:tcPr>
                <w:p w14:paraId="2FB3ACC9">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22</w:t>
                  </w:r>
                  <w:r>
                    <w:rPr>
                      <w:rFonts w:hint="default" w:ascii="Times New Roman" w:hAnsi="Times New Roman" w:eastAsia="宋体" w:cs="Times New Roman"/>
                      <w:color w:val="auto"/>
                      <w:kern w:val="0"/>
                      <w:sz w:val="21"/>
                      <w:szCs w:val="21"/>
                      <w:lang w:val="en-US" w:eastAsia="zh-CN" w:bidi="ar"/>
                    </w:rPr>
                    <w:t>、本项目不属于餐饮服务业。</w:t>
                  </w:r>
                </w:p>
              </w:tc>
              <w:tc>
                <w:tcPr>
                  <w:tcW w:w="845" w:type="dxa"/>
                  <w:noWrap w:val="0"/>
                  <w:vAlign w:val="center"/>
                </w:tcPr>
                <w:p w14:paraId="08AC62A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7B1561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4F421D43">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A55F311">
                  <w:pPr>
                    <w:pStyle w:val="77"/>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23、列入建设用地土壤污染风险管控和修复名录的地块，应依法采取风险管控措施，实施土壤修复或风险管控。未达到土壤污染风险评估报告确定的风险管控、修复目标的建设用地地块，禁止开工建设任何与风险管控、修复无关的项目。</w:t>
                  </w:r>
                </w:p>
              </w:tc>
              <w:tc>
                <w:tcPr>
                  <w:tcW w:w="2337" w:type="dxa"/>
                  <w:noWrap w:val="0"/>
                  <w:vAlign w:val="center"/>
                </w:tcPr>
                <w:p w14:paraId="775117FD">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0"/>
                      <w:sz w:val="21"/>
                      <w:szCs w:val="21"/>
                      <w:lang w:val="en-US" w:eastAsia="zh-CN" w:bidi="ar"/>
                    </w:rPr>
                    <w:t>23</w:t>
                  </w:r>
                  <w:r>
                    <w:rPr>
                      <w:rFonts w:hint="default" w:ascii="Times New Roman" w:hAnsi="Times New Roman" w:eastAsia="宋体" w:cs="Times New Roman"/>
                      <w:color w:val="auto"/>
                      <w:kern w:val="0"/>
                      <w:sz w:val="21"/>
                      <w:szCs w:val="21"/>
                      <w:lang w:val="en-US" w:eastAsia="zh-CN" w:bidi="ar"/>
                    </w:rPr>
                    <w:t>、本项目占地未被列入土壤污染风险管控和修复名录。</w:t>
                  </w:r>
                </w:p>
              </w:tc>
              <w:tc>
                <w:tcPr>
                  <w:tcW w:w="845" w:type="dxa"/>
                  <w:noWrap w:val="0"/>
                  <w:vAlign w:val="center"/>
                </w:tcPr>
                <w:p w14:paraId="32D5080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相符</w:t>
                  </w:r>
                </w:p>
              </w:tc>
            </w:tr>
            <w:tr w14:paraId="2A4AB3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noWrap w:val="0"/>
                  <w:vAlign w:val="center"/>
                </w:tcPr>
                <w:p w14:paraId="5DA0A0FB">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污染物排放管控</w:t>
                  </w:r>
                </w:p>
              </w:tc>
              <w:tc>
                <w:tcPr>
                  <w:tcW w:w="3825" w:type="dxa"/>
                  <w:noWrap w:val="0"/>
                  <w:vAlign w:val="center"/>
                </w:tcPr>
                <w:p w14:paraId="1B5CA41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1</w:t>
                  </w:r>
                  <w:r>
                    <w:rPr>
                      <w:rFonts w:hint="default" w:ascii="Times New Roman" w:hAnsi="Times New Roman" w:eastAsia="宋体" w:cs="Times New Roman"/>
                      <w:color w:val="auto"/>
                      <w:kern w:val="2"/>
                      <w:sz w:val="21"/>
                      <w:szCs w:val="21"/>
                    </w:rPr>
                    <w:t>、新、改、扩建项目主要污染物排放要求满足当地总量减排要求。</w:t>
                  </w:r>
                </w:p>
              </w:tc>
              <w:tc>
                <w:tcPr>
                  <w:tcW w:w="2337" w:type="dxa"/>
                  <w:noWrap w:val="0"/>
                  <w:vAlign w:val="center"/>
                </w:tcPr>
                <w:p w14:paraId="233B7D62">
                  <w:pPr>
                    <w:keepNext w:val="0"/>
                    <w:keepLines w:val="0"/>
                    <w:widowControl/>
                    <w:suppressLineNumbers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b w:val="0"/>
                      <w:bCs w:val="0"/>
                      <w:color w:val="auto"/>
                      <w:kern w:val="0"/>
                      <w:sz w:val="21"/>
                      <w:szCs w:val="21"/>
                      <w:highlight w:val="none"/>
                      <w:u w:val="none"/>
                      <w:lang w:val="en-US" w:eastAsia="zh-CN" w:bidi="ar"/>
                    </w:rPr>
                    <w:t>1、项目新增污染物排放按照要求进行总量替代，可以满足总量减排要求。</w:t>
                  </w:r>
                </w:p>
              </w:tc>
              <w:tc>
                <w:tcPr>
                  <w:tcW w:w="845" w:type="dxa"/>
                  <w:noWrap w:val="0"/>
                  <w:vAlign w:val="center"/>
                </w:tcPr>
                <w:p w14:paraId="2415E1F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153D92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48B21A10">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215E4FC">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2</w:t>
                  </w:r>
                  <w:r>
                    <w:rPr>
                      <w:rFonts w:hint="default" w:ascii="Times New Roman" w:hAnsi="Times New Roman" w:eastAsia="宋体" w:cs="Times New Roman"/>
                      <w:color w:val="auto"/>
                      <w:kern w:val="2"/>
                      <w:sz w:val="21"/>
                      <w:szCs w:val="21"/>
                    </w:rPr>
                    <w:t>、到2025年，PM</w:t>
                  </w:r>
                  <w:r>
                    <w:rPr>
                      <w:rFonts w:hint="default" w:ascii="Times New Roman" w:hAnsi="Times New Roman" w:eastAsia="宋体" w:cs="Times New Roman"/>
                      <w:color w:val="auto"/>
                      <w:kern w:val="2"/>
                      <w:sz w:val="21"/>
                      <w:szCs w:val="21"/>
                      <w:vertAlign w:val="subscript"/>
                    </w:rPr>
                    <w:t>2.5</w:t>
                  </w:r>
                  <w:r>
                    <w:rPr>
                      <w:rFonts w:hint="default" w:ascii="Times New Roman" w:hAnsi="Times New Roman" w:eastAsia="宋体" w:cs="Times New Roman"/>
                      <w:color w:val="auto"/>
                      <w:kern w:val="2"/>
                      <w:sz w:val="21"/>
                      <w:szCs w:val="21"/>
                    </w:rPr>
                    <w:t>浓度总体下降27%以上，低于45微克/立方米；优良天数65%以上；重污染天数2.2%以下。完成国家、省定的</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十四五</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地表水环境质量和饮用水水质目标，南水北调中线一期工程总干渠安阳辖区取水水质稳定达到Ⅱ类。全市土壤环境质量总体保持稳定，土壤环境风险得到管控，土壤污染防治体系基本完善。土壤安全利用进一步巩固提升，受污染耕地安全利用率实现95%以上，重点建设用地安全利用有效保障。</w:t>
                  </w:r>
                </w:p>
              </w:tc>
              <w:tc>
                <w:tcPr>
                  <w:tcW w:w="2337" w:type="dxa"/>
                  <w:noWrap w:val="0"/>
                  <w:vAlign w:val="center"/>
                </w:tcPr>
                <w:p w14:paraId="256F82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kern w:val="2"/>
                      <w:sz w:val="21"/>
                      <w:szCs w:val="21"/>
                      <w:lang w:val="en-US" w:eastAsia="zh-CN" w:bidi="ar"/>
                    </w:rPr>
                    <w:t>本项目涉及排放的污染物</w:t>
                  </w:r>
                  <w:r>
                    <w:rPr>
                      <w:rFonts w:hint="default" w:ascii="Times New Roman" w:hAnsi="Times New Roman" w:eastAsia="宋体" w:cs="Times New Roman"/>
                      <w:color w:val="auto"/>
                      <w:kern w:val="2"/>
                      <w:sz w:val="21"/>
                      <w:szCs w:val="21"/>
                      <w:highlight w:val="none"/>
                      <w:lang w:val="en-US" w:eastAsia="zh-CN" w:bidi="ar"/>
                    </w:rPr>
                    <w:t>为</w:t>
                  </w:r>
                  <w:r>
                    <w:rPr>
                      <w:rFonts w:hint="eastAsia" w:cs="Times New Roman"/>
                      <w:color w:val="auto"/>
                      <w:kern w:val="0"/>
                      <w:sz w:val="21"/>
                      <w:szCs w:val="21"/>
                      <w:highlight w:val="none"/>
                      <w:lang w:val="en-US" w:eastAsia="zh-CN" w:bidi="ar"/>
                    </w:rPr>
                    <w:t>VOCs</w:t>
                  </w:r>
                  <w:r>
                    <w:rPr>
                      <w:rFonts w:hint="eastAsia" w:ascii="Times New Roman" w:hAnsi="Times New Roman" w:eastAsia="宋体" w:cs="Times New Roman"/>
                      <w:color w:val="auto"/>
                      <w:kern w:val="0"/>
                      <w:sz w:val="21"/>
                      <w:szCs w:val="21"/>
                      <w:highlight w:val="none"/>
                      <w:lang w:val="en-US" w:eastAsia="zh-CN" w:bidi="ar"/>
                    </w:rPr>
                    <w:t>，经“吸附、脱附+催化燃烧”</w:t>
                  </w:r>
                  <w:r>
                    <w:rPr>
                      <w:rFonts w:hint="eastAsia" w:cs="Times New Roman"/>
                      <w:color w:val="auto"/>
                      <w:kern w:val="0"/>
                      <w:sz w:val="21"/>
                      <w:szCs w:val="21"/>
                      <w:highlight w:val="none"/>
                      <w:lang w:val="en-US" w:eastAsia="zh-CN" w:bidi="ar"/>
                    </w:rPr>
                    <w:t>设施</w:t>
                  </w:r>
                  <w:r>
                    <w:rPr>
                      <w:rFonts w:hint="eastAsia" w:ascii="Times New Roman" w:hAnsi="Times New Roman" w:eastAsia="宋体" w:cs="Times New Roman"/>
                      <w:color w:val="auto"/>
                      <w:kern w:val="0"/>
                      <w:sz w:val="21"/>
                      <w:szCs w:val="21"/>
                      <w:highlight w:val="none"/>
                      <w:lang w:val="en-US" w:eastAsia="zh-CN" w:bidi="ar"/>
                    </w:rPr>
                    <w:t>处理</w:t>
                  </w:r>
                  <w:r>
                    <w:rPr>
                      <w:rFonts w:hint="eastAsia" w:cs="Times New Roman"/>
                      <w:color w:val="auto"/>
                      <w:kern w:val="0"/>
                      <w:sz w:val="21"/>
                      <w:szCs w:val="21"/>
                      <w:highlight w:val="none"/>
                      <w:lang w:val="en-US" w:eastAsia="zh-CN" w:bidi="ar"/>
                    </w:rPr>
                    <w:t>后</w:t>
                  </w:r>
                  <w:r>
                    <w:rPr>
                      <w:rFonts w:hint="eastAsia" w:ascii="Times New Roman" w:hAnsi="Times New Roman" w:eastAsia="宋体" w:cs="Times New Roman"/>
                      <w:color w:val="auto"/>
                      <w:kern w:val="0"/>
                      <w:sz w:val="21"/>
                      <w:szCs w:val="21"/>
                      <w:highlight w:val="none"/>
                      <w:lang w:val="en-US" w:eastAsia="zh-CN" w:bidi="ar"/>
                    </w:rPr>
                    <w:t>通过一</w:t>
                  </w:r>
                  <w:r>
                    <w:rPr>
                      <w:rFonts w:hint="eastAsia" w:cs="Times New Roman"/>
                      <w:color w:val="auto"/>
                      <w:kern w:val="0"/>
                      <w:sz w:val="21"/>
                      <w:szCs w:val="21"/>
                      <w:highlight w:val="none"/>
                      <w:lang w:val="en-US" w:eastAsia="zh-CN" w:bidi="ar"/>
                    </w:rPr>
                    <w:t>根</w:t>
                  </w:r>
                  <w:r>
                    <w:rPr>
                      <w:rFonts w:hint="eastAsia" w:ascii="Times New Roman" w:hAnsi="Times New Roman" w:eastAsia="宋体" w:cs="Times New Roman"/>
                      <w:color w:val="auto"/>
                      <w:kern w:val="0"/>
                      <w:sz w:val="21"/>
                      <w:szCs w:val="21"/>
                      <w:highlight w:val="none"/>
                      <w:lang w:val="en-US" w:eastAsia="zh-CN" w:bidi="ar"/>
                    </w:rPr>
                    <w:t>不低于15m的排气筒（DA001）排</w:t>
                  </w:r>
                  <w:r>
                    <w:rPr>
                      <w:rFonts w:hint="eastAsia" w:cs="Times New Roman"/>
                      <w:color w:val="auto"/>
                      <w:kern w:val="0"/>
                      <w:sz w:val="21"/>
                      <w:szCs w:val="21"/>
                      <w:highlight w:val="none"/>
                      <w:lang w:val="en-US" w:eastAsia="zh-CN" w:bidi="ar"/>
                    </w:rPr>
                    <w:t>放</w:t>
                  </w:r>
                  <w:r>
                    <w:rPr>
                      <w:rFonts w:hint="default" w:ascii="Times New Roman" w:hAnsi="Times New Roman" w:eastAsia="宋体" w:cs="Times New Roman"/>
                      <w:color w:val="auto"/>
                      <w:kern w:val="2"/>
                      <w:sz w:val="21"/>
                      <w:szCs w:val="21"/>
                      <w:lang w:val="en-US" w:eastAsia="zh-CN" w:bidi="ar"/>
                    </w:rPr>
                    <w:t>；本项目</w:t>
                  </w:r>
                  <w:r>
                    <w:rPr>
                      <w:rFonts w:hint="eastAsia" w:ascii="Times New Roman" w:hAnsi="Times New Roman" w:eastAsia="宋体" w:cs="Times New Roman"/>
                      <w:color w:val="auto"/>
                      <w:kern w:val="2"/>
                      <w:sz w:val="21"/>
                      <w:szCs w:val="21"/>
                      <w:lang w:val="en-US" w:eastAsia="zh-CN" w:bidi="ar"/>
                    </w:rPr>
                    <w:t>生活污水</w:t>
                  </w:r>
                  <w:r>
                    <w:rPr>
                      <w:rFonts w:hint="eastAsia" w:cs="Times New Roman"/>
                      <w:color w:val="auto"/>
                      <w:kern w:val="2"/>
                      <w:sz w:val="21"/>
                      <w:szCs w:val="21"/>
                      <w:lang w:val="en-US" w:eastAsia="zh-CN" w:bidi="ar"/>
                    </w:rPr>
                    <w:t>经化粪池预处理后</w:t>
                  </w:r>
                  <w:r>
                    <w:rPr>
                      <w:rFonts w:hint="eastAsia" w:ascii="Times New Roman" w:hAnsi="Times New Roman" w:eastAsia="宋体" w:cs="Times New Roman"/>
                      <w:color w:val="auto"/>
                      <w:kern w:val="2"/>
                      <w:sz w:val="21"/>
                      <w:szCs w:val="21"/>
                      <w:lang w:val="en-US" w:eastAsia="zh-CN" w:bidi="ar"/>
                    </w:rPr>
                    <w:t>排入汤阴固现污水处理公司处理</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本项目厂区地面硬化，减少对厂区土壤环境污染，不会对全市土壤环境质量总体保持稳定的目标造成影响。</w:t>
                  </w:r>
                </w:p>
              </w:tc>
              <w:tc>
                <w:tcPr>
                  <w:tcW w:w="845" w:type="dxa"/>
                  <w:noWrap w:val="0"/>
                  <w:vAlign w:val="center"/>
                </w:tcPr>
                <w:p w14:paraId="53E7896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2B0446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0B5DAC1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790934AF">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3、鼓励现有钢铁、焦化、水泥、铁合金、铸造等重点行业及“两高”行业污染治理水平达到A级企业或引领性企业水平，其他行业污染治理水平达到B级企业水平；新建、扩建项目污染物排放限值、污染治理措施、无组织排放控制水平、运输方式等达到A级绩效水平，改建项目污染物排放限值、污染治理措施、无组织排放控制水平、运输方式等达到B级以上绩效水平。新建及迁建煤炭、矿石、焦炭等大宗货物年运量150万吨以上的物流园区、工矿企业，原则上接入铁路专用线或管道。火电、钢铁、石化、化工、煤炭、焦化、有色等行业大宗货物清洁运输比例达到80%以上。重点区域鼓励高炉—转炉长流程钢铁企业转型为电炉短流程企业。</w:t>
                  </w:r>
                </w:p>
              </w:tc>
              <w:tc>
                <w:tcPr>
                  <w:tcW w:w="2337" w:type="dxa"/>
                  <w:noWrap w:val="0"/>
                  <w:vAlign w:val="center"/>
                </w:tcPr>
                <w:p w14:paraId="113A788A">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0"/>
                      <w:sz w:val="21"/>
                      <w:szCs w:val="21"/>
                      <w:lang w:val="en-US" w:eastAsia="zh-CN" w:bidi="ar"/>
                    </w:rPr>
                    <w:t>3、本项目不属于</w:t>
                  </w:r>
                  <w:r>
                    <w:rPr>
                      <w:rFonts w:hint="default" w:ascii="Times New Roman" w:hAnsi="Times New Roman" w:cs="Times New Roman"/>
                      <w:color w:val="auto"/>
                      <w:kern w:val="2"/>
                      <w:sz w:val="21"/>
                      <w:szCs w:val="21"/>
                    </w:rPr>
                    <w:t>钢铁、焦化、水泥、铁合金、铸造等重点行业</w:t>
                  </w:r>
                  <w:r>
                    <w:rPr>
                      <w:rFonts w:hint="eastAsia" w:ascii="Times New Roman" w:hAnsi="Times New Roman" w:cs="Times New Roman"/>
                      <w:color w:val="auto"/>
                      <w:kern w:val="2"/>
                      <w:sz w:val="21"/>
                      <w:szCs w:val="21"/>
                      <w:lang w:eastAsia="zh-CN"/>
                    </w:rPr>
                    <w:t>。</w:t>
                  </w:r>
                </w:p>
              </w:tc>
              <w:tc>
                <w:tcPr>
                  <w:tcW w:w="845" w:type="dxa"/>
                  <w:noWrap w:val="0"/>
                  <w:vAlign w:val="center"/>
                </w:tcPr>
                <w:p w14:paraId="7017B0D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eastAsia" w:cs="Times New Roman"/>
                      <w:color w:val="auto"/>
                      <w:kern w:val="0"/>
                      <w:sz w:val="21"/>
                      <w:szCs w:val="21"/>
                      <w:lang w:val="en-US" w:eastAsia="zh-CN" w:bidi="ar"/>
                    </w:rPr>
                    <w:t>不涉及</w:t>
                  </w:r>
                </w:p>
              </w:tc>
            </w:tr>
            <w:tr w14:paraId="1B1475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154F5BAB">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1E258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4、医药、化工、橡胶、包装印刷、家具、金属表面涂装、合成革、制鞋等涉VOCs行业应采取密闭式作业，根据不同行业VOCs排放浓度、成分，选择燃烧、吸附、生物法、冷凝等针对性强、治理效果明显的处理技术或多种技术的组合工艺，提高VOCs治理效率；VOCs物料储存、转移和输送、工艺过程、设备与管线组件VOCs泄漏控制、敞开液面VOCs无组织排放控制，以及VOCs无组织排放废气收集处理系统和企业厂区内及周边污染监控应满足《挥发性有机物无组织排放控制标准（GB37822——2019）》相关要求。</w:t>
                  </w:r>
                </w:p>
              </w:tc>
              <w:tc>
                <w:tcPr>
                  <w:tcW w:w="2337" w:type="dxa"/>
                  <w:noWrap w:val="0"/>
                  <w:vAlign w:val="center"/>
                </w:tcPr>
                <w:p w14:paraId="2B371E3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both"/>
                    <w:textAlignment w:val="auto"/>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0"/>
                      <w:sz w:val="21"/>
                      <w:szCs w:val="21"/>
                      <w:lang w:val="en-US" w:eastAsia="zh-CN" w:bidi="ar"/>
                    </w:rPr>
                    <w:t>4、</w:t>
                  </w:r>
                  <w:r>
                    <w:rPr>
                      <w:rFonts w:hint="eastAsia" w:cs="Times New Roman"/>
                      <w:color w:val="auto"/>
                      <w:sz w:val="21"/>
                      <w:szCs w:val="21"/>
                      <w:highlight w:val="none"/>
                      <w:lang w:val="en-US" w:eastAsia="zh-CN"/>
                    </w:rPr>
                    <w:t>本项目吹膜等涉及VOCs工序在</w:t>
                  </w:r>
                  <w:r>
                    <w:rPr>
                      <w:rFonts w:hint="eastAsia" w:ascii="Times New Roman" w:hAnsi="Times New Roman" w:eastAsia="宋体" w:cs="Times New Roman"/>
                      <w:color w:val="auto"/>
                      <w:kern w:val="2"/>
                      <w:sz w:val="21"/>
                      <w:szCs w:val="21"/>
                      <w:lang w:val="en-US" w:eastAsia="zh-CN" w:bidi="ar"/>
                    </w:rPr>
                    <w:t>密闭</w:t>
                  </w:r>
                  <w:r>
                    <w:rPr>
                      <w:rFonts w:hint="eastAsia" w:cs="Times New Roman"/>
                      <w:color w:val="auto"/>
                      <w:kern w:val="2"/>
                      <w:sz w:val="21"/>
                      <w:szCs w:val="21"/>
                      <w:lang w:val="en-US" w:eastAsia="zh-CN" w:bidi="ar"/>
                    </w:rPr>
                    <w:t>空间进行</w:t>
                  </w:r>
                  <w:r>
                    <w:rPr>
                      <w:rFonts w:hint="eastAsia" w:ascii="Times New Roman" w:hAnsi="Times New Roman" w:eastAsia="宋体" w:cs="Times New Roman"/>
                      <w:color w:val="auto"/>
                      <w:kern w:val="2"/>
                      <w:sz w:val="21"/>
                      <w:szCs w:val="21"/>
                      <w:lang w:val="en-US" w:eastAsia="zh-CN" w:bidi="ar"/>
                    </w:rPr>
                    <w:t>，并经过“吸附、脱附+催化燃烧”</w:t>
                  </w:r>
                  <w:r>
                    <w:rPr>
                      <w:rFonts w:hint="eastAsia" w:cs="Times New Roman"/>
                      <w:color w:val="auto"/>
                      <w:kern w:val="2"/>
                      <w:sz w:val="21"/>
                      <w:szCs w:val="21"/>
                      <w:lang w:val="en-US" w:eastAsia="zh-CN" w:bidi="ar"/>
                    </w:rPr>
                    <w:t>设施</w:t>
                  </w:r>
                  <w:r>
                    <w:rPr>
                      <w:rFonts w:hint="eastAsia" w:ascii="Times New Roman" w:hAnsi="Times New Roman" w:eastAsia="宋体" w:cs="Times New Roman"/>
                      <w:color w:val="auto"/>
                      <w:kern w:val="2"/>
                      <w:sz w:val="21"/>
                      <w:szCs w:val="21"/>
                      <w:lang w:val="en-US" w:eastAsia="zh-CN" w:bidi="ar"/>
                    </w:rPr>
                    <w:t>进行处理</w:t>
                  </w:r>
                  <w:r>
                    <w:rPr>
                      <w:rFonts w:hint="eastAsia" w:cs="Times New Roman"/>
                      <w:color w:val="auto"/>
                      <w:kern w:val="2"/>
                      <w:sz w:val="21"/>
                      <w:szCs w:val="21"/>
                      <w:lang w:val="en-US" w:eastAsia="zh-CN" w:bidi="ar"/>
                    </w:rPr>
                    <w:t>后</w:t>
                  </w:r>
                  <w:r>
                    <w:rPr>
                      <w:rFonts w:hint="eastAsia" w:ascii="Times New Roman" w:hAnsi="Times New Roman" w:eastAsia="宋体" w:cs="Times New Roman"/>
                      <w:color w:val="auto"/>
                      <w:kern w:val="2"/>
                      <w:sz w:val="21"/>
                      <w:szCs w:val="21"/>
                      <w:lang w:val="en-US" w:eastAsia="zh-CN" w:bidi="ar"/>
                    </w:rPr>
                    <w:t>通过一根不低于15m的排气筒（DA001）排</w:t>
                  </w:r>
                  <w:r>
                    <w:rPr>
                      <w:rFonts w:hint="eastAsia" w:cs="Times New Roman"/>
                      <w:color w:val="auto"/>
                      <w:kern w:val="2"/>
                      <w:sz w:val="21"/>
                      <w:szCs w:val="21"/>
                      <w:lang w:val="en-US" w:eastAsia="zh-CN" w:bidi="ar"/>
                    </w:rPr>
                    <w:t>放；本项目不涉及VOCs物料储存、转移和输送、设备与管线组件VOCs泄漏控制、敞开液面VOCs无组织排放，挤出（吹膜）等工序产生的VOCs经集气罩收集进入处理系统，厂区VOCs无组织排放满足</w:t>
                  </w:r>
                  <w:r>
                    <w:rPr>
                      <w:rFonts w:hint="default" w:ascii="Times New Roman" w:hAnsi="Times New Roman" w:eastAsia="宋体" w:cs="Times New Roman"/>
                      <w:color w:val="auto"/>
                      <w:kern w:val="2"/>
                      <w:sz w:val="21"/>
                      <w:szCs w:val="21"/>
                      <w:lang w:val="en-US" w:eastAsia="zh-CN" w:bidi="ar"/>
                    </w:rPr>
                    <w:t>《挥发性有机物无组织排放控制标准（GB37822——2019）》</w:t>
                  </w:r>
                  <w:r>
                    <w:rPr>
                      <w:rFonts w:hint="eastAsia" w:cs="Times New Roman"/>
                      <w:color w:val="auto"/>
                      <w:kern w:val="2"/>
                      <w:sz w:val="21"/>
                      <w:szCs w:val="21"/>
                      <w:lang w:val="en-US" w:eastAsia="zh-CN" w:bidi="ar"/>
                    </w:rPr>
                    <w:t>要求和</w:t>
                  </w:r>
                  <w:r>
                    <w:rPr>
                      <w:rFonts w:hint="default" w:ascii="Times New Roman" w:hAnsi="Times New Roman" w:eastAsia="宋体" w:cs="Times New Roman"/>
                      <w:color w:val="auto"/>
                      <w:kern w:val="2"/>
                      <w:sz w:val="21"/>
                      <w:szCs w:val="21"/>
                      <w:lang w:val="en-US" w:eastAsia="zh-CN" w:bidi="ar"/>
                    </w:rPr>
                    <w:t>《合成树脂工业污染物排放标准</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GB 31572—2015</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（含2024年修改单）》相关要求</w:t>
                  </w:r>
                  <w:r>
                    <w:rPr>
                      <w:rFonts w:hint="eastAsia" w:cs="Times New Roman"/>
                      <w:color w:val="auto"/>
                      <w:kern w:val="2"/>
                      <w:sz w:val="21"/>
                      <w:szCs w:val="21"/>
                      <w:lang w:val="en-US" w:eastAsia="zh-CN" w:bidi="ar"/>
                    </w:rPr>
                    <w:t>。</w:t>
                  </w:r>
                </w:p>
              </w:tc>
              <w:tc>
                <w:tcPr>
                  <w:tcW w:w="845" w:type="dxa"/>
                  <w:noWrap w:val="0"/>
                  <w:vAlign w:val="center"/>
                </w:tcPr>
                <w:p w14:paraId="557A241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相符</w:t>
                  </w:r>
                </w:p>
              </w:tc>
            </w:tr>
            <w:tr w14:paraId="3986B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76A64904">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5C247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5、向污水集中处理设施排放工业废水的，应当按照国家有关规定进行预处理，达到集中处理设施处理工艺要求后方可排放。</w:t>
                  </w:r>
                </w:p>
              </w:tc>
              <w:tc>
                <w:tcPr>
                  <w:tcW w:w="2337" w:type="dxa"/>
                  <w:noWrap w:val="0"/>
                  <w:vAlign w:val="center"/>
                </w:tcPr>
                <w:p w14:paraId="24393473">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eastAsia" w:ascii="Times New Roman" w:hAnsi="Times New Roman" w:eastAsia="宋体" w:cs="Times New Roman"/>
                      <w:color w:val="auto"/>
                      <w:sz w:val="21"/>
                      <w:szCs w:val="21"/>
                      <w:highlight w:val="none"/>
                      <w:lang w:val="en-US" w:eastAsia="zh-CN"/>
                    </w:rPr>
                    <w:t>6、本项目生活污水经</w:t>
                  </w:r>
                  <w:r>
                    <w:rPr>
                      <w:rFonts w:hint="eastAsia" w:cs="Times New Roman"/>
                      <w:color w:val="auto"/>
                      <w:sz w:val="21"/>
                      <w:szCs w:val="21"/>
                      <w:highlight w:val="none"/>
                      <w:lang w:val="en-US" w:eastAsia="zh-CN"/>
                    </w:rPr>
                    <w:t>化粪池预处理</w:t>
                  </w:r>
                  <w:r>
                    <w:rPr>
                      <w:rFonts w:hint="eastAsia" w:ascii="Times New Roman" w:hAnsi="Times New Roman" w:eastAsia="宋体" w:cs="Times New Roman"/>
                      <w:color w:val="auto"/>
                      <w:sz w:val="21"/>
                      <w:szCs w:val="21"/>
                      <w:highlight w:val="none"/>
                      <w:lang w:val="en-US" w:eastAsia="zh-CN"/>
                    </w:rPr>
                    <w:t>后排入汤阴固现污水处理有限公司，符合汤阴固现污</w:t>
                  </w:r>
                  <w:r>
                    <w:rPr>
                      <w:rFonts w:hint="eastAsia" w:cs="Times New Roman"/>
                      <w:color w:val="auto"/>
                      <w:sz w:val="21"/>
                      <w:szCs w:val="21"/>
                      <w:highlight w:val="none"/>
                      <w:lang w:val="en-US" w:eastAsia="zh-CN"/>
                    </w:rPr>
                    <w:t>水处理有限公司接纳标准。</w:t>
                  </w:r>
                </w:p>
              </w:tc>
              <w:tc>
                <w:tcPr>
                  <w:tcW w:w="845" w:type="dxa"/>
                  <w:noWrap w:val="0"/>
                  <w:vAlign w:val="center"/>
                </w:tcPr>
                <w:p w14:paraId="6E33173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相符</w:t>
                  </w:r>
                </w:p>
              </w:tc>
            </w:tr>
            <w:tr w14:paraId="2CC3F8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18858FCE">
                  <w:pPr>
                    <w:keepNext w:val="0"/>
                    <w:keepLines w:val="0"/>
                    <w:suppressLineNumbers w:val="0"/>
                    <w:spacing w:before="0" w:beforeAutospacing="0" w:after="0" w:afterAutospacing="0"/>
                    <w:ind w:left="0" w:right="0"/>
                    <w:jc w:val="both"/>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 xml:space="preserve"> </w:t>
                  </w:r>
                </w:p>
              </w:tc>
              <w:tc>
                <w:tcPr>
                  <w:tcW w:w="3825" w:type="dxa"/>
                  <w:noWrap w:val="0"/>
                  <w:vAlign w:val="center"/>
                </w:tcPr>
                <w:p w14:paraId="72285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6、鼓励和支持无汞催化剂和工艺、限制或禁止的持久性有机污染物替代品和技术。</w:t>
                  </w:r>
                </w:p>
              </w:tc>
              <w:tc>
                <w:tcPr>
                  <w:tcW w:w="2337" w:type="dxa"/>
                  <w:noWrap w:val="0"/>
                  <w:vAlign w:val="center"/>
                </w:tcPr>
                <w:p w14:paraId="7EB2898A">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6、本项目不涉及。</w:t>
                  </w:r>
                </w:p>
              </w:tc>
              <w:tc>
                <w:tcPr>
                  <w:tcW w:w="845" w:type="dxa"/>
                  <w:noWrap w:val="0"/>
                  <w:vAlign w:val="center"/>
                </w:tcPr>
                <w:p w14:paraId="34E1709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0"/>
                      <w:sz w:val="21"/>
                      <w:szCs w:val="21"/>
                      <w:lang w:val="en-US" w:eastAsia="zh-CN" w:bidi="ar"/>
                    </w:rPr>
                    <w:t>不涉及</w:t>
                  </w:r>
                </w:p>
              </w:tc>
            </w:tr>
            <w:tr w14:paraId="564B7A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1E5338FC">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环境风险防控</w:t>
                  </w:r>
                </w:p>
              </w:tc>
              <w:tc>
                <w:tcPr>
                  <w:tcW w:w="3825" w:type="dxa"/>
                  <w:noWrap w:val="0"/>
                  <w:vAlign w:val="center"/>
                </w:tcPr>
                <w:p w14:paraId="3EB39FEC">
                  <w:pPr>
                    <w:pStyle w:val="77"/>
                    <w:keepNext w:val="0"/>
                    <w:keepLines w:val="0"/>
                    <w:widowControl/>
                    <w:numPr>
                      <w:ilvl w:val="0"/>
                      <w:numId w:val="4"/>
                    </w:numPr>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rPr>
                    <w:t>各级生态环境部门和其他负有生态环境监督管理职责的部门要加强对存在风险场所的日常环境监测，并对可能导致突发环境事件的风险信息加强收集、分析和研判。工业和信息化、公安、自然资源和规划、住房和城乡建设、交通运输、水利、农业农村、商务、卫生健康、应急、气象、地震等有关部门要按照职责分工，及时将可能导致突发环境事件的信息通报同级或事发地生态环境部门。企事业单位和其他生产经营者应当落实环境安全主体责任，定期排查环境安全隐患，开展环境风险评估和环境应急演练，健全风险防控措施。当出现可能导致突发环境事件的情况时，应当立即报告当地生态环境部门。</w:t>
                  </w:r>
                </w:p>
              </w:tc>
              <w:tc>
                <w:tcPr>
                  <w:tcW w:w="2337" w:type="dxa"/>
                  <w:noWrap w:val="0"/>
                  <w:vAlign w:val="center"/>
                </w:tcPr>
                <w:p w14:paraId="7B6B38C9">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lang w:val="en-US"/>
                    </w:rPr>
                  </w:pPr>
                  <w:r>
                    <w:rPr>
                      <w:rFonts w:hint="default" w:ascii="Times New Roman" w:hAnsi="Times New Roman" w:eastAsia="宋体" w:cs="Times New Roman"/>
                      <w:color w:val="auto"/>
                      <w:kern w:val="0"/>
                      <w:sz w:val="21"/>
                      <w:szCs w:val="21"/>
                      <w:lang w:val="en-US" w:eastAsia="zh-CN" w:bidi="ar"/>
                    </w:rPr>
                    <w:t>1、</w:t>
                  </w:r>
                  <w:r>
                    <w:rPr>
                      <w:rFonts w:hint="default" w:ascii="Times New Roman" w:hAnsi="Times New Roman" w:eastAsia="宋体" w:cs="Times New Roman"/>
                      <w:b w:val="0"/>
                      <w:bCs/>
                      <w:color w:val="auto"/>
                      <w:kern w:val="0"/>
                      <w:sz w:val="21"/>
                      <w:szCs w:val="21"/>
                      <w:lang w:val="en-US" w:eastAsia="zh-CN" w:bidi="ar"/>
                    </w:rPr>
                    <w:t>本项目建成后将按照相关法律法规和标准规范的要求，开展突发环境事件风险评估，划分环境风险等级，完善突发环境事件风险防控措施，排查治理环境安全隐患。</w:t>
                  </w:r>
                </w:p>
              </w:tc>
              <w:tc>
                <w:tcPr>
                  <w:tcW w:w="845" w:type="dxa"/>
                  <w:noWrap w:val="0"/>
                  <w:vAlign w:val="center"/>
                </w:tcPr>
                <w:p w14:paraId="693F0CE0">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5FA72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noWrap w:val="0"/>
                  <w:vAlign w:val="center"/>
                </w:tcPr>
                <w:p w14:paraId="523AD977">
                  <w:pPr>
                    <w:pStyle w:val="77"/>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2"/>
                      <w:sz w:val="21"/>
                      <w:szCs w:val="21"/>
                    </w:rPr>
                  </w:pPr>
                  <w:r>
                    <w:rPr>
                      <w:rFonts w:hint="eastAsia" w:cs="Times New Roman"/>
                      <w:color w:val="auto"/>
                      <w:kern w:val="2"/>
                      <w:sz w:val="21"/>
                      <w:szCs w:val="21"/>
                      <w:lang w:eastAsia="zh-CN"/>
                    </w:rPr>
                    <w:t xml:space="preserve"> </w:t>
                  </w:r>
                  <w:r>
                    <w:rPr>
                      <w:rFonts w:hint="eastAsia" w:cs="Times New Roman"/>
                      <w:color w:val="auto"/>
                      <w:kern w:val="2"/>
                      <w:sz w:val="21"/>
                      <w:szCs w:val="21"/>
                      <w:lang w:val="en-US" w:eastAsia="zh-CN"/>
                    </w:rPr>
                    <w:t xml:space="preserve"> </w:t>
                  </w:r>
                  <w:r>
                    <w:rPr>
                      <w:rFonts w:hint="default" w:ascii="Times New Roman" w:hAnsi="Times New Roman" w:eastAsia="宋体" w:cs="Times New Roman"/>
                      <w:color w:val="auto"/>
                      <w:kern w:val="2"/>
                      <w:sz w:val="21"/>
                      <w:szCs w:val="21"/>
                    </w:rPr>
                    <w:t>资源开发效率要求</w:t>
                  </w:r>
                </w:p>
              </w:tc>
              <w:tc>
                <w:tcPr>
                  <w:tcW w:w="3825" w:type="dxa"/>
                  <w:noWrap w:val="0"/>
                  <w:vAlign w:val="center"/>
                </w:tcPr>
                <w:p w14:paraId="417A210F">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1</w:t>
                  </w:r>
                  <w:r>
                    <w:rPr>
                      <w:rFonts w:hint="default" w:ascii="Times New Roman" w:hAnsi="Times New Roman" w:eastAsia="宋体" w:cs="Times New Roman"/>
                      <w:color w:val="auto"/>
                      <w:kern w:val="2"/>
                      <w:sz w:val="21"/>
                      <w:szCs w:val="21"/>
                    </w:rPr>
                    <w:t>、十四五期间，全市年用水总量控制完成国家、省、市下达目标要求。火电、钢铁、造纸、化工、食品、发酵等高耗水行业、推进企业串联用水、分质用水、一水多用和梯级循环利用，提升工业污水资源化利用效率。</w:t>
                  </w:r>
                </w:p>
              </w:tc>
              <w:tc>
                <w:tcPr>
                  <w:tcW w:w="2337" w:type="dxa"/>
                  <w:noWrap w:val="0"/>
                  <w:vAlign w:val="center"/>
                </w:tcPr>
                <w:p w14:paraId="3B2215F3">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1、本项目不属于</w:t>
                  </w:r>
                  <w:r>
                    <w:rPr>
                      <w:rFonts w:hint="default" w:ascii="Times New Roman" w:hAnsi="Times New Roman" w:eastAsia="宋体" w:cs="Times New Roman"/>
                      <w:color w:val="auto"/>
                      <w:kern w:val="2"/>
                      <w:sz w:val="21"/>
                      <w:szCs w:val="21"/>
                      <w:lang w:val="en-US" w:eastAsia="zh-CN" w:bidi="ar"/>
                    </w:rPr>
                    <w:t>火电、钢铁、造纸、化工、食品、发酵等高耗水行业</w:t>
                  </w:r>
                  <w:r>
                    <w:rPr>
                      <w:rFonts w:hint="eastAsia" w:cs="Times New Roman"/>
                      <w:color w:val="auto"/>
                      <w:kern w:val="2"/>
                      <w:sz w:val="21"/>
                      <w:szCs w:val="21"/>
                      <w:lang w:val="en-US" w:eastAsia="zh-CN" w:bidi="ar"/>
                    </w:rPr>
                    <w:t>。</w:t>
                  </w:r>
                </w:p>
              </w:tc>
              <w:tc>
                <w:tcPr>
                  <w:tcW w:w="845" w:type="dxa"/>
                  <w:noWrap w:val="0"/>
                  <w:vAlign w:val="center"/>
                </w:tcPr>
                <w:p w14:paraId="7AB9874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6725B3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noWrap w:val="0"/>
                  <w:vAlign w:val="center"/>
                </w:tcPr>
                <w:p w14:paraId="3FC721E8">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409D94B0">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2</w:t>
                  </w:r>
                  <w:r>
                    <w:rPr>
                      <w:rFonts w:hint="default" w:ascii="Times New Roman" w:hAnsi="Times New Roman" w:eastAsia="宋体" w:cs="Times New Roman"/>
                      <w:color w:val="auto"/>
                      <w:kern w:val="2"/>
                      <w:sz w:val="21"/>
                      <w:szCs w:val="21"/>
                    </w:rPr>
                    <w:t>、实行严格的耕地保护制度和节约用地制度，提高土地资源利用效率，实现从扩张型发展向内涵式发展的转变。</w:t>
                  </w:r>
                </w:p>
              </w:tc>
              <w:tc>
                <w:tcPr>
                  <w:tcW w:w="2337" w:type="dxa"/>
                  <w:noWrap w:val="0"/>
                  <w:vAlign w:val="center"/>
                </w:tcPr>
                <w:p w14:paraId="5F89CA26">
                  <w:pPr>
                    <w:keepNext w:val="0"/>
                    <w:keepLines w:val="0"/>
                    <w:widowControl/>
                    <w:suppressLineNumbers w:val="0"/>
                    <w:adjustRightInd w:val="0"/>
                    <w:snapToGrid w:val="0"/>
                    <w:spacing w:before="0" w:beforeAutospacing="0" w:after="0" w:afterAutospacing="0"/>
                    <w:ind w:left="0" w:leftChars="0" w:right="0" w:rightChars="0"/>
                    <w:jc w:val="both"/>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2、本项</w:t>
                  </w:r>
                  <w:r>
                    <w:rPr>
                      <w:rFonts w:hint="default" w:ascii="Times New Roman" w:hAnsi="Times New Roman" w:eastAsia="宋体" w:cs="Times New Roman"/>
                      <w:color w:val="auto"/>
                      <w:kern w:val="0"/>
                      <w:sz w:val="21"/>
                      <w:szCs w:val="21"/>
                      <w:highlight w:val="none"/>
                      <w:lang w:val="en-US" w:eastAsia="zh-CN" w:bidi="ar"/>
                    </w:rPr>
                    <w:t>目为</w:t>
                  </w:r>
                  <w:r>
                    <w:rPr>
                      <w:rFonts w:hint="eastAsia" w:cs="Times New Roman"/>
                      <w:color w:val="auto"/>
                      <w:kern w:val="0"/>
                      <w:sz w:val="21"/>
                      <w:szCs w:val="21"/>
                      <w:highlight w:val="none"/>
                      <w:lang w:val="en-US" w:eastAsia="zh-CN" w:bidi="ar"/>
                    </w:rPr>
                    <w:t>建设</w:t>
                  </w:r>
                  <w:r>
                    <w:rPr>
                      <w:rFonts w:hint="default" w:ascii="Times New Roman" w:hAnsi="Times New Roman" w:eastAsia="宋体" w:cs="Times New Roman"/>
                      <w:color w:val="auto"/>
                      <w:kern w:val="0"/>
                      <w:sz w:val="21"/>
                      <w:szCs w:val="21"/>
                      <w:highlight w:val="none"/>
                      <w:lang w:val="en-US" w:eastAsia="zh-CN" w:bidi="ar"/>
                    </w:rPr>
                    <w:t>用地</w:t>
                  </w:r>
                  <w:r>
                    <w:rPr>
                      <w:rFonts w:hint="default" w:ascii="Times New Roman" w:hAnsi="Times New Roman" w:eastAsia="宋体" w:cs="Times New Roman"/>
                      <w:color w:val="auto"/>
                      <w:kern w:val="0"/>
                      <w:sz w:val="21"/>
                      <w:szCs w:val="21"/>
                      <w:lang w:val="en-US" w:eastAsia="zh-CN" w:bidi="ar"/>
                    </w:rPr>
                    <w:t>。</w:t>
                  </w:r>
                </w:p>
              </w:tc>
              <w:tc>
                <w:tcPr>
                  <w:tcW w:w="845" w:type="dxa"/>
                  <w:noWrap w:val="0"/>
                  <w:vAlign w:val="center"/>
                </w:tcPr>
                <w:p w14:paraId="07F5A0E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相符</w:t>
                  </w:r>
                </w:p>
              </w:tc>
            </w:tr>
            <w:tr w14:paraId="075FD8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78" w:type="dxa"/>
                  <w:vMerge w:val="continue"/>
                  <w:noWrap w:val="0"/>
                  <w:vAlign w:val="center"/>
                </w:tcPr>
                <w:p w14:paraId="65AB01EC">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A259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color w:val="auto"/>
                      <w:kern w:val="2"/>
                      <w:sz w:val="21"/>
                      <w:szCs w:val="21"/>
                    </w:rPr>
                  </w:pPr>
                  <w:r>
                    <w:rPr>
                      <w:rFonts w:hint="default" w:ascii="Times New Roman" w:hAnsi="Times New Roman" w:eastAsia="仿宋" w:cs="Times New Roman"/>
                      <w:color w:val="auto"/>
                      <w:sz w:val="21"/>
                      <w:szCs w:val="21"/>
                      <w:lang w:val="en-US" w:eastAsia="zh-CN"/>
                    </w:rPr>
                    <w:t>3</w:t>
                  </w:r>
                  <w:r>
                    <w:rPr>
                      <w:rFonts w:hint="default" w:ascii="Times New Roman" w:hAnsi="Times New Roman" w:eastAsia="宋体" w:cs="Times New Roman"/>
                      <w:color w:val="auto"/>
                      <w:kern w:val="2"/>
                      <w:sz w:val="21"/>
                      <w:szCs w:val="21"/>
                      <w:lang w:val="en-US" w:eastAsia="zh-CN" w:bidi="ar"/>
                    </w:rPr>
                    <w:t>、积极推进“可再生能源+储能”示范项目建设；立足安阳产业基础优势，加快培育人工智能产业、氢能和储能产业和大数据融合创新产业；鼓励生物秸杆资源发电、风力发电、地热能开发用等项目建设，合理开发风能、地热能、煤层气等资源。</w:t>
                  </w:r>
                </w:p>
              </w:tc>
              <w:tc>
                <w:tcPr>
                  <w:tcW w:w="2337" w:type="dxa"/>
                  <w:shd w:val="clear" w:color="auto" w:fill="auto"/>
                  <w:noWrap w:val="0"/>
                  <w:vAlign w:val="center"/>
                </w:tcPr>
                <w:p w14:paraId="221BF3CB">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3、本项目不涉及。</w:t>
                  </w:r>
                </w:p>
              </w:tc>
              <w:tc>
                <w:tcPr>
                  <w:tcW w:w="845" w:type="dxa"/>
                  <w:noWrap w:val="0"/>
                  <w:vAlign w:val="center"/>
                </w:tcPr>
                <w:p w14:paraId="59D45AC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不涉及</w:t>
                  </w:r>
                </w:p>
              </w:tc>
            </w:tr>
            <w:tr w14:paraId="5FF9BC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78" w:type="dxa"/>
                  <w:vMerge w:val="continue"/>
                  <w:noWrap w:val="0"/>
                  <w:vAlign w:val="center"/>
                </w:tcPr>
                <w:p w14:paraId="4DB7B86E">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62C9EFF5">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4</w:t>
                  </w:r>
                  <w:r>
                    <w:rPr>
                      <w:rFonts w:hint="default" w:ascii="Times New Roman" w:hAnsi="Times New Roman" w:eastAsia="宋体" w:cs="Times New Roman"/>
                      <w:color w:val="auto"/>
                      <w:kern w:val="2"/>
                      <w:sz w:val="21"/>
                      <w:szCs w:val="21"/>
                    </w:rPr>
                    <w:t>、新建、改建、扩建耗煤项目实施煤炭消费减量替代。</w:t>
                  </w:r>
                </w:p>
              </w:tc>
              <w:tc>
                <w:tcPr>
                  <w:tcW w:w="2337" w:type="dxa"/>
                  <w:shd w:val="clear" w:color="auto" w:fill="auto"/>
                  <w:noWrap w:val="0"/>
                  <w:vAlign w:val="center"/>
                </w:tcPr>
                <w:p w14:paraId="152E8BDD">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4、本项目不涉及煤炭消耗。</w:t>
                  </w:r>
                </w:p>
              </w:tc>
              <w:tc>
                <w:tcPr>
                  <w:tcW w:w="845" w:type="dxa"/>
                  <w:noWrap w:val="0"/>
                  <w:vAlign w:val="center"/>
                </w:tcPr>
                <w:p w14:paraId="2AD71788">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不涉及</w:t>
                  </w:r>
                </w:p>
              </w:tc>
            </w:tr>
            <w:tr w14:paraId="07FE6F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noWrap w:val="0"/>
                  <w:vAlign w:val="center"/>
                </w:tcPr>
                <w:p w14:paraId="5D154965">
                  <w:pPr>
                    <w:keepNext w:val="0"/>
                    <w:keepLines w:val="0"/>
                    <w:suppressLineNumbers w:val="0"/>
                    <w:spacing w:before="0" w:beforeAutospacing="0" w:after="0" w:afterAutospacing="0"/>
                    <w:ind w:left="0" w:right="0"/>
                    <w:jc w:val="both"/>
                    <w:rPr>
                      <w:rFonts w:hint="default" w:ascii="Times New Roman" w:hAnsi="Times New Roman" w:cs="Times New Roman"/>
                      <w:color w:val="auto"/>
                      <w:sz w:val="21"/>
                      <w:szCs w:val="21"/>
                    </w:rPr>
                  </w:pPr>
                </w:p>
              </w:tc>
              <w:tc>
                <w:tcPr>
                  <w:tcW w:w="3825" w:type="dxa"/>
                  <w:noWrap w:val="0"/>
                  <w:vAlign w:val="center"/>
                </w:tcPr>
                <w:p w14:paraId="33710529">
                  <w:pPr>
                    <w:pStyle w:val="77"/>
                    <w:keepNext w:val="0"/>
                    <w:keepLines w:val="0"/>
                    <w:widowControl/>
                    <w:suppressLineNumbers w:val="0"/>
                    <w:spacing w:before="0" w:beforeAutospacing="0" w:after="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5</w:t>
                  </w:r>
                  <w:r>
                    <w:rPr>
                      <w:rFonts w:hint="default" w:ascii="Times New Roman" w:hAnsi="Times New Roman" w:eastAsia="宋体" w:cs="Times New Roman"/>
                      <w:color w:val="auto"/>
                      <w:kern w:val="2"/>
                      <w:sz w:val="21"/>
                      <w:szCs w:val="21"/>
                    </w:rPr>
                    <w:t>、</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十四五</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kern w:val="2"/>
                      <w:sz w:val="21"/>
                      <w:szCs w:val="21"/>
                    </w:rPr>
                    <w:t>全市万元地区生产总值能耗强度降低18%。</w:t>
                  </w:r>
                </w:p>
              </w:tc>
              <w:tc>
                <w:tcPr>
                  <w:tcW w:w="2337" w:type="dxa"/>
                  <w:noWrap w:val="0"/>
                  <w:vAlign w:val="center"/>
                </w:tcPr>
                <w:p w14:paraId="293964EB">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本项目不涉及。</w:t>
                  </w:r>
                </w:p>
              </w:tc>
              <w:tc>
                <w:tcPr>
                  <w:tcW w:w="845" w:type="dxa"/>
                  <w:noWrap w:val="0"/>
                  <w:vAlign w:val="center"/>
                </w:tcPr>
                <w:p w14:paraId="4EBE7BA8">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bidi="ar"/>
                    </w:rPr>
                    <w:t>不涉及</w:t>
                  </w:r>
                </w:p>
              </w:tc>
            </w:tr>
          </w:tbl>
          <w:p w14:paraId="1A3A7BB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cs="Times New Roman" w:eastAsiaTheme="majorEastAsia"/>
                <w:b/>
                <w:color w:val="auto"/>
                <w:sz w:val="24"/>
                <w:szCs w:val="24"/>
                <w:highlight w:val="none"/>
              </w:rPr>
            </w:pPr>
            <w:r>
              <w:rPr>
                <w:rFonts w:hint="default" w:ascii="Times New Roman" w:hAnsi="Times New Roman" w:cs="Times New Roman" w:eastAsiaTheme="majorEastAsia"/>
                <w:bCs/>
                <w:color w:val="auto"/>
                <w:sz w:val="24"/>
                <w:szCs w:val="24"/>
                <w:highlight w:val="none"/>
              </w:rPr>
              <w:t>本项目位于</w:t>
            </w:r>
            <w:r>
              <w:rPr>
                <w:rFonts w:hint="default" w:ascii="Times New Roman" w:hAnsi="Times New Roman" w:cs="Times New Roman" w:eastAsiaTheme="majorEastAsia"/>
                <w:bCs/>
                <w:color w:val="auto"/>
                <w:sz w:val="24"/>
                <w:szCs w:val="24"/>
                <w:highlight w:val="none"/>
                <w:lang w:val="en-US" w:eastAsia="zh-CN"/>
              </w:rPr>
              <w:t>安阳市汤阴县古贤镇中西路、工业三路与工业四路交叉口西北角9号</w:t>
            </w:r>
            <w:r>
              <w:rPr>
                <w:rFonts w:hint="default" w:ascii="Times New Roman" w:hAnsi="Times New Roman" w:cs="Times New Roman" w:eastAsiaTheme="majorEastAsia"/>
                <w:bCs/>
                <w:color w:val="auto"/>
                <w:sz w:val="24"/>
                <w:szCs w:val="24"/>
                <w:highlight w:val="none"/>
                <w:lang w:eastAsia="zh-CN"/>
              </w:rPr>
              <w:t>。</w:t>
            </w:r>
            <w:r>
              <w:rPr>
                <w:rFonts w:hint="eastAsia" w:ascii="Times New Roman" w:hAnsi="Times New Roman" w:cs="Times New Roman"/>
                <w:b w:val="0"/>
                <w:bCs w:val="0"/>
                <w:color w:val="auto"/>
                <w:sz w:val="24"/>
                <w:szCs w:val="24"/>
                <w:highlight w:val="none"/>
                <w:u w:val="none" w:color="auto"/>
                <w:lang w:val="en-US" w:eastAsia="zh-CN"/>
              </w:rPr>
              <w:t>《安阳市生态环境保护委员会办公室关于更新调整安阳市生态环境分区管控方案的通知》（安环委办〔2025〕19号）</w:t>
            </w:r>
            <w:r>
              <w:rPr>
                <w:rFonts w:hint="default" w:ascii="Times New Roman" w:hAnsi="Times New Roman" w:cs="Times New Roman" w:eastAsiaTheme="majorEastAsia"/>
                <w:bCs/>
                <w:color w:val="auto"/>
                <w:sz w:val="24"/>
                <w:szCs w:val="24"/>
                <w:highlight w:val="none"/>
              </w:rPr>
              <w:t>，</w:t>
            </w:r>
            <w:r>
              <w:rPr>
                <w:rFonts w:hint="default" w:ascii="Times New Roman" w:hAnsi="Times New Roman" w:cs="Times New Roman" w:eastAsiaTheme="majorEastAsia"/>
                <w:bCs/>
                <w:color w:val="auto"/>
                <w:sz w:val="24"/>
                <w:szCs w:val="24"/>
                <w:highlight w:val="none"/>
                <w:lang w:val="en-US" w:eastAsia="zh-CN"/>
              </w:rPr>
              <w:t>项目区域</w:t>
            </w:r>
            <w:r>
              <w:rPr>
                <w:rFonts w:hint="default" w:ascii="Times New Roman" w:hAnsi="Times New Roman" w:cs="Times New Roman" w:eastAsiaTheme="majorEastAsia"/>
                <w:bCs/>
                <w:color w:val="auto"/>
                <w:sz w:val="24"/>
                <w:szCs w:val="24"/>
                <w:highlight w:val="none"/>
                <w:lang w:eastAsia="zh-CN"/>
              </w:rPr>
              <w:t>管控单元分类</w:t>
            </w:r>
            <w:r>
              <w:rPr>
                <w:rFonts w:hint="default" w:ascii="Times New Roman" w:hAnsi="Times New Roman" w:cs="Times New Roman" w:eastAsiaTheme="majorEastAsia"/>
                <w:bCs/>
                <w:color w:val="auto"/>
                <w:sz w:val="24"/>
                <w:szCs w:val="24"/>
                <w:highlight w:val="none"/>
                <w:lang w:val="en-US" w:eastAsia="zh-CN"/>
              </w:rPr>
              <w:t>为重点管控单元，</w:t>
            </w:r>
            <w:r>
              <w:rPr>
                <w:rFonts w:hint="default" w:ascii="Times New Roman" w:hAnsi="Times New Roman" w:cs="Times New Roman" w:eastAsiaTheme="majorEastAsia"/>
                <w:bCs/>
                <w:color w:val="auto"/>
                <w:sz w:val="24"/>
                <w:szCs w:val="24"/>
                <w:highlight w:val="none"/>
              </w:rPr>
              <w:t>环境管控单元</w:t>
            </w:r>
            <w:r>
              <w:rPr>
                <w:rFonts w:hint="default" w:ascii="Times New Roman" w:hAnsi="Times New Roman" w:cs="Times New Roman" w:eastAsiaTheme="majorEastAsia"/>
                <w:bCs/>
                <w:color w:val="auto"/>
                <w:sz w:val="24"/>
                <w:szCs w:val="24"/>
                <w:highlight w:val="none"/>
                <w:lang w:val="en-US" w:eastAsia="zh-CN"/>
              </w:rPr>
              <w:t>名称：汤阴县大气布局敏感区，</w:t>
            </w:r>
            <w:r>
              <w:rPr>
                <w:rFonts w:hint="default" w:ascii="Times New Roman" w:hAnsi="Times New Roman" w:cs="Times New Roman" w:eastAsiaTheme="majorEastAsia"/>
                <w:bCs/>
                <w:color w:val="auto"/>
                <w:sz w:val="24"/>
                <w:szCs w:val="24"/>
                <w:highlight w:val="none"/>
              </w:rPr>
              <w:t>编码：ZH4105232000</w:t>
            </w:r>
            <w:r>
              <w:rPr>
                <w:rFonts w:hint="default" w:ascii="Times New Roman" w:hAnsi="Times New Roman" w:cs="Times New Roman" w:eastAsiaTheme="majorEastAsia"/>
                <w:bCs/>
                <w:color w:val="auto"/>
                <w:sz w:val="24"/>
                <w:szCs w:val="24"/>
                <w:highlight w:val="none"/>
                <w:lang w:val="en-US" w:eastAsia="zh-CN"/>
              </w:rPr>
              <w:t>4</w:t>
            </w:r>
            <w:r>
              <w:rPr>
                <w:rFonts w:hint="default" w:ascii="Times New Roman" w:hAnsi="Times New Roman" w:cs="Times New Roman" w:eastAsiaTheme="majorEastAsia"/>
                <w:bCs/>
                <w:color w:val="auto"/>
                <w:sz w:val="24"/>
                <w:szCs w:val="24"/>
                <w:highlight w:val="none"/>
              </w:rPr>
              <w:t>，本项目与</w:t>
            </w:r>
            <w:r>
              <w:rPr>
                <w:rFonts w:hint="default" w:ascii="Times New Roman" w:hAnsi="Times New Roman" w:cs="Times New Roman" w:eastAsiaTheme="majorEastAsia"/>
                <w:bCs/>
                <w:color w:val="auto"/>
                <w:sz w:val="24"/>
                <w:szCs w:val="24"/>
                <w:highlight w:val="none"/>
                <w:lang w:val="en-US" w:eastAsia="zh-CN"/>
              </w:rPr>
              <w:t>该管控单元准入清单</w:t>
            </w:r>
            <w:r>
              <w:rPr>
                <w:rFonts w:hint="default" w:ascii="Times New Roman" w:hAnsi="Times New Roman" w:cs="Times New Roman" w:eastAsiaTheme="majorEastAsia"/>
                <w:bCs/>
                <w:color w:val="auto"/>
                <w:sz w:val="24"/>
                <w:szCs w:val="24"/>
                <w:highlight w:val="none"/>
              </w:rPr>
              <w:t>相符性分析如下表。</w:t>
            </w:r>
          </w:p>
          <w:p w14:paraId="7BEBFB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iCs/>
                <w:color w:val="auto"/>
                <w:sz w:val="24"/>
                <w:szCs w:val="24"/>
                <w:highlight w:val="none"/>
              </w:rPr>
            </w:pPr>
            <w:r>
              <w:rPr>
                <w:rFonts w:hint="default" w:ascii="Times New Roman" w:hAnsi="Times New Roman" w:eastAsia="Times New Roman" w:cs="Times New Roman"/>
                <w:b/>
                <w:iCs/>
                <w:color w:val="auto"/>
                <w:sz w:val="24"/>
                <w:szCs w:val="24"/>
                <w:highlight w:val="none"/>
              </w:rPr>
              <w:t>安阳市汤阴县环境管控单元生态环境准入清单</w:t>
            </w:r>
          </w:p>
          <w:tbl>
            <w:tblPr>
              <w:tblStyle w:val="27"/>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048"/>
              <w:gridCol w:w="2978"/>
              <w:gridCol w:w="1366"/>
              <w:gridCol w:w="579"/>
            </w:tblGrid>
            <w:tr w14:paraId="50E8EC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1" w:type="pct"/>
                  <w:noWrap w:val="0"/>
                  <w:vAlign w:val="center"/>
                </w:tcPr>
                <w:p w14:paraId="5A662E06">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iCs/>
                      <w:color w:val="auto"/>
                      <w:sz w:val="21"/>
                      <w:szCs w:val="21"/>
                      <w:highlight w:val="none"/>
                    </w:rPr>
                  </w:pPr>
                  <w:r>
                    <w:rPr>
                      <w:rFonts w:hint="default" w:ascii="Times New Roman" w:hAnsi="Times New Roman" w:eastAsia="Times New Roman" w:cs="Times New Roman"/>
                      <w:b/>
                      <w:iCs/>
                      <w:color w:val="auto"/>
                      <w:sz w:val="21"/>
                      <w:szCs w:val="21"/>
                      <w:highlight w:val="none"/>
                    </w:rPr>
                    <w:t>环境管控单元名称</w:t>
                  </w:r>
                </w:p>
              </w:tc>
              <w:tc>
                <w:tcPr>
                  <w:tcW w:w="2703" w:type="pct"/>
                  <w:gridSpan w:val="2"/>
                  <w:noWrap w:val="0"/>
                  <w:vAlign w:val="center"/>
                </w:tcPr>
                <w:p w14:paraId="78B85A32">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iCs/>
                      <w:color w:val="auto"/>
                      <w:sz w:val="21"/>
                      <w:szCs w:val="21"/>
                      <w:highlight w:val="none"/>
                    </w:rPr>
                  </w:pPr>
                  <w:r>
                    <w:rPr>
                      <w:rFonts w:hint="default" w:ascii="Times New Roman" w:hAnsi="Times New Roman" w:eastAsia="Times New Roman" w:cs="Times New Roman"/>
                      <w:b/>
                      <w:iCs/>
                      <w:color w:val="auto"/>
                      <w:sz w:val="21"/>
                      <w:szCs w:val="21"/>
                      <w:highlight w:val="none"/>
                    </w:rPr>
                    <w:t>管控要求</w:t>
                  </w:r>
                </w:p>
              </w:tc>
              <w:tc>
                <w:tcPr>
                  <w:tcW w:w="938" w:type="pct"/>
                  <w:noWrap w:val="0"/>
                  <w:vAlign w:val="center"/>
                </w:tcPr>
                <w:p w14:paraId="3D19726E">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项目建设情况</w:t>
                  </w:r>
                </w:p>
              </w:tc>
              <w:tc>
                <w:tcPr>
                  <w:tcW w:w="436" w:type="pct"/>
                  <w:noWrap w:val="0"/>
                  <w:vAlign w:val="center"/>
                </w:tcPr>
                <w:p w14:paraId="21D898CE">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符合性</w:t>
                  </w:r>
                </w:p>
              </w:tc>
            </w:tr>
            <w:tr w14:paraId="1A1F52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21" w:type="pct"/>
                  <w:vMerge w:val="restart"/>
                  <w:noWrap w:val="0"/>
                  <w:vAlign w:val="center"/>
                </w:tcPr>
                <w:p w14:paraId="0B1606E5">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eastAsia="zh-CN"/>
                    </w:rPr>
                  </w:pPr>
                  <w:r>
                    <w:rPr>
                      <w:rFonts w:hint="default" w:ascii="Times New Roman" w:hAnsi="Times New Roman" w:eastAsia="Times New Roman" w:cs="Times New Roman"/>
                      <w:bCs/>
                      <w:color w:val="auto"/>
                      <w:sz w:val="21"/>
                      <w:szCs w:val="21"/>
                      <w:highlight w:val="none"/>
                      <w:lang w:val="en-US" w:eastAsia="zh-CN"/>
                    </w:rPr>
                    <w:t>汤阴县大气布局敏感区，</w:t>
                  </w:r>
                  <w:r>
                    <w:rPr>
                      <w:rFonts w:hint="eastAsia" w:ascii="Times New Roman" w:hAnsi="Times New Roman" w:eastAsia="Times New Roman" w:cs="Times New Roman"/>
                      <w:bCs/>
                      <w:color w:val="auto"/>
                      <w:sz w:val="21"/>
                      <w:szCs w:val="21"/>
                      <w:highlight w:val="none"/>
                      <w:lang w:val="en-US" w:eastAsia="zh-CN"/>
                    </w:rPr>
                    <w:t>（环境管控单元</w:t>
                  </w:r>
                  <w:r>
                    <w:rPr>
                      <w:rFonts w:hint="default" w:ascii="Times New Roman" w:hAnsi="Times New Roman" w:eastAsia="Times New Roman" w:cs="Times New Roman"/>
                      <w:bCs/>
                      <w:color w:val="auto"/>
                      <w:sz w:val="21"/>
                      <w:szCs w:val="21"/>
                      <w:highlight w:val="none"/>
                    </w:rPr>
                    <w:t>编码：ZH4105232000</w:t>
                  </w:r>
                  <w:r>
                    <w:rPr>
                      <w:rFonts w:hint="eastAsia" w:ascii="Times New Roman" w:hAnsi="Times New Roman" w:eastAsia="Times New Roman" w:cs="Times New Roman"/>
                      <w:bCs/>
                      <w:color w:val="auto"/>
                      <w:sz w:val="21"/>
                      <w:szCs w:val="21"/>
                      <w:highlight w:val="none"/>
                      <w:lang w:val="en-US" w:eastAsia="zh-CN"/>
                    </w:rPr>
                    <w:t>4）</w:t>
                  </w:r>
                </w:p>
              </w:tc>
              <w:tc>
                <w:tcPr>
                  <w:tcW w:w="736" w:type="pct"/>
                  <w:noWrap w:val="0"/>
                  <w:vAlign w:val="center"/>
                </w:tcPr>
                <w:p w14:paraId="4718723B">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空间布局约束</w:t>
                  </w:r>
                </w:p>
              </w:tc>
              <w:tc>
                <w:tcPr>
                  <w:tcW w:w="1967" w:type="pct"/>
                  <w:noWrap w:val="0"/>
                  <w:vAlign w:val="center"/>
                </w:tcPr>
                <w:p w14:paraId="0A2BB440">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iCs/>
                      <w:color w:val="auto"/>
                      <w:sz w:val="21"/>
                      <w:szCs w:val="21"/>
                      <w:highlight w:val="none"/>
                      <w:lang w:val="en-US" w:eastAsia="zh-CN"/>
                    </w:rPr>
                    <w:t>/</w:t>
                  </w:r>
                </w:p>
              </w:tc>
              <w:tc>
                <w:tcPr>
                  <w:tcW w:w="938" w:type="pct"/>
                  <w:noWrap w:val="0"/>
                  <w:vAlign w:val="center"/>
                </w:tcPr>
                <w:p w14:paraId="7E440900">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val="en-US" w:eastAsia="zh-CN"/>
                    </w:rPr>
                    <w:t>/</w:t>
                  </w:r>
                </w:p>
              </w:tc>
              <w:tc>
                <w:tcPr>
                  <w:tcW w:w="436" w:type="pct"/>
                  <w:noWrap w:val="0"/>
                  <w:vAlign w:val="center"/>
                </w:tcPr>
                <w:p w14:paraId="438805B2">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val="en-US" w:eastAsia="zh-CN"/>
                    </w:rPr>
                  </w:pPr>
                  <w:r>
                    <w:rPr>
                      <w:rFonts w:hint="eastAsia" w:ascii="Times New Roman" w:hAnsi="Times New Roman" w:eastAsia="Times New Roman" w:cs="Times New Roman"/>
                      <w:iCs/>
                      <w:color w:val="auto"/>
                      <w:sz w:val="21"/>
                      <w:szCs w:val="21"/>
                      <w:highlight w:val="none"/>
                      <w:lang w:val="en-US" w:eastAsia="zh-CN"/>
                    </w:rPr>
                    <w:t>/</w:t>
                  </w:r>
                </w:p>
              </w:tc>
            </w:tr>
            <w:tr w14:paraId="1C4C51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921" w:type="pct"/>
                  <w:vMerge w:val="continue"/>
                  <w:noWrap w:val="0"/>
                  <w:vAlign w:val="top"/>
                </w:tcPr>
                <w:p w14:paraId="6BAC4559">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auto"/>
                      <w:sz w:val="21"/>
                      <w:szCs w:val="21"/>
                      <w:highlight w:val="none"/>
                    </w:rPr>
                  </w:pPr>
                </w:p>
              </w:tc>
              <w:tc>
                <w:tcPr>
                  <w:tcW w:w="736" w:type="pct"/>
                  <w:noWrap w:val="0"/>
                  <w:vAlign w:val="center"/>
                </w:tcPr>
                <w:p w14:paraId="17586B42">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污染物排放管控</w:t>
                  </w:r>
                </w:p>
              </w:tc>
              <w:tc>
                <w:tcPr>
                  <w:tcW w:w="1967" w:type="pct"/>
                  <w:noWrap w:val="0"/>
                  <w:vAlign w:val="center"/>
                </w:tcPr>
                <w:p w14:paraId="51DCB0D3">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iCs/>
                      <w:color w:val="auto"/>
                      <w:sz w:val="21"/>
                      <w:szCs w:val="21"/>
                      <w:highlight w:val="none"/>
                      <w:lang w:eastAsia="zh-CN"/>
                    </w:rPr>
                  </w:pPr>
                  <w:r>
                    <w:rPr>
                      <w:rFonts w:hint="default" w:ascii="Times New Roman" w:hAnsi="Times New Roman" w:eastAsia="Times New Roman" w:cs="Times New Roman"/>
                      <w:color w:val="auto"/>
                      <w:sz w:val="21"/>
                      <w:szCs w:val="21"/>
                      <w:highlight w:val="none"/>
                    </w:rPr>
                    <w:t>严格控制高耗能、高排放项目准入，新建、改建、扩建”两高”项目须符合生态环境保护法律法规和相关法定规划，满足重点污染物排放总量控制、碳</w:t>
                  </w:r>
                  <w:r>
                    <w:rPr>
                      <w:rFonts w:hint="eastAsia" w:eastAsia="宋体" w:cs="Times New Roman"/>
                      <w:color w:val="auto"/>
                      <w:sz w:val="21"/>
                      <w:szCs w:val="21"/>
                      <w:highlight w:val="none"/>
                      <w:lang w:eastAsia="zh-CN"/>
                    </w:rPr>
                    <w:t>排</w:t>
                  </w:r>
                  <w:r>
                    <w:rPr>
                      <w:rFonts w:hint="default" w:ascii="Times New Roman" w:hAnsi="Times New Roman" w:eastAsia="Times New Roman" w:cs="Times New Roman"/>
                      <w:color w:val="auto"/>
                      <w:sz w:val="21"/>
                      <w:szCs w:val="21"/>
                      <w:highlight w:val="none"/>
                    </w:rPr>
                    <w:t>放达峰目标、生态环境准入清单、相关规划环评和相应行业建设项目环境准入条件、环评文件审批原则要求。</w:t>
                  </w:r>
                </w:p>
              </w:tc>
              <w:tc>
                <w:tcPr>
                  <w:tcW w:w="938" w:type="pct"/>
                  <w:noWrap w:val="0"/>
                  <w:vAlign w:val="center"/>
                </w:tcPr>
                <w:p w14:paraId="53D44B20">
                  <w:pPr>
                    <w:keepNext w:val="0"/>
                    <w:keepLines w:val="0"/>
                    <w:suppressLineNumbers w:val="0"/>
                    <w:tabs>
                      <w:tab w:val="left" w:pos="1466"/>
                    </w:tabs>
                    <w:adjustRightInd w:val="0"/>
                    <w:snapToGrid w:val="0"/>
                    <w:spacing w:before="0" w:beforeAutospacing="0" w:after="0" w:afterAutospacing="0" w:line="240" w:lineRule="auto"/>
                    <w:ind w:left="0" w:right="0"/>
                    <w:rPr>
                      <w:rFonts w:hint="eastAsia" w:ascii="Times New Roman" w:hAnsi="Times New Roman" w:eastAsia="Times New Roman"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eastAsia="zh-CN"/>
                    </w:rPr>
                    <w:t>本项目不属于“两高”项目。</w:t>
                  </w:r>
                </w:p>
              </w:tc>
              <w:tc>
                <w:tcPr>
                  <w:tcW w:w="436" w:type="pct"/>
                  <w:noWrap w:val="0"/>
                  <w:vAlign w:val="center"/>
                </w:tcPr>
                <w:p w14:paraId="7F320F2E">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val="en-US" w:eastAsia="zh-CN"/>
                    </w:rPr>
                  </w:pPr>
                  <w:r>
                    <w:rPr>
                      <w:rFonts w:hint="eastAsia" w:ascii="Times New Roman" w:hAnsi="Times New Roman" w:eastAsia="Times New Roman" w:cs="Times New Roman"/>
                      <w:iCs/>
                      <w:color w:val="auto"/>
                      <w:sz w:val="21"/>
                      <w:szCs w:val="21"/>
                      <w:highlight w:val="none"/>
                      <w:lang w:val="en-US" w:eastAsia="zh-CN"/>
                    </w:rPr>
                    <w:t>/</w:t>
                  </w:r>
                </w:p>
              </w:tc>
            </w:tr>
            <w:tr w14:paraId="14AF52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21" w:type="pct"/>
                  <w:vMerge w:val="continue"/>
                  <w:noWrap w:val="0"/>
                  <w:vAlign w:val="top"/>
                </w:tcPr>
                <w:p w14:paraId="35ADA707">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auto"/>
                      <w:sz w:val="21"/>
                      <w:szCs w:val="21"/>
                      <w:highlight w:val="none"/>
                    </w:rPr>
                  </w:pPr>
                </w:p>
              </w:tc>
              <w:tc>
                <w:tcPr>
                  <w:tcW w:w="736" w:type="pct"/>
                  <w:noWrap w:val="0"/>
                  <w:vAlign w:val="center"/>
                </w:tcPr>
                <w:p w14:paraId="65CF51B1">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环境风险防控</w:t>
                  </w:r>
                </w:p>
              </w:tc>
              <w:tc>
                <w:tcPr>
                  <w:tcW w:w="1967" w:type="pct"/>
                  <w:noWrap w:val="0"/>
                  <w:vAlign w:val="center"/>
                </w:tcPr>
                <w:p w14:paraId="76578DA0">
                  <w:pPr>
                    <w:pStyle w:val="69"/>
                    <w:keepNext w:val="0"/>
                    <w:keepLines w:val="0"/>
                    <w:suppressLineNumbers w:val="0"/>
                    <w:adjustRightInd w:val="0"/>
                    <w:snapToGrid w:val="0"/>
                    <w:spacing w:before="0" w:beforeAutospacing="0" w:after="0" w:afterAutospacing="0" w:line="240" w:lineRule="auto"/>
                    <w:ind w:left="0" w:right="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938" w:type="pct"/>
                  <w:noWrap w:val="0"/>
                  <w:vAlign w:val="center"/>
                </w:tcPr>
                <w:p w14:paraId="064B5636">
                  <w:pPr>
                    <w:keepNext w:val="0"/>
                    <w:keepLines w:val="0"/>
                    <w:suppressLineNumbers w:val="0"/>
                    <w:tabs>
                      <w:tab w:val="left" w:pos="1260"/>
                    </w:tabs>
                    <w:adjustRightInd w:val="0"/>
                    <w:snapToGrid w:val="0"/>
                    <w:spacing w:before="0" w:beforeAutospacing="0" w:after="0" w:afterAutospacing="0" w:line="240" w:lineRule="auto"/>
                    <w:ind w:left="0" w:right="0"/>
                    <w:jc w:val="both"/>
                    <w:rPr>
                      <w:rFonts w:hint="default" w:ascii="Times New Roman" w:hAnsi="Times New Roman" w:eastAsia="Times New Roman" w:cs="Times New Roman"/>
                      <w:iCs/>
                      <w:color w:val="auto"/>
                      <w:sz w:val="21"/>
                      <w:szCs w:val="21"/>
                      <w:highlight w:val="none"/>
                    </w:rPr>
                  </w:pPr>
                  <w:r>
                    <w:rPr>
                      <w:rFonts w:hint="eastAsia" w:ascii="Times New Roman" w:hAnsi="Times New Roman" w:eastAsia="Times New Roman" w:cs="Times New Roman"/>
                      <w:bCs/>
                      <w:iCs/>
                      <w:color w:val="auto"/>
                      <w:sz w:val="21"/>
                      <w:szCs w:val="21"/>
                      <w:highlight w:val="none"/>
                      <w:lang w:val="en-US" w:eastAsia="zh-CN"/>
                    </w:rPr>
                    <w:t>/</w:t>
                  </w:r>
                  <w:r>
                    <w:rPr>
                      <w:rFonts w:hint="default" w:ascii="Times New Roman" w:hAnsi="Times New Roman" w:eastAsia="Times New Roman" w:cs="Times New Roman"/>
                      <w:iCs/>
                      <w:color w:val="auto"/>
                      <w:sz w:val="21"/>
                      <w:szCs w:val="21"/>
                      <w:highlight w:val="none"/>
                    </w:rPr>
                    <w:t>。</w:t>
                  </w:r>
                </w:p>
              </w:tc>
              <w:tc>
                <w:tcPr>
                  <w:tcW w:w="436" w:type="pct"/>
                  <w:noWrap w:val="0"/>
                  <w:vAlign w:val="center"/>
                </w:tcPr>
                <w:p w14:paraId="227726D6">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val="en-US" w:eastAsia="zh-CN"/>
                    </w:rPr>
                    <w:t>/</w:t>
                  </w:r>
                </w:p>
              </w:tc>
            </w:tr>
            <w:tr w14:paraId="7947A5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21" w:type="pct"/>
                  <w:vMerge w:val="continue"/>
                  <w:noWrap w:val="0"/>
                  <w:vAlign w:val="top"/>
                </w:tcPr>
                <w:p w14:paraId="19979532">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auto"/>
                      <w:sz w:val="21"/>
                      <w:szCs w:val="21"/>
                      <w:highlight w:val="none"/>
                    </w:rPr>
                  </w:pPr>
                </w:p>
              </w:tc>
              <w:tc>
                <w:tcPr>
                  <w:tcW w:w="736" w:type="pct"/>
                  <w:noWrap w:val="0"/>
                  <w:vAlign w:val="center"/>
                </w:tcPr>
                <w:p w14:paraId="7CF4751F">
                  <w:pPr>
                    <w:pStyle w:val="66"/>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资源开发效率要求</w:t>
                  </w:r>
                </w:p>
              </w:tc>
              <w:tc>
                <w:tcPr>
                  <w:tcW w:w="1967" w:type="pct"/>
                  <w:noWrap w:val="0"/>
                  <w:vAlign w:val="top"/>
                </w:tcPr>
                <w:p w14:paraId="4429D0FE">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938" w:type="pct"/>
                  <w:noWrap w:val="0"/>
                  <w:vAlign w:val="center"/>
                </w:tcPr>
                <w:p w14:paraId="1853B6A1">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Times New Roman" w:cs="Times New Roman"/>
                      <w:color w:val="auto"/>
                      <w:kern w:val="0"/>
                      <w:sz w:val="21"/>
                      <w:szCs w:val="21"/>
                      <w:highlight w:val="none"/>
                      <w:lang w:val="en-US" w:eastAsia="zh-CN"/>
                    </w:rPr>
                    <w:t>/</w:t>
                  </w:r>
                </w:p>
              </w:tc>
              <w:tc>
                <w:tcPr>
                  <w:tcW w:w="436" w:type="pct"/>
                  <w:noWrap w:val="0"/>
                  <w:vAlign w:val="center"/>
                </w:tcPr>
                <w:p w14:paraId="3365AE65">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auto"/>
                      <w:sz w:val="21"/>
                      <w:szCs w:val="21"/>
                      <w:highlight w:val="none"/>
                      <w:lang w:eastAsia="zh-CN"/>
                    </w:rPr>
                  </w:pPr>
                  <w:r>
                    <w:rPr>
                      <w:rFonts w:hint="eastAsia" w:ascii="Times New Roman" w:hAnsi="Times New Roman" w:eastAsia="Times New Roman" w:cs="Times New Roman"/>
                      <w:iCs/>
                      <w:color w:val="auto"/>
                      <w:sz w:val="21"/>
                      <w:szCs w:val="21"/>
                      <w:highlight w:val="none"/>
                      <w:lang w:val="en-US" w:eastAsia="zh-CN"/>
                    </w:rPr>
                    <w:t>/</w:t>
                  </w:r>
                </w:p>
              </w:tc>
            </w:tr>
          </w:tbl>
          <w:p w14:paraId="05D53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Times New Roman" w:cs="Times New Roman"/>
                <w:b w:val="0"/>
                <w:bCs/>
                <w:color w:val="auto"/>
                <w:sz w:val="24"/>
                <w:szCs w:val="24"/>
                <w:highlight w:val="none"/>
                <w:lang w:val="en-US" w:eastAsia="zh-CN"/>
              </w:rPr>
            </w:pPr>
            <w:r>
              <w:rPr>
                <w:rFonts w:hint="eastAsia" w:ascii="Times New Roman" w:hAnsi="Times New Roman" w:eastAsia="Times New Roman" w:cs="Times New Roman"/>
                <w:b w:val="0"/>
                <w:bCs/>
                <w:color w:val="auto"/>
                <w:sz w:val="24"/>
                <w:szCs w:val="24"/>
                <w:highlight w:val="none"/>
                <w:lang w:val="en-US" w:eastAsia="zh-CN"/>
              </w:rPr>
              <w:t>综上所述，本项目符合区域环境总体准入要求及环境管控单元要求。</w:t>
            </w:r>
          </w:p>
          <w:p w14:paraId="6D15E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szCs w:val="24"/>
                <w:highlight w:val="none"/>
              </w:rPr>
            </w:pPr>
            <w:r>
              <w:rPr>
                <w:rFonts w:hint="eastAsia" w:ascii="Times New Roman" w:hAnsi="Times New Roman" w:eastAsia="Times New Roman" w:cs="Times New Roman"/>
                <w:b/>
                <w:color w:val="auto"/>
                <w:sz w:val="24"/>
                <w:szCs w:val="24"/>
                <w:highlight w:val="none"/>
                <w:lang w:val="en-US" w:eastAsia="zh-CN"/>
              </w:rPr>
              <w:t>3.</w:t>
            </w:r>
            <w:r>
              <w:rPr>
                <w:rFonts w:hint="default" w:ascii="Times New Roman" w:hAnsi="Times New Roman" w:eastAsia="Times New Roman" w:cs="Times New Roman"/>
                <w:b/>
                <w:color w:val="auto"/>
                <w:sz w:val="24"/>
                <w:szCs w:val="24"/>
                <w:highlight w:val="none"/>
              </w:rPr>
              <w:t>与严重污染（大气）环境淘汰工艺与设备要求符合性分析</w:t>
            </w:r>
          </w:p>
          <w:p w14:paraId="16054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default" w:ascii="Times New Roman" w:hAnsi="Times New Roman" w:cs="Times New Roman" w:eastAsiaTheme="majorEastAsia"/>
                <w:color w:val="auto"/>
                <w:sz w:val="24"/>
                <w:szCs w:val="24"/>
                <w:highlight w:val="none"/>
              </w:rPr>
              <w:t>根据《中华人民共和国大气污染防治法》（2018年版）中要求：国家对严重污染大气环境的工艺、设备和产品实行淘汰制度。经查阅《严重污染（大气）环境的淘汰工艺与设备名录》（第一批），项目所涉及的工艺、设备不属于名录中淘汰类，符合环保要求</w:t>
            </w:r>
            <w:r>
              <w:rPr>
                <w:rFonts w:hint="eastAsia" w:asciiTheme="majorEastAsia" w:hAnsiTheme="majorEastAsia" w:eastAsiaTheme="majorEastAsia" w:cstheme="majorEastAsia"/>
                <w:color w:val="auto"/>
                <w:sz w:val="24"/>
                <w:szCs w:val="24"/>
                <w:highlight w:val="none"/>
              </w:rPr>
              <w:t>。</w:t>
            </w:r>
          </w:p>
          <w:p w14:paraId="6965CDBC">
            <w:pPr>
              <w:keepNext w:val="0"/>
              <w:keepLines w:val="0"/>
              <w:pageBreakBefore w:val="0"/>
              <w:widowControl w:val="0"/>
              <w:numPr>
                <w:ilvl w:val="0"/>
                <w:numId w:val="0"/>
              </w:numPr>
              <w:suppressLineNumbers w:val="0"/>
              <w:tabs>
                <w:tab w:val="left" w:pos="229"/>
              </w:tabs>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宋体" w:cs="Times New Roman"/>
                <w:b/>
                <w:color w:val="auto"/>
                <w:sz w:val="24"/>
                <w:szCs w:val="24"/>
                <w:highlight w:val="none"/>
                <w:lang w:val="en-US" w:eastAsia="zh-CN"/>
              </w:rPr>
              <w:t>4.项目与《安阳市重点行业挥发性有机物（VOCs）控制治理指导意见》（安环攻坚办〔2017〕439号）相符性分析</w:t>
            </w:r>
          </w:p>
          <w:p w14:paraId="5D630254">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lang w:val="en-US" w:eastAsia="zh-CN" w:bidi="ar"/>
              </w:rPr>
              <w:t>（安环攻坚办〔</w:t>
            </w:r>
            <w:r>
              <w:rPr>
                <w:rFonts w:hint="default" w:ascii="Times New Roman" w:hAnsi="Times New Roman" w:eastAsia="Times New Roman" w:cs="Times New Roman"/>
                <w:b/>
                <w:bCs/>
                <w:color w:val="auto"/>
                <w:kern w:val="2"/>
                <w:sz w:val="24"/>
                <w:szCs w:val="24"/>
                <w:highlight w:val="none"/>
                <w:lang w:val="en-US" w:eastAsia="zh-CN" w:bidi="ar"/>
              </w:rPr>
              <w:t>2017</w:t>
            </w:r>
            <w:r>
              <w:rPr>
                <w:rFonts w:hint="default" w:ascii="Times New Roman" w:hAnsi="Times New Roman" w:eastAsia="宋体" w:cs="Times New Roman"/>
                <w:b/>
                <w:bCs/>
                <w:color w:val="auto"/>
                <w:kern w:val="2"/>
                <w:sz w:val="24"/>
                <w:szCs w:val="24"/>
                <w:highlight w:val="none"/>
                <w:lang w:val="en-US" w:eastAsia="zh-CN" w:bidi="ar"/>
              </w:rPr>
              <w:t>〕</w:t>
            </w:r>
            <w:r>
              <w:rPr>
                <w:rFonts w:hint="default" w:ascii="Times New Roman" w:hAnsi="Times New Roman" w:eastAsia="Times New Roman" w:cs="Times New Roman"/>
                <w:b/>
                <w:bCs/>
                <w:color w:val="auto"/>
                <w:kern w:val="2"/>
                <w:sz w:val="24"/>
                <w:szCs w:val="24"/>
                <w:highlight w:val="none"/>
                <w:lang w:val="en-US" w:eastAsia="zh-CN" w:bidi="ar"/>
              </w:rPr>
              <w:t>439</w:t>
            </w:r>
            <w:r>
              <w:rPr>
                <w:rFonts w:hint="default" w:ascii="Times New Roman" w:hAnsi="Times New Roman" w:eastAsia="宋体" w:cs="Times New Roman"/>
                <w:b/>
                <w:bCs/>
                <w:color w:val="auto"/>
                <w:kern w:val="2"/>
                <w:sz w:val="24"/>
                <w:szCs w:val="24"/>
                <w:highlight w:val="none"/>
                <w:lang w:val="en-US" w:eastAsia="zh-CN" w:bidi="ar"/>
              </w:rPr>
              <w:t>号）相符性分析</w:t>
            </w:r>
          </w:p>
          <w:tbl>
            <w:tblPr>
              <w:tblStyle w:val="26"/>
              <w:tblW w:w="4998" w:type="pct"/>
              <w:jc w:val="right"/>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0" w:type="dxa"/>
                <w:bottom w:w="0" w:type="dxa"/>
                <w:right w:w="0" w:type="dxa"/>
              </w:tblCellMar>
            </w:tblPr>
            <w:tblGrid>
              <w:gridCol w:w="481"/>
              <w:gridCol w:w="4104"/>
              <w:gridCol w:w="2734"/>
              <w:gridCol w:w="516"/>
            </w:tblGrid>
            <w:tr w14:paraId="58DC8E8F">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right"/>
              </w:trPr>
              <w:tc>
                <w:tcPr>
                  <w:tcW w:w="307" w:type="pct"/>
                  <w:tcBorders>
                    <w:top w:val="single" w:color="auto" w:sz="4" w:space="0"/>
                    <w:left w:val="nil"/>
                    <w:bottom w:val="single" w:color="auto" w:sz="4" w:space="0"/>
                    <w:right w:val="single" w:color="auto" w:sz="4" w:space="0"/>
                  </w:tcBorders>
                  <w:noWrap w:val="0"/>
                  <w:vAlign w:val="center"/>
                </w:tcPr>
                <w:p w14:paraId="7FEEEF89">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序号</w:t>
                  </w:r>
                </w:p>
              </w:tc>
              <w:tc>
                <w:tcPr>
                  <w:tcW w:w="2618" w:type="pct"/>
                  <w:tcBorders>
                    <w:top w:val="single" w:color="auto" w:sz="4" w:space="0"/>
                    <w:left w:val="nil"/>
                    <w:bottom w:val="single" w:color="auto" w:sz="4" w:space="0"/>
                    <w:right w:val="single" w:color="auto" w:sz="4" w:space="0"/>
                  </w:tcBorders>
                  <w:noWrap w:val="0"/>
                  <w:vAlign w:val="center"/>
                </w:tcPr>
                <w:p w14:paraId="31C9E7DA">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文件要求</w:t>
                  </w:r>
                </w:p>
              </w:tc>
              <w:tc>
                <w:tcPr>
                  <w:tcW w:w="1744" w:type="pct"/>
                  <w:tcBorders>
                    <w:top w:val="single" w:color="auto" w:sz="4" w:space="0"/>
                    <w:left w:val="nil"/>
                    <w:bottom w:val="single" w:color="auto" w:sz="4" w:space="0"/>
                    <w:right w:val="single" w:color="auto" w:sz="4" w:space="0"/>
                  </w:tcBorders>
                  <w:noWrap w:val="0"/>
                  <w:vAlign w:val="center"/>
                </w:tcPr>
                <w:p w14:paraId="058D96B3">
                  <w:pPr>
                    <w:keepNext w:val="0"/>
                    <w:keepLines w:val="0"/>
                    <w:widowControl w:val="0"/>
                    <w:suppressLineNumbers w:val="0"/>
                    <w:autoSpaceDE w:val="0"/>
                    <w:autoSpaceDN/>
                    <w:adjustRightInd w:val="0"/>
                    <w:spacing w:before="0" w:beforeAutospacing="0" w:after="0" w:afterAutospacing="0" w:line="240" w:lineRule="auto"/>
                    <w:ind w:left="0" w:right="0" w:firstLine="0" w:firstLineChars="0"/>
                    <w:jc w:val="center"/>
                    <w:rPr>
                      <w:rFonts w:hint="default" w:ascii="Times New Roman" w:hAnsi="Times New Roman" w:eastAsia="Times New Roman"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项目情况</w:t>
                  </w:r>
                </w:p>
              </w:tc>
              <w:tc>
                <w:tcPr>
                  <w:tcW w:w="329" w:type="pct"/>
                  <w:tcBorders>
                    <w:top w:val="single" w:color="auto" w:sz="4" w:space="0"/>
                    <w:left w:val="nil"/>
                    <w:bottom w:val="single" w:color="auto" w:sz="4" w:space="0"/>
                    <w:right w:val="nil"/>
                  </w:tcBorders>
                  <w:noWrap w:val="0"/>
                  <w:vAlign w:val="center"/>
                </w:tcPr>
                <w:p w14:paraId="62046810">
                  <w:pPr>
                    <w:keepNext w:val="0"/>
                    <w:keepLines w:val="0"/>
                    <w:widowControl w:val="0"/>
                    <w:suppressLineNumbers w:val="0"/>
                    <w:autoSpaceDE w:val="0"/>
                    <w:autoSpaceDN/>
                    <w:adjustRightInd w:val="0"/>
                    <w:spacing w:before="0" w:beforeAutospacing="0" w:after="0" w:afterAutospacing="0" w:line="240" w:lineRule="auto"/>
                    <w:ind w:left="0" w:right="0" w:firstLine="0" w:firstLineChars="0"/>
                    <w:jc w:val="center"/>
                    <w:rPr>
                      <w:rFonts w:hint="default" w:ascii="Times New Roman" w:hAnsi="Times New Roman" w:eastAsia="Times New Roman"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bidi="ar"/>
                    </w:rPr>
                    <w:t>相符性</w:t>
                  </w:r>
                </w:p>
              </w:tc>
            </w:tr>
            <w:tr w14:paraId="6BB3B42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right"/>
              </w:trPr>
              <w:tc>
                <w:tcPr>
                  <w:tcW w:w="307" w:type="pct"/>
                  <w:tcBorders>
                    <w:top w:val="single" w:color="auto" w:sz="4" w:space="0"/>
                    <w:left w:val="nil"/>
                    <w:bottom w:val="single" w:color="auto" w:sz="4" w:space="0"/>
                    <w:right w:val="single" w:color="auto" w:sz="4" w:space="0"/>
                  </w:tcBorders>
                  <w:noWrap w:val="0"/>
                  <w:vAlign w:val="center"/>
                </w:tcPr>
                <w:p w14:paraId="15CE8E2A">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color w:val="auto"/>
                      <w:kern w:val="2"/>
                      <w:sz w:val="21"/>
                      <w:szCs w:val="21"/>
                      <w:highlight w:val="none"/>
                    </w:rPr>
                  </w:pPr>
                  <w:r>
                    <w:rPr>
                      <w:rFonts w:hint="default" w:ascii="Times New Roman" w:hAnsi="Times New Roman" w:eastAsia="Times New Roman" w:cs="Times New Roman"/>
                      <w:color w:val="auto"/>
                      <w:kern w:val="2"/>
                      <w:sz w:val="21"/>
                      <w:szCs w:val="21"/>
                      <w:highlight w:val="none"/>
                      <w:lang w:val="en-US" w:eastAsia="zh-CN" w:bidi="ar"/>
                    </w:rPr>
                    <w:t>1</w:t>
                  </w:r>
                </w:p>
              </w:tc>
              <w:tc>
                <w:tcPr>
                  <w:tcW w:w="2618" w:type="pct"/>
                  <w:tcBorders>
                    <w:top w:val="single" w:color="auto" w:sz="4" w:space="0"/>
                    <w:left w:val="nil"/>
                    <w:bottom w:val="single" w:color="auto" w:sz="4" w:space="0"/>
                    <w:right w:val="single" w:color="auto" w:sz="4" w:space="0"/>
                  </w:tcBorders>
                  <w:noWrap w:val="0"/>
                  <w:vAlign w:val="center"/>
                </w:tcPr>
                <w:p w14:paraId="595CC3A4">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采用塑料原颗粒且未添加任何添加剂的吹膜、吸瓶、制袋等企业或车间可不安装净化设施，不按涉VOC</w:t>
                  </w:r>
                  <w:r>
                    <w:rPr>
                      <w:rFonts w:hint="eastAsia" w:ascii="Times New Roman" w:hAnsi="Times New Roman" w:eastAsia="Times New Roman" w:cs="Times New Roman"/>
                      <w:color w:val="auto"/>
                      <w:sz w:val="21"/>
                      <w:szCs w:val="21"/>
                      <w:highlight w:val="none"/>
                      <w:lang w:val="en-US" w:eastAsia="zh-CN"/>
                    </w:rPr>
                    <w:t>s</w:t>
                  </w:r>
                  <w:r>
                    <w:rPr>
                      <w:rFonts w:hint="default" w:ascii="Times New Roman" w:hAnsi="Times New Roman" w:eastAsia="Times New Roman" w:cs="Times New Roman"/>
                      <w:color w:val="auto"/>
                      <w:sz w:val="21"/>
                      <w:szCs w:val="21"/>
                      <w:highlight w:val="none"/>
                      <w:lang w:val="en-US" w:eastAsia="zh-CN"/>
                    </w:rPr>
                    <w:t>企业管控。</w:t>
                  </w:r>
                </w:p>
              </w:tc>
              <w:tc>
                <w:tcPr>
                  <w:tcW w:w="1744" w:type="pct"/>
                  <w:vMerge w:val="restart"/>
                  <w:tcBorders>
                    <w:top w:val="nil"/>
                    <w:left w:val="nil"/>
                    <w:bottom w:val="single" w:color="auto" w:sz="4" w:space="0"/>
                    <w:right w:val="single" w:color="auto" w:sz="4" w:space="0"/>
                  </w:tcBorders>
                  <w:noWrap w:val="0"/>
                  <w:vAlign w:val="center"/>
                </w:tcPr>
                <w:p w14:paraId="4EEE2FE7">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项目原辅料为聚乙烯</w:t>
                  </w:r>
                  <w:r>
                    <w:rPr>
                      <w:rFonts w:hint="eastAsia" w:ascii="Times New Roman" w:hAnsi="Times New Roman" w:eastAsia="Times New Roman" w:cs="Times New Roman"/>
                      <w:color w:val="auto"/>
                      <w:sz w:val="21"/>
                      <w:szCs w:val="21"/>
                      <w:highlight w:val="none"/>
                      <w:lang w:val="en-US" w:eastAsia="zh-CN"/>
                    </w:rPr>
                    <w:t>颗粒</w:t>
                  </w:r>
                  <w:r>
                    <w:rPr>
                      <w:rFonts w:hint="default" w:ascii="Times New Roman" w:hAnsi="Times New Roman" w:eastAsia="Times New Roman" w:cs="Times New Roman"/>
                      <w:color w:val="auto"/>
                      <w:sz w:val="21"/>
                      <w:szCs w:val="21"/>
                      <w:highlight w:val="none"/>
                      <w:lang w:val="en-US" w:eastAsia="zh-CN"/>
                    </w:rPr>
                    <w:t>、聚丙烯</w:t>
                  </w:r>
                  <w:r>
                    <w:rPr>
                      <w:rFonts w:hint="eastAsia" w:ascii="Times New Roman" w:hAnsi="Times New Roman" w:eastAsia="Times New Roman" w:cs="Times New Roman"/>
                      <w:color w:val="auto"/>
                      <w:sz w:val="21"/>
                      <w:szCs w:val="21"/>
                      <w:highlight w:val="none"/>
                      <w:lang w:val="en-US" w:eastAsia="zh-CN"/>
                    </w:rPr>
                    <w:t>丝、丙纶丝、热熔胶颗粒</w:t>
                  </w:r>
                  <w:r>
                    <w:rPr>
                      <w:rFonts w:hint="default" w:ascii="Times New Roman" w:hAnsi="Times New Roman" w:eastAsia="Times New Roman" w:cs="Times New Roman"/>
                      <w:color w:val="auto"/>
                      <w:sz w:val="21"/>
                      <w:szCs w:val="21"/>
                      <w:highlight w:val="none"/>
                      <w:lang w:val="en-US" w:eastAsia="zh-CN"/>
                    </w:rPr>
                    <w:t>。为降低废气排放带来的污染，项目</w:t>
                  </w:r>
                  <w:r>
                    <w:rPr>
                      <w:rFonts w:hint="eastAsia" w:ascii="Times New Roman" w:hAnsi="Times New Roman" w:eastAsia="Times New Roman" w:cs="Times New Roman"/>
                      <w:color w:val="auto"/>
                      <w:sz w:val="21"/>
                      <w:szCs w:val="21"/>
                      <w:highlight w:val="none"/>
                      <w:lang w:val="en-US" w:eastAsia="zh-CN"/>
                    </w:rPr>
                    <w:t>挤出（吹膜）</w:t>
                  </w:r>
                  <w:r>
                    <w:rPr>
                      <w:rFonts w:hint="eastAsia" w:eastAsia="Times New Roman" w:cs="Times New Roman"/>
                      <w:color w:val="auto"/>
                      <w:sz w:val="21"/>
                      <w:szCs w:val="21"/>
                      <w:highlight w:val="none"/>
                      <w:lang w:val="en-US" w:eastAsia="zh-CN"/>
                    </w:rPr>
                    <w:t>等</w:t>
                  </w:r>
                  <w:r>
                    <w:rPr>
                      <w:rFonts w:hint="eastAsia" w:ascii="Times New Roman" w:hAnsi="Times New Roman" w:eastAsia="Times New Roman" w:cs="Times New Roman"/>
                      <w:color w:val="auto"/>
                      <w:sz w:val="21"/>
                      <w:szCs w:val="21"/>
                      <w:highlight w:val="none"/>
                      <w:lang w:val="en-US" w:eastAsia="zh-CN"/>
                    </w:rPr>
                    <w:t>工序产生的</w:t>
                  </w:r>
                  <w:r>
                    <w:rPr>
                      <w:rFonts w:hint="default" w:ascii="Times New Roman" w:hAnsi="Times New Roman" w:eastAsia="Times New Roman" w:cs="Times New Roman"/>
                      <w:color w:val="auto"/>
                      <w:sz w:val="21"/>
                      <w:szCs w:val="21"/>
                      <w:highlight w:val="none"/>
                      <w:lang w:val="en-US" w:eastAsia="zh-CN"/>
                    </w:rPr>
                    <w:t>VOC</w:t>
                  </w:r>
                  <w:r>
                    <w:rPr>
                      <w:rFonts w:hint="eastAsia" w:ascii="Times New Roman" w:hAnsi="Times New Roman" w:eastAsia="Times New Roman" w:cs="Times New Roman"/>
                      <w:color w:val="auto"/>
                      <w:sz w:val="21"/>
                      <w:szCs w:val="21"/>
                      <w:highlight w:val="none"/>
                      <w:lang w:val="en-US" w:eastAsia="zh-CN"/>
                    </w:rPr>
                    <w:t>s</w:t>
                  </w:r>
                  <w:r>
                    <w:rPr>
                      <w:rFonts w:hint="default" w:ascii="Times New Roman" w:hAnsi="Times New Roman" w:eastAsia="Times New Roman" w:cs="Times New Roman"/>
                      <w:color w:val="auto"/>
                      <w:sz w:val="21"/>
                      <w:szCs w:val="21"/>
                      <w:highlight w:val="none"/>
                      <w:lang w:val="en-US" w:eastAsia="zh-CN"/>
                    </w:rPr>
                    <w:t>使用“吸附、脱附+催化燃烧”处理后达标排放。</w:t>
                  </w:r>
                </w:p>
              </w:tc>
              <w:tc>
                <w:tcPr>
                  <w:tcW w:w="329" w:type="pct"/>
                  <w:vMerge w:val="restart"/>
                  <w:tcBorders>
                    <w:top w:val="nil"/>
                    <w:left w:val="nil"/>
                    <w:bottom w:val="single" w:color="auto" w:sz="4" w:space="0"/>
                    <w:right w:val="nil"/>
                  </w:tcBorders>
                  <w:noWrap w:val="0"/>
                  <w:vAlign w:val="center"/>
                </w:tcPr>
                <w:p w14:paraId="2652FF24">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color w:val="auto"/>
                      <w:kern w:val="2"/>
                      <w:sz w:val="21"/>
                      <w:szCs w:val="21"/>
                      <w:highlight w:val="none"/>
                    </w:rPr>
                  </w:pPr>
                  <w:r>
                    <w:rPr>
                      <w:rFonts w:hint="default" w:ascii="Times New Roman" w:hAnsi="Times New Roman" w:eastAsia="Times New Roman" w:cs="Times New Roman"/>
                      <w:color w:val="auto"/>
                      <w:sz w:val="21"/>
                      <w:szCs w:val="21"/>
                      <w:highlight w:val="none"/>
                    </w:rPr>
                    <w:t>相符</w:t>
                  </w:r>
                </w:p>
              </w:tc>
            </w:tr>
            <w:tr w14:paraId="7EFC9F4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right"/>
              </w:trPr>
              <w:tc>
                <w:tcPr>
                  <w:tcW w:w="307" w:type="pct"/>
                  <w:tcBorders>
                    <w:top w:val="single" w:color="auto" w:sz="4" w:space="0"/>
                    <w:left w:val="nil"/>
                    <w:bottom w:val="single" w:color="auto" w:sz="4" w:space="0"/>
                    <w:right w:val="single" w:color="auto" w:sz="4" w:space="0"/>
                  </w:tcBorders>
                  <w:noWrap w:val="0"/>
                  <w:vAlign w:val="center"/>
                </w:tcPr>
                <w:p w14:paraId="1F424A68">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color w:val="auto"/>
                      <w:kern w:val="2"/>
                      <w:sz w:val="21"/>
                      <w:szCs w:val="21"/>
                      <w:highlight w:val="none"/>
                    </w:rPr>
                  </w:pPr>
                  <w:r>
                    <w:rPr>
                      <w:rFonts w:hint="default" w:ascii="Times New Roman" w:hAnsi="Times New Roman" w:eastAsia="Times New Roman" w:cs="Times New Roman"/>
                      <w:color w:val="auto"/>
                      <w:kern w:val="2"/>
                      <w:sz w:val="21"/>
                      <w:szCs w:val="21"/>
                      <w:highlight w:val="none"/>
                      <w:lang w:val="en-US" w:eastAsia="zh-CN" w:bidi="ar"/>
                    </w:rPr>
                    <w:t>2</w:t>
                  </w:r>
                </w:p>
              </w:tc>
              <w:tc>
                <w:tcPr>
                  <w:tcW w:w="2618" w:type="pct"/>
                  <w:tcBorders>
                    <w:top w:val="single" w:color="auto" w:sz="4" w:space="0"/>
                    <w:left w:val="nil"/>
                    <w:bottom w:val="single" w:color="auto" w:sz="4" w:space="0"/>
                    <w:right w:val="single" w:color="auto" w:sz="4" w:space="0"/>
                  </w:tcBorders>
                  <w:noWrap w:val="0"/>
                  <w:vAlign w:val="center"/>
                </w:tcPr>
                <w:p w14:paraId="50A6C6F9">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采用塑料原颗粒且使用添加剂的塑料加工企业或车间视使用添加剂的情况确定是否需要安装净化设施。</w:t>
                  </w:r>
                </w:p>
              </w:tc>
              <w:tc>
                <w:tcPr>
                  <w:tcW w:w="1744" w:type="pct"/>
                  <w:vMerge w:val="continue"/>
                  <w:tcBorders>
                    <w:top w:val="nil"/>
                    <w:left w:val="nil"/>
                    <w:bottom w:val="single" w:color="auto" w:sz="4" w:space="0"/>
                    <w:right w:val="single" w:color="auto" w:sz="4" w:space="0"/>
                  </w:tcBorders>
                  <w:noWrap w:val="0"/>
                  <w:vAlign w:val="center"/>
                </w:tcPr>
                <w:p w14:paraId="27E3CA50">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p>
              </w:tc>
              <w:tc>
                <w:tcPr>
                  <w:tcW w:w="329" w:type="pct"/>
                  <w:vMerge w:val="continue"/>
                  <w:tcBorders>
                    <w:top w:val="nil"/>
                    <w:left w:val="nil"/>
                    <w:bottom w:val="single" w:color="auto" w:sz="4" w:space="0"/>
                    <w:right w:val="nil"/>
                  </w:tcBorders>
                  <w:noWrap w:val="0"/>
                  <w:vAlign w:val="center"/>
                </w:tcPr>
                <w:p w14:paraId="110CB6A2">
                  <w:pPr>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p>
              </w:tc>
            </w:tr>
            <w:tr w14:paraId="0E84214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right"/>
              </w:trPr>
              <w:tc>
                <w:tcPr>
                  <w:tcW w:w="307" w:type="pct"/>
                  <w:tcBorders>
                    <w:top w:val="single" w:color="auto" w:sz="4" w:space="0"/>
                    <w:left w:val="nil"/>
                    <w:bottom w:val="single" w:color="auto" w:sz="4" w:space="0"/>
                    <w:right w:val="single" w:color="auto" w:sz="4" w:space="0"/>
                  </w:tcBorders>
                  <w:noWrap w:val="0"/>
                  <w:vAlign w:val="center"/>
                </w:tcPr>
                <w:p w14:paraId="5022F631">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color w:val="auto"/>
                      <w:kern w:val="2"/>
                      <w:sz w:val="21"/>
                      <w:szCs w:val="21"/>
                      <w:highlight w:val="none"/>
                    </w:rPr>
                  </w:pPr>
                  <w:r>
                    <w:rPr>
                      <w:rFonts w:hint="default" w:ascii="Times New Roman" w:hAnsi="Times New Roman" w:eastAsia="Times New Roman" w:cs="Times New Roman"/>
                      <w:color w:val="auto"/>
                      <w:kern w:val="2"/>
                      <w:sz w:val="21"/>
                      <w:szCs w:val="21"/>
                      <w:highlight w:val="none"/>
                      <w:lang w:val="en-US" w:eastAsia="zh-CN" w:bidi="ar"/>
                    </w:rPr>
                    <w:t>3</w:t>
                  </w:r>
                </w:p>
              </w:tc>
              <w:tc>
                <w:tcPr>
                  <w:tcW w:w="2618" w:type="pct"/>
                  <w:tcBorders>
                    <w:top w:val="single" w:color="auto" w:sz="4" w:space="0"/>
                    <w:left w:val="nil"/>
                    <w:bottom w:val="single" w:color="auto" w:sz="4" w:space="0"/>
                    <w:right w:val="single" w:color="auto" w:sz="4" w:space="0"/>
                  </w:tcBorders>
                  <w:noWrap w:val="0"/>
                  <w:vAlign w:val="center"/>
                </w:tcPr>
                <w:p w14:paraId="31576DB4">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采用塑料再生颗粒进行加工、塑料发泡的企业或车间应安装集气罩或车间封闭，安装净化设施。</w:t>
                  </w:r>
                </w:p>
              </w:tc>
              <w:tc>
                <w:tcPr>
                  <w:tcW w:w="1744" w:type="pct"/>
                  <w:tcBorders>
                    <w:top w:val="single" w:color="auto" w:sz="4" w:space="0"/>
                    <w:left w:val="nil"/>
                    <w:bottom w:val="single" w:color="auto" w:sz="4" w:space="0"/>
                    <w:right w:val="single" w:color="auto" w:sz="4" w:space="0"/>
                  </w:tcBorders>
                  <w:noWrap w:val="0"/>
                  <w:vAlign w:val="center"/>
                </w:tcPr>
                <w:p w14:paraId="2C8C29A4">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不涉及塑料再生颗粒。</w:t>
                  </w:r>
                </w:p>
              </w:tc>
              <w:tc>
                <w:tcPr>
                  <w:tcW w:w="329" w:type="pct"/>
                  <w:tcBorders>
                    <w:top w:val="single" w:color="auto" w:sz="4" w:space="0"/>
                    <w:left w:val="nil"/>
                    <w:bottom w:val="single" w:color="auto" w:sz="4" w:space="0"/>
                    <w:right w:val="nil"/>
                  </w:tcBorders>
                  <w:noWrap w:val="0"/>
                  <w:vAlign w:val="center"/>
                </w:tcPr>
                <w:p w14:paraId="30E32DD4">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color w:val="auto"/>
                      <w:kern w:val="2"/>
                      <w:sz w:val="21"/>
                      <w:szCs w:val="21"/>
                      <w:highlight w:val="none"/>
                    </w:rPr>
                  </w:pPr>
                  <w:r>
                    <w:rPr>
                      <w:rFonts w:hint="eastAsia" w:cs="Times New Roman"/>
                      <w:color w:val="auto"/>
                      <w:kern w:val="2"/>
                      <w:sz w:val="21"/>
                      <w:szCs w:val="21"/>
                      <w:highlight w:val="none"/>
                      <w:lang w:val="en-US" w:eastAsia="zh-CN" w:bidi="ar"/>
                    </w:rPr>
                    <w:t>/</w:t>
                  </w:r>
                </w:p>
              </w:tc>
            </w:tr>
            <w:tr w14:paraId="666EB8A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23" w:hRule="atLeast"/>
                <w:jc w:val="right"/>
              </w:trPr>
              <w:tc>
                <w:tcPr>
                  <w:tcW w:w="307" w:type="pct"/>
                  <w:tcBorders>
                    <w:top w:val="single" w:color="auto" w:sz="4" w:space="0"/>
                    <w:left w:val="nil"/>
                    <w:bottom w:val="single" w:color="auto" w:sz="4" w:space="0"/>
                    <w:right w:val="single" w:color="auto" w:sz="4" w:space="0"/>
                  </w:tcBorders>
                  <w:noWrap w:val="0"/>
                  <w:vAlign w:val="center"/>
                </w:tcPr>
                <w:p w14:paraId="36E659D3">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Times New Roman" w:cs="Times New Roman"/>
                      <w:color w:val="auto"/>
                      <w:kern w:val="2"/>
                      <w:sz w:val="21"/>
                      <w:szCs w:val="21"/>
                      <w:highlight w:val="none"/>
                    </w:rPr>
                  </w:pPr>
                  <w:r>
                    <w:rPr>
                      <w:rFonts w:hint="default" w:ascii="Times New Roman" w:hAnsi="Times New Roman" w:eastAsia="Times New Roman" w:cs="Times New Roman"/>
                      <w:color w:val="auto"/>
                      <w:kern w:val="2"/>
                      <w:sz w:val="21"/>
                      <w:szCs w:val="21"/>
                      <w:highlight w:val="none"/>
                      <w:lang w:val="en-US" w:eastAsia="zh-CN" w:bidi="ar"/>
                    </w:rPr>
                    <w:t>4</w:t>
                  </w:r>
                </w:p>
              </w:tc>
              <w:tc>
                <w:tcPr>
                  <w:tcW w:w="2618" w:type="pct"/>
                  <w:tcBorders>
                    <w:top w:val="single" w:color="auto" w:sz="4" w:space="0"/>
                    <w:left w:val="nil"/>
                    <w:bottom w:val="single" w:color="auto" w:sz="4" w:space="0"/>
                    <w:right w:val="single" w:color="auto" w:sz="4" w:space="0"/>
                  </w:tcBorders>
                  <w:noWrap w:val="0"/>
                  <w:vAlign w:val="center"/>
                </w:tcPr>
                <w:p w14:paraId="3C38FADF">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处理方法：优先考虑采用直接燃烧或催化燃烧处理方法。如果不具备燃烧条件应采用过滤棉+活性炭吸附处理，活性炭装填量不少于0.5吨（1立方）。</w:t>
                  </w:r>
                </w:p>
              </w:tc>
              <w:tc>
                <w:tcPr>
                  <w:tcW w:w="1744" w:type="pct"/>
                  <w:tcBorders>
                    <w:top w:val="single" w:color="auto" w:sz="4" w:space="0"/>
                    <w:left w:val="nil"/>
                    <w:bottom w:val="single" w:color="auto" w:sz="4" w:space="0"/>
                    <w:right w:val="single" w:color="auto" w:sz="4" w:space="0"/>
                  </w:tcBorders>
                  <w:noWrap w:val="0"/>
                  <w:vAlign w:val="center"/>
                </w:tcPr>
                <w:p w14:paraId="2A351792">
                  <w:pPr>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项目VOCs使用“吸附、脱附+催化燃烧”装置处理，根据安阳市生态环境局文件《安阳市生态环境局关于规范挥发性有机物活性炭吸附处理设施建设和运行管理的通知》</w:t>
                  </w:r>
                  <w:r>
                    <w:rPr>
                      <w:rFonts w:hint="eastAsia" w:ascii="Times New Roman" w:hAnsi="Times New Roman" w:eastAsia="Times New Roman" w:cs="Times New Roman"/>
                      <w:color w:val="auto"/>
                      <w:sz w:val="21"/>
                      <w:szCs w:val="21"/>
                      <w:highlight w:val="none"/>
                      <w:lang w:val="en-US" w:eastAsia="zh-CN"/>
                    </w:rPr>
                    <w:t>（2025年3月12日发布），该项目</w:t>
                  </w:r>
                  <w:r>
                    <w:rPr>
                      <w:rFonts w:hint="default" w:ascii="Times New Roman" w:hAnsi="Times New Roman" w:eastAsia="Times New Roman" w:cs="Times New Roman"/>
                      <w:color w:val="auto"/>
                      <w:sz w:val="21"/>
                      <w:szCs w:val="21"/>
                      <w:highlight w:val="none"/>
                      <w:lang w:val="en-US" w:eastAsia="zh-CN"/>
                    </w:rPr>
                    <w:t>活性炭装填量</w:t>
                  </w:r>
                  <w:r>
                    <w:rPr>
                      <w:rFonts w:hint="eastAsia" w:ascii="Times New Roman" w:hAnsi="Times New Roman" w:eastAsia="Times New Roman" w:cs="Times New Roman"/>
                      <w:color w:val="auto"/>
                      <w:sz w:val="21"/>
                      <w:szCs w:val="21"/>
                      <w:highlight w:val="none"/>
                      <w:lang w:val="en-US" w:eastAsia="zh-CN"/>
                    </w:rPr>
                    <w:t>不低于0.5吨</w:t>
                  </w:r>
                  <w:r>
                    <w:rPr>
                      <w:rFonts w:hint="default" w:ascii="Times New Roman" w:hAnsi="Times New Roman" w:eastAsia="Times New Roman" w:cs="Times New Roman"/>
                      <w:color w:val="auto"/>
                      <w:sz w:val="21"/>
                      <w:szCs w:val="21"/>
                      <w:highlight w:val="none"/>
                      <w:lang w:val="en-US" w:eastAsia="zh-CN"/>
                    </w:rPr>
                    <w:t>。</w:t>
                  </w:r>
                </w:p>
              </w:tc>
              <w:tc>
                <w:tcPr>
                  <w:tcW w:w="329" w:type="pct"/>
                  <w:tcBorders>
                    <w:top w:val="single" w:color="auto" w:sz="4" w:space="0"/>
                    <w:left w:val="nil"/>
                    <w:bottom w:val="single" w:color="auto" w:sz="4" w:space="0"/>
                    <w:right w:val="nil"/>
                  </w:tcBorders>
                  <w:noWrap w:val="0"/>
                  <w:vAlign w:val="center"/>
                </w:tcPr>
                <w:p w14:paraId="0D86E885">
                  <w:pPr>
                    <w:keepNext w:val="0"/>
                    <w:keepLines w:val="0"/>
                    <w:widowControl w:val="0"/>
                    <w:suppressLineNumbers w:val="0"/>
                    <w:autoSpaceDE w:val="0"/>
                    <w:autoSpaceDN/>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Times New Roman" w:cs="Times New Roman"/>
                      <w:color w:val="auto"/>
                      <w:sz w:val="21"/>
                      <w:szCs w:val="21"/>
                      <w:highlight w:val="none"/>
                    </w:rPr>
                    <w:t>相符</w:t>
                  </w:r>
                </w:p>
              </w:tc>
            </w:tr>
          </w:tbl>
          <w:p w14:paraId="21293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经对比，项目符合《安阳市重点行业挥发性有机物（</w:t>
            </w:r>
            <w:r>
              <w:rPr>
                <w:rFonts w:hint="default" w:ascii="Times New Roman" w:hAnsi="Times New Roman" w:eastAsia="Times New Roman" w:cs="Times New Roman"/>
                <w:color w:val="auto"/>
                <w:kern w:val="2"/>
                <w:sz w:val="24"/>
                <w:szCs w:val="24"/>
                <w:highlight w:val="none"/>
                <w:lang w:val="en-US" w:eastAsia="zh-CN" w:bidi="ar"/>
              </w:rPr>
              <w:t>VOCs</w:t>
            </w:r>
            <w:r>
              <w:rPr>
                <w:rFonts w:hint="default" w:ascii="Times New Roman" w:hAnsi="Times New Roman" w:eastAsia="宋体" w:cs="Times New Roman"/>
                <w:color w:val="auto"/>
                <w:kern w:val="2"/>
                <w:sz w:val="24"/>
                <w:szCs w:val="24"/>
                <w:highlight w:val="none"/>
                <w:lang w:val="en-US" w:eastAsia="zh-CN" w:bidi="ar"/>
              </w:rPr>
              <w:t>）控制治理指导意见》（安环攻坚办〔</w:t>
            </w:r>
            <w:r>
              <w:rPr>
                <w:rFonts w:hint="default" w:ascii="Times New Roman" w:hAnsi="Times New Roman" w:eastAsia="Times New Roman" w:cs="Times New Roman"/>
                <w:color w:val="auto"/>
                <w:kern w:val="2"/>
                <w:sz w:val="24"/>
                <w:szCs w:val="24"/>
                <w:highlight w:val="none"/>
                <w:lang w:val="en-US" w:eastAsia="zh-CN" w:bidi="ar"/>
              </w:rPr>
              <w:t>2017</w:t>
            </w:r>
            <w:r>
              <w:rPr>
                <w:rFonts w:hint="default" w:ascii="Times New Roman" w:hAnsi="Times New Roman" w:eastAsia="宋体" w:cs="Times New Roman"/>
                <w:color w:val="auto"/>
                <w:kern w:val="2"/>
                <w:sz w:val="24"/>
                <w:szCs w:val="24"/>
                <w:highlight w:val="none"/>
                <w:lang w:val="en-US" w:eastAsia="zh-CN" w:bidi="ar"/>
              </w:rPr>
              <w:t>〕</w:t>
            </w:r>
            <w:r>
              <w:rPr>
                <w:rFonts w:hint="default" w:ascii="Times New Roman" w:hAnsi="Times New Roman" w:eastAsia="Times New Roman" w:cs="Times New Roman"/>
                <w:color w:val="auto"/>
                <w:kern w:val="2"/>
                <w:sz w:val="24"/>
                <w:szCs w:val="24"/>
                <w:highlight w:val="none"/>
                <w:lang w:val="en-US" w:eastAsia="zh-CN" w:bidi="ar"/>
              </w:rPr>
              <w:t>439</w:t>
            </w:r>
            <w:r>
              <w:rPr>
                <w:rFonts w:hint="default" w:ascii="Times New Roman" w:hAnsi="Times New Roman" w:eastAsia="宋体" w:cs="Times New Roman"/>
                <w:color w:val="auto"/>
                <w:kern w:val="2"/>
                <w:sz w:val="24"/>
                <w:szCs w:val="24"/>
                <w:highlight w:val="none"/>
                <w:lang w:val="en-US" w:eastAsia="zh-CN" w:bidi="ar"/>
              </w:rPr>
              <w:t>号）中的相关要求。</w:t>
            </w:r>
          </w:p>
          <w:p w14:paraId="224850A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lang w:val="en-US" w:eastAsia="zh-CN"/>
              </w:rPr>
            </w:pP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与</w:t>
            </w:r>
            <w:r>
              <w:rPr>
                <w:rFonts w:hint="default" w:ascii="Times New Roman" w:hAnsi="Times New Roman" w:eastAsia="宋体" w:cs="Times New Roman"/>
                <w:b/>
                <w:bCs/>
                <w:color w:val="auto"/>
                <w:kern w:val="2"/>
                <w:sz w:val="24"/>
                <w:szCs w:val="24"/>
                <w:lang w:val="en-US" w:eastAsia="zh-CN" w:bidi="ar"/>
              </w:rPr>
              <w:t>《安阳市环境污染防治攻坚战指挥部办公室关于印发安阳市</w:t>
            </w:r>
            <w:r>
              <w:rPr>
                <w:rFonts w:hint="default" w:ascii="Times New Roman" w:hAnsi="Times New Roman" w:cs="Times New Roman"/>
                <w:b/>
                <w:bCs/>
                <w:color w:val="auto"/>
                <w:kern w:val="2"/>
                <w:sz w:val="24"/>
                <w:szCs w:val="24"/>
                <w:lang w:val="en-US" w:eastAsia="zh-CN" w:bidi="ar"/>
              </w:rPr>
              <w:t>2019</w:t>
            </w:r>
            <w:r>
              <w:rPr>
                <w:rFonts w:hint="default" w:ascii="Times New Roman" w:hAnsi="Times New Roman" w:eastAsia="宋体" w:cs="Times New Roman"/>
                <w:b/>
                <w:bCs/>
                <w:color w:val="auto"/>
                <w:kern w:val="2"/>
                <w:sz w:val="24"/>
                <w:szCs w:val="24"/>
                <w:lang w:val="en-US" w:eastAsia="zh-CN" w:bidi="ar"/>
              </w:rPr>
              <w:t>年工业大气污染治理</w:t>
            </w:r>
            <w:r>
              <w:rPr>
                <w:rFonts w:hint="default" w:ascii="Times New Roman" w:hAnsi="Times New Roman" w:cs="Times New Roman"/>
                <w:b/>
                <w:bCs/>
                <w:color w:val="auto"/>
                <w:kern w:val="2"/>
                <w:sz w:val="24"/>
                <w:szCs w:val="24"/>
                <w:lang w:val="en-US" w:eastAsia="zh-CN" w:bidi="ar"/>
              </w:rPr>
              <w:t>5</w:t>
            </w:r>
            <w:r>
              <w:rPr>
                <w:rFonts w:hint="default" w:ascii="Times New Roman" w:hAnsi="Times New Roman" w:eastAsia="宋体" w:cs="Times New Roman"/>
                <w:b/>
                <w:bCs/>
                <w:color w:val="auto"/>
                <w:kern w:val="2"/>
                <w:sz w:val="24"/>
                <w:szCs w:val="24"/>
                <w:lang w:val="en-US" w:eastAsia="zh-CN" w:bidi="ar"/>
              </w:rPr>
              <w:t>个专项实施方案的通知》（安环攻坚办〔</w:t>
            </w:r>
            <w:r>
              <w:rPr>
                <w:rFonts w:hint="default" w:ascii="Times New Roman" w:hAnsi="Times New Roman" w:cs="Times New Roman"/>
                <w:b/>
                <w:bCs/>
                <w:color w:val="auto"/>
                <w:kern w:val="2"/>
                <w:sz w:val="24"/>
                <w:szCs w:val="24"/>
                <w:lang w:val="en-US" w:eastAsia="zh-CN" w:bidi="ar"/>
              </w:rPr>
              <w:t>2019</w:t>
            </w:r>
            <w:r>
              <w:rPr>
                <w:rFonts w:hint="default" w:ascii="Times New Roman" w:hAnsi="Times New Roman" w:eastAsia="宋体" w:cs="Times New Roman"/>
                <w:b/>
                <w:bCs/>
                <w:color w:val="auto"/>
                <w:kern w:val="2"/>
                <w:sz w:val="24"/>
                <w:szCs w:val="24"/>
                <w:lang w:val="en-US" w:eastAsia="zh-CN" w:bidi="ar"/>
              </w:rPr>
              <w:t>〕</w:t>
            </w:r>
            <w:r>
              <w:rPr>
                <w:rFonts w:hint="default" w:ascii="Times New Roman" w:hAnsi="Times New Roman" w:cs="Times New Roman"/>
                <w:b/>
                <w:bCs/>
                <w:color w:val="auto"/>
                <w:kern w:val="2"/>
                <w:sz w:val="24"/>
                <w:szCs w:val="24"/>
                <w:lang w:val="en-US" w:eastAsia="zh-CN" w:bidi="ar"/>
              </w:rPr>
              <w:t>196</w:t>
            </w:r>
            <w:r>
              <w:rPr>
                <w:rFonts w:hint="default" w:ascii="Times New Roman" w:hAnsi="Times New Roman" w:eastAsia="宋体" w:cs="Times New Roman"/>
                <w:b/>
                <w:bCs/>
                <w:color w:val="auto"/>
                <w:kern w:val="2"/>
                <w:sz w:val="24"/>
                <w:szCs w:val="24"/>
                <w:lang w:val="en-US" w:eastAsia="zh-CN" w:bidi="ar"/>
              </w:rPr>
              <w:t>号）</w:t>
            </w:r>
            <w:r>
              <w:rPr>
                <w:rFonts w:hint="eastAsia" w:ascii="Times New Roman" w:hAnsi="Times New Roman" w:eastAsia="宋体" w:cs="Times New Roman"/>
                <w:b/>
                <w:color w:val="auto"/>
                <w:sz w:val="24"/>
                <w:szCs w:val="24"/>
                <w:highlight w:val="none"/>
                <w:lang w:val="en-US" w:eastAsia="zh-CN"/>
              </w:rPr>
              <w:t>相符性分析</w:t>
            </w:r>
          </w:p>
          <w:p w14:paraId="0A59F835">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根据《安阳市环境污染防治攻坚战指挥部办公室关于印发安阳市</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年工业大气污染治理</w:t>
            </w:r>
            <w:r>
              <w:rPr>
                <w:rFonts w:hint="default" w:ascii="Times New Roman" w:hAnsi="Times New Roman"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个专项实施方案的通知》（安环攻坚办〔</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cs="Times New Roman"/>
                <w:color w:val="auto"/>
                <w:kern w:val="2"/>
                <w:sz w:val="24"/>
                <w:szCs w:val="24"/>
                <w:lang w:val="en-US" w:eastAsia="zh-CN" w:bidi="ar"/>
              </w:rPr>
              <w:t>196</w:t>
            </w:r>
            <w:r>
              <w:rPr>
                <w:rFonts w:hint="default" w:ascii="Times New Roman" w:hAnsi="Times New Roman" w:eastAsia="宋体" w:cs="Times New Roman"/>
                <w:color w:val="auto"/>
                <w:kern w:val="2"/>
                <w:sz w:val="24"/>
                <w:szCs w:val="24"/>
                <w:lang w:val="en-US" w:eastAsia="zh-CN" w:bidi="ar"/>
              </w:rPr>
              <w:t>号），选取“安阳市2019年挥发性有机物污染治理实施方案”及运输车辆要求进行对比分析，具体见下表。</w:t>
            </w:r>
          </w:p>
          <w:p w14:paraId="2A502CC1">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kern w:val="2"/>
                <w:sz w:val="24"/>
                <w:szCs w:val="24"/>
              </w:rPr>
            </w:pPr>
            <w:r>
              <w:rPr>
                <w:rFonts w:hint="default" w:ascii="Times New Roman" w:hAnsi="Times New Roman" w:eastAsia="宋体" w:cs="Times New Roman"/>
                <w:b/>
                <w:bCs w:val="0"/>
                <w:color w:val="auto"/>
                <w:kern w:val="2"/>
                <w:sz w:val="24"/>
                <w:szCs w:val="24"/>
                <w:lang w:val="en-US" w:eastAsia="zh-CN" w:bidi="ar"/>
              </w:rPr>
              <w:t>安阳市2019年挥发性有机物污染治理实施方案对比分析</w:t>
            </w:r>
          </w:p>
          <w:tbl>
            <w:tblPr>
              <w:tblStyle w:val="26"/>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6"/>
              <w:gridCol w:w="807"/>
              <w:gridCol w:w="3137"/>
              <w:gridCol w:w="2371"/>
              <w:gridCol w:w="667"/>
            </w:tblGrid>
            <w:tr w14:paraId="6922F6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tcBorders>
                    <w:tl2br w:val="nil"/>
                    <w:tr2bl w:val="nil"/>
                  </w:tcBorders>
                  <w:noWrap w:val="0"/>
                  <w:vAlign w:val="center"/>
                </w:tcPr>
                <w:p w14:paraId="77290214">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序号</w:t>
                  </w:r>
                </w:p>
              </w:tc>
              <w:tc>
                <w:tcPr>
                  <w:tcW w:w="789" w:type="pct"/>
                  <w:gridSpan w:val="2"/>
                  <w:tcBorders>
                    <w:tl2br w:val="nil"/>
                    <w:tr2bl w:val="nil"/>
                  </w:tcBorders>
                  <w:noWrap w:val="0"/>
                  <w:vAlign w:val="center"/>
                </w:tcPr>
                <w:p w14:paraId="7663CDF5">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类别</w:t>
                  </w:r>
                </w:p>
              </w:tc>
              <w:tc>
                <w:tcPr>
                  <w:tcW w:w="2008" w:type="pct"/>
                  <w:tcBorders>
                    <w:tl2br w:val="nil"/>
                    <w:tr2bl w:val="nil"/>
                  </w:tcBorders>
                  <w:noWrap w:val="0"/>
                  <w:vAlign w:val="center"/>
                </w:tcPr>
                <w:p w14:paraId="0B48DBE6">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文件要求</w:t>
                  </w:r>
                </w:p>
              </w:tc>
              <w:tc>
                <w:tcPr>
                  <w:tcW w:w="1519" w:type="pct"/>
                  <w:tcBorders>
                    <w:tl2br w:val="nil"/>
                    <w:tr2bl w:val="nil"/>
                  </w:tcBorders>
                  <w:noWrap w:val="0"/>
                  <w:vAlign w:val="center"/>
                </w:tcPr>
                <w:p w14:paraId="770CCFAC">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项目情况</w:t>
                  </w:r>
                </w:p>
              </w:tc>
              <w:tc>
                <w:tcPr>
                  <w:tcW w:w="432" w:type="pct"/>
                  <w:tcBorders>
                    <w:tl2br w:val="nil"/>
                    <w:tr2bl w:val="nil"/>
                  </w:tcBorders>
                  <w:noWrap w:val="0"/>
                  <w:vAlign w:val="center"/>
                </w:tcPr>
                <w:p w14:paraId="036D1B59">
                  <w:pPr>
                    <w:keepNext w:val="0"/>
                    <w:keepLines w:val="0"/>
                    <w:widowControl w:val="0"/>
                    <w:suppressLineNumbers w:val="0"/>
                    <w:autoSpaceDE w:val="0"/>
                    <w:autoSpaceDN/>
                    <w:adjustRightInd w:val="0"/>
                    <w:spacing w:before="0" w:beforeAutospacing="0" w:after="0" w:afterAutospacing="0" w:line="240" w:lineRule="auto"/>
                    <w:ind w:left="0" w:right="0"/>
                    <w:jc w:val="center"/>
                    <w:rPr>
                      <w:rFonts w:hint="default" w:ascii="Times New Roman" w:hAnsi="Times New Roman"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相符性</w:t>
                  </w:r>
                </w:p>
              </w:tc>
            </w:tr>
            <w:tr w14:paraId="463D13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50" w:type="pct"/>
                  <w:tcBorders>
                    <w:tl2br w:val="nil"/>
                    <w:tr2bl w:val="nil"/>
                  </w:tcBorders>
                  <w:noWrap w:val="0"/>
                  <w:vAlign w:val="center"/>
                </w:tcPr>
                <w:p w14:paraId="41F28EF4">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1</w:t>
                  </w:r>
                </w:p>
              </w:tc>
              <w:tc>
                <w:tcPr>
                  <w:tcW w:w="789" w:type="pct"/>
                  <w:gridSpan w:val="2"/>
                  <w:tcBorders>
                    <w:tl2br w:val="nil"/>
                    <w:tr2bl w:val="nil"/>
                  </w:tcBorders>
                  <w:noWrap w:val="0"/>
                  <w:vAlign w:val="center"/>
                </w:tcPr>
                <w:p w14:paraId="19CD946D">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工作目标</w:t>
                  </w:r>
                </w:p>
              </w:tc>
              <w:tc>
                <w:tcPr>
                  <w:tcW w:w="2008" w:type="pct"/>
                  <w:tcBorders>
                    <w:tl2br w:val="nil"/>
                    <w:tr2bl w:val="nil"/>
                  </w:tcBorders>
                  <w:noWrap w:val="0"/>
                  <w:vAlign w:val="center"/>
                </w:tcPr>
                <w:p w14:paraId="11E01A03">
                  <w:pPr>
                    <w:keepNext w:val="0"/>
                    <w:keepLines w:val="0"/>
                    <w:pageBreakBefore w:val="0"/>
                    <w:widowControl w:val="0"/>
                    <w:suppressLineNumbers w:val="0"/>
                    <w:kinsoku/>
                    <w:wordWrap w:val="0"/>
                    <w:overflowPunct/>
                    <w:topLinePunct w:val="0"/>
                    <w:autoSpaceDE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按照源头控制、过程管理、末端治理和强化减排相结合的全方位综合治理原则，大力推进原辅材料源头替代，深入开展涉</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重点行业</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一厂一策</w:t>
                  </w:r>
                  <w:r>
                    <w:rPr>
                      <w:rFonts w:hint="eastAsia" w:cs="Times New Roman"/>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深度治理改造工作，持续进行</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整治专项执法检查，逐步推广</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在线监测设施建设，工业企业</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排放全面达到《天津市工业企业挥发性有机物排放控制标准》（</w:t>
                  </w:r>
                  <w:r>
                    <w:rPr>
                      <w:rFonts w:hint="default" w:ascii="Times New Roman" w:hAnsi="Times New Roman" w:cs="Times New Roman"/>
                      <w:color w:val="auto"/>
                      <w:kern w:val="2"/>
                      <w:sz w:val="21"/>
                      <w:szCs w:val="21"/>
                      <w:lang w:val="en-US" w:eastAsia="zh-CN" w:bidi="ar"/>
                    </w:rPr>
                    <w:t>DB12/ 524-2014</w:t>
                  </w:r>
                  <w:r>
                    <w:rPr>
                      <w:rFonts w:hint="default" w:ascii="Times New Roman" w:hAnsi="Times New Roman" w:eastAsia="宋体" w:cs="Times New Roman"/>
                      <w:color w:val="auto"/>
                      <w:kern w:val="2"/>
                      <w:sz w:val="21"/>
                      <w:szCs w:val="21"/>
                      <w:lang w:val="en-US" w:eastAsia="zh-CN" w:bidi="ar"/>
                    </w:rPr>
                    <w:t>），全面建成</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综合防控体系，大幅减少</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排放总量。</w:t>
                  </w:r>
                </w:p>
              </w:tc>
              <w:tc>
                <w:tcPr>
                  <w:tcW w:w="1519" w:type="pct"/>
                  <w:tcBorders>
                    <w:tl2br w:val="nil"/>
                    <w:tr2bl w:val="nil"/>
                  </w:tcBorders>
                  <w:noWrap w:val="0"/>
                  <w:vAlign w:val="center"/>
                </w:tcPr>
                <w:p w14:paraId="7926B6F3">
                  <w:pPr>
                    <w:keepNext w:val="0"/>
                    <w:keepLines w:val="0"/>
                    <w:pageBreakBefore w:val="0"/>
                    <w:widowControl w:val="0"/>
                    <w:suppressLineNumbers w:val="0"/>
                    <w:kinsoku/>
                    <w:wordWrap w:val="0"/>
                    <w:overflowPunct/>
                    <w:topLinePunct w:val="0"/>
                    <w:autoSpaceDE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经大气环境影响分析，项目废气排放可以满足《合成树脂工业污染物排放标准（GB31572-2015）（含2024年修改单版本）》中限值要求。同时满足《河南省重污染天气重点行业应急减排措施制定技术指南（2024年版）》中塑料制品行业A级绩效要求。</w:t>
                  </w:r>
                </w:p>
              </w:tc>
              <w:tc>
                <w:tcPr>
                  <w:tcW w:w="432" w:type="pct"/>
                  <w:tcBorders>
                    <w:tl2br w:val="nil"/>
                    <w:tr2bl w:val="nil"/>
                  </w:tcBorders>
                  <w:noWrap w:val="0"/>
                  <w:vAlign w:val="center"/>
                </w:tcPr>
                <w:p w14:paraId="003B2BA3">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相符</w:t>
                  </w:r>
                </w:p>
              </w:tc>
            </w:tr>
            <w:tr w14:paraId="738614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noWrap w:val="0"/>
                  <w:vAlign w:val="center"/>
                </w:tcPr>
                <w:p w14:paraId="7072AE26">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2</w:t>
                  </w:r>
                </w:p>
              </w:tc>
              <w:tc>
                <w:tcPr>
                  <w:tcW w:w="267" w:type="pct"/>
                  <w:vMerge w:val="restart"/>
                  <w:tcBorders>
                    <w:tl2br w:val="nil"/>
                    <w:tr2bl w:val="nil"/>
                  </w:tcBorders>
                  <w:noWrap w:val="0"/>
                  <w:vAlign w:val="center"/>
                </w:tcPr>
                <w:p w14:paraId="643C4271">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主要任务</w:t>
                  </w:r>
                </w:p>
              </w:tc>
              <w:tc>
                <w:tcPr>
                  <w:tcW w:w="522" w:type="pct"/>
                  <w:tcBorders>
                    <w:tl2br w:val="nil"/>
                    <w:tr2bl w:val="nil"/>
                  </w:tcBorders>
                  <w:noWrap w:val="0"/>
                  <w:vAlign w:val="center"/>
                </w:tcPr>
                <w:p w14:paraId="51182063">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严格审批制度，加强源头控制。</w:t>
                  </w:r>
                </w:p>
              </w:tc>
              <w:tc>
                <w:tcPr>
                  <w:tcW w:w="2008" w:type="pct"/>
                  <w:tcBorders>
                    <w:tl2br w:val="nil"/>
                    <w:tr2bl w:val="nil"/>
                  </w:tcBorders>
                  <w:noWrap w:val="0"/>
                  <w:vAlign w:val="center"/>
                </w:tcPr>
                <w:p w14:paraId="3675C6C3">
                  <w:pPr>
                    <w:keepNext w:val="0"/>
                    <w:keepLines w:val="0"/>
                    <w:pageBreakBefore w:val="0"/>
                    <w:widowControl w:val="0"/>
                    <w:suppressLineNumbers w:val="0"/>
                    <w:kinsoku/>
                    <w:wordWrap w:val="0"/>
                    <w:overflowPunct/>
                    <w:topLinePunct w:val="0"/>
                    <w:autoSpaceDE w:val="0"/>
                    <w:autoSpaceDN/>
                    <w:bidi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禁止新（改、扩）建涉高</w:t>
                  </w:r>
                  <w:r>
                    <w:rPr>
                      <w:rFonts w:hint="default" w:ascii="Times New Roman" w:hAnsi="Times New Roman" w:cs="Times New Roman"/>
                      <w:color w:val="auto"/>
                      <w:kern w:val="2"/>
                      <w:sz w:val="21"/>
                      <w:szCs w:val="21"/>
                      <w:lang w:val="en-US" w:eastAsia="zh-CN" w:bidi="ar"/>
                    </w:rPr>
                    <w:t xml:space="preserve"> VOCs </w:t>
                  </w:r>
                  <w:r>
                    <w:rPr>
                      <w:rFonts w:hint="default" w:ascii="Times New Roman" w:hAnsi="Times New Roman" w:eastAsia="宋体" w:cs="Times New Roman"/>
                      <w:color w:val="auto"/>
                      <w:kern w:val="2"/>
                      <w:sz w:val="21"/>
                      <w:szCs w:val="21"/>
                      <w:lang w:val="en-US" w:eastAsia="zh-CN" w:bidi="ar"/>
                    </w:rPr>
                    <w:t>含量溶剂型涂料、油墨、胶粘剂等生产和使用的项目。所有新建的涉挥发性有机物（</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）企业必须在产业集聚区或专业园区内建设，不得在园区外审批任何涉挥发性有机物（</w:t>
                  </w:r>
                  <w:r>
                    <w:rPr>
                      <w:rFonts w:hint="default" w:ascii="Times New Roman" w:hAnsi="Times New Roman" w:cs="Times New Roman"/>
                      <w:color w:val="auto"/>
                      <w:kern w:val="2"/>
                      <w:sz w:val="21"/>
                      <w:szCs w:val="21"/>
                      <w:lang w:val="en-US" w:eastAsia="zh-CN" w:bidi="ar"/>
                    </w:rPr>
                    <w:t>VOC</w:t>
                  </w:r>
                  <w:r>
                    <w:rPr>
                      <w:rFonts w:hint="default" w:ascii="Times New Roman" w:hAnsi="Times New Roman" w:cs="Times New Roman"/>
                      <w:color w:val="auto"/>
                      <w:kern w:val="2"/>
                      <w:sz w:val="21"/>
                      <w:szCs w:val="21"/>
                      <w:vertAlign w:val="subscript"/>
                      <w:lang w:val="en-US" w:eastAsia="zh-CN" w:bidi="ar"/>
                    </w:rPr>
                    <w:t>S</w:t>
                  </w:r>
                  <w:r>
                    <w:rPr>
                      <w:rFonts w:hint="default" w:ascii="Times New Roman" w:hAnsi="Times New Roman" w:eastAsia="宋体" w:cs="Times New Roman"/>
                      <w:color w:val="auto"/>
                      <w:kern w:val="2"/>
                      <w:sz w:val="21"/>
                      <w:szCs w:val="21"/>
                      <w:lang w:val="en-US" w:eastAsia="zh-CN" w:bidi="ar"/>
                    </w:rPr>
                    <w:t>）的企业。</w:t>
                  </w:r>
                </w:p>
              </w:tc>
              <w:tc>
                <w:tcPr>
                  <w:tcW w:w="1519" w:type="pct"/>
                  <w:tcBorders>
                    <w:tl2br w:val="nil"/>
                    <w:tr2bl w:val="nil"/>
                  </w:tcBorders>
                  <w:noWrap w:val="0"/>
                  <w:vAlign w:val="center"/>
                </w:tcPr>
                <w:p w14:paraId="17150B4B">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项目位于产业园区。项目不涉及高</w:t>
                  </w:r>
                  <w:r>
                    <w:rPr>
                      <w:rFonts w:hint="default" w:ascii="Times New Roman" w:hAnsi="Times New Roman" w:cs="Times New Roman"/>
                      <w:color w:val="auto"/>
                      <w:kern w:val="2"/>
                      <w:sz w:val="21"/>
                      <w:szCs w:val="21"/>
                      <w:lang w:val="en-US" w:eastAsia="zh-CN" w:bidi="ar"/>
                    </w:rPr>
                    <w:t xml:space="preserve"> VOCs </w:t>
                  </w:r>
                  <w:r>
                    <w:rPr>
                      <w:rFonts w:hint="default" w:ascii="Times New Roman" w:hAnsi="Times New Roman" w:eastAsia="宋体" w:cs="Times New Roman"/>
                      <w:color w:val="auto"/>
                      <w:kern w:val="2"/>
                      <w:sz w:val="21"/>
                      <w:szCs w:val="21"/>
                      <w:lang w:val="en-US" w:eastAsia="zh-CN" w:bidi="ar"/>
                    </w:rPr>
                    <w:t>含量溶剂型涂料、油墨、胶粘剂等生产和使用</w:t>
                  </w:r>
                </w:p>
              </w:tc>
              <w:tc>
                <w:tcPr>
                  <w:tcW w:w="432" w:type="pct"/>
                  <w:tcBorders>
                    <w:tl2br w:val="nil"/>
                    <w:tr2bl w:val="nil"/>
                  </w:tcBorders>
                  <w:noWrap w:val="0"/>
                  <w:vAlign w:val="center"/>
                </w:tcPr>
                <w:p w14:paraId="11B21673">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相符</w:t>
                  </w:r>
                </w:p>
              </w:tc>
            </w:tr>
            <w:tr w14:paraId="3BBC2E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noWrap w:val="0"/>
                  <w:vAlign w:val="center"/>
                </w:tcPr>
                <w:p w14:paraId="1D0C3C06">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textAlignment w:val="auto"/>
                    <w:rPr>
                      <w:rFonts w:hint="default" w:ascii="Times New Roman" w:hAnsi="Times New Roman" w:cs="Times New Roman"/>
                      <w:color w:val="auto"/>
                      <w:sz w:val="21"/>
                      <w:szCs w:val="21"/>
                    </w:rPr>
                  </w:pPr>
                </w:p>
              </w:tc>
              <w:tc>
                <w:tcPr>
                  <w:tcW w:w="267" w:type="pct"/>
                  <w:vMerge w:val="continue"/>
                  <w:tcBorders>
                    <w:tl2br w:val="nil"/>
                    <w:tr2bl w:val="nil"/>
                  </w:tcBorders>
                  <w:noWrap w:val="0"/>
                  <w:vAlign w:val="center"/>
                </w:tcPr>
                <w:p w14:paraId="5E8F7E0A">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rPr>
                  </w:pPr>
                </w:p>
              </w:tc>
              <w:tc>
                <w:tcPr>
                  <w:tcW w:w="522" w:type="pct"/>
                  <w:tcBorders>
                    <w:tl2br w:val="nil"/>
                    <w:tr2bl w:val="nil"/>
                  </w:tcBorders>
                  <w:noWrap w:val="0"/>
                  <w:vAlign w:val="center"/>
                </w:tcPr>
                <w:p w14:paraId="1AAE11EA">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持续推进重点</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行业深度治理。</w:t>
                  </w:r>
                </w:p>
              </w:tc>
              <w:tc>
                <w:tcPr>
                  <w:tcW w:w="2008" w:type="pct"/>
                  <w:tcBorders>
                    <w:tl2br w:val="nil"/>
                    <w:tr2bl w:val="nil"/>
                  </w:tcBorders>
                  <w:noWrap w:val="0"/>
                  <w:vAlign w:val="center"/>
                </w:tcPr>
                <w:p w14:paraId="13380731">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各县（市、区）要督促企业按照本方案规定的重点行业治理规范标准完成挥发性有机物深度治理，本方案未规定的，要按照《安阳市重点行业挥发性有机物（</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）控制治理指导意见》（安环攻坚办〔</w:t>
                  </w:r>
                  <w:r>
                    <w:rPr>
                      <w:rFonts w:hint="default" w:ascii="Times New Roman" w:hAnsi="Times New Roman" w:cs="Times New Roman"/>
                      <w:color w:val="auto"/>
                      <w:kern w:val="2"/>
                      <w:sz w:val="21"/>
                      <w:szCs w:val="21"/>
                      <w:lang w:val="en-US" w:eastAsia="zh-CN" w:bidi="ar"/>
                    </w:rPr>
                    <w:t>2017</w:t>
                  </w:r>
                  <w:r>
                    <w:rPr>
                      <w:rFonts w:hint="default" w:ascii="Times New Roman" w:hAnsi="Times New Roman" w:eastAsia="宋体"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439</w:t>
                  </w:r>
                  <w:r>
                    <w:rPr>
                      <w:rFonts w:hint="default" w:ascii="Times New Roman" w:hAnsi="Times New Roman" w:eastAsia="宋体" w:cs="Times New Roman"/>
                      <w:color w:val="auto"/>
                      <w:kern w:val="2"/>
                      <w:sz w:val="21"/>
                      <w:szCs w:val="21"/>
                      <w:lang w:val="en-US" w:eastAsia="zh-CN" w:bidi="ar"/>
                    </w:rPr>
                    <w:t>号）完成挥发性有机物深度治理。</w:t>
                  </w:r>
                </w:p>
              </w:tc>
              <w:tc>
                <w:tcPr>
                  <w:tcW w:w="1519" w:type="pct"/>
                  <w:tcBorders>
                    <w:tl2br w:val="nil"/>
                    <w:tr2bl w:val="nil"/>
                  </w:tcBorders>
                  <w:noWrap w:val="0"/>
                  <w:vAlign w:val="center"/>
                </w:tcPr>
                <w:p w14:paraId="2A07F96F">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符合《安阳市重点行业挥发性有机物（</w:t>
                  </w:r>
                  <w:r>
                    <w:rPr>
                      <w:rFonts w:hint="default" w:ascii="Times New Roman" w:hAnsi="Times New Roman" w:cs="Times New Roman"/>
                      <w:color w:val="auto"/>
                      <w:kern w:val="2"/>
                      <w:sz w:val="21"/>
                      <w:szCs w:val="21"/>
                      <w:lang w:val="en-US" w:eastAsia="zh-CN" w:bidi="ar"/>
                    </w:rPr>
                    <w:t>VOCs</w:t>
                  </w:r>
                  <w:r>
                    <w:rPr>
                      <w:rFonts w:hint="default" w:ascii="Times New Roman" w:hAnsi="Times New Roman" w:eastAsia="宋体" w:cs="Times New Roman"/>
                      <w:color w:val="auto"/>
                      <w:kern w:val="2"/>
                      <w:sz w:val="21"/>
                      <w:szCs w:val="21"/>
                      <w:lang w:val="en-US" w:eastAsia="zh-CN" w:bidi="ar"/>
                    </w:rPr>
                    <w:t>）控制治理指导意见》（安环攻坚办〔</w:t>
                  </w:r>
                  <w:r>
                    <w:rPr>
                      <w:rFonts w:hint="default" w:ascii="Times New Roman" w:hAnsi="Times New Roman" w:cs="Times New Roman"/>
                      <w:color w:val="auto"/>
                      <w:kern w:val="2"/>
                      <w:sz w:val="21"/>
                      <w:szCs w:val="21"/>
                      <w:lang w:val="en-US" w:eastAsia="zh-CN" w:bidi="ar"/>
                    </w:rPr>
                    <w:t>2017</w:t>
                  </w:r>
                  <w:r>
                    <w:rPr>
                      <w:rFonts w:hint="default" w:ascii="Times New Roman" w:hAnsi="Times New Roman" w:eastAsia="宋体" w:cs="Times New Roman"/>
                      <w:color w:val="auto"/>
                      <w:kern w:val="2"/>
                      <w:sz w:val="21"/>
                      <w:szCs w:val="21"/>
                      <w:lang w:val="en-US" w:eastAsia="zh-CN" w:bidi="ar"/>
                    </w:rPr>
                    <w:t>〕</w:t>
                  </w:r>
                  <w:r>
                    <w:rPr>
                      <w:rFonts w:hint="default" w:ascii="Times New Roman" w:hAnsi="Times New Roman" w:cs="Times New Roman"/>
                      <w:color w:val="auto"/>
                      <w:kern w:val="2"/>
                      <w:sz w:val="21"/>
                      <w:szCs w:val="21"/>
                      <w:lang w:val="en-US" w:eastAsia="zh-CN" w:bidi="ar"/>
                    </w:rPr>
                    <w:t>439</w:t>
                  </w:r>
                  <w:r>
                    <w:rPr>
                      <w:rFonts w:hint="default" w:ascii="Times New Roman" w:hAnsi="Times New Roman" w:eastAsia="宋体" w:cs="Times New Roman"/>
                      <w:color w:val="auto"/>
                      <w:kern w:val="2"/>
                      <w:sz w:val="21"/>
                      <w:szCs w:val="21"/>
                      <w:lang w:val="en-US" w:eastAsia="zh-CN" w:bidi="ar"/>
                    </w:rPr>
                    <w:t>号）中相关要求。</w:t>
                  </w:r>
                </w:p>
              </w:tc>
              <w:tc>
                <w:tcPr>
                  <w:tcW w:w="432" w:type="pct"/>
                  <w:tcBorders>
                    <w:tl2br w:val="nil"/>
                    <w:tr2bl w:val="nil"/>
                  </w:tcBorders>
                  <w:noWrap w:val="0"/>
                  <w:vAlign w:val="center"/>
                </w:tcPr>
                <w:p w14:paraId="3F774907">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rPr>
                    <w:t>相符</w:t>
                  </w:r>
                </w:p>
              </w:tc>
            </w:tr>
            <w:tr w14:paraId="7829B7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restart"/>
                  <w:tcBorders>
                    <w:tl2br w:val="nil"/>
                    <w:tr2bl w:val="nil"/>
                  </w:tcBorders>
                  <w:noWrap w:val="0"/>
                  <w:vAlign w:val="center"/>
                </w:tcPr>
                <w:p w14:paraId="73D877AE">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789" w:type="pct"/>
                  <w:gridSpan w:val="2"/>
                  <w:vMerge w:val="restart"/>
                  <w:tcBorders>
                    <w:tl2br w:val="nil"/>
                    <w:tr2bl w:val="nil"/>
                  </w:tcBorders>
                  <w:noWrap w:val="0"/>
                  <w:vAlign w:val="center"/>
                </w:tcPr>
                <w:p w14:paraId="52A80F2F">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运输车辆</w:t>
                  </w:r>
                </w:p>
              </w:tc>
              <w:tc>
                <w:tcPr>
                  <w:tcW w:w="2008" w:type="pct"/>
                  <w:tcBorders>
                    <w:tl2br w:val="nil"/>
                    <w:tr2bl w:val="nil"/>
                  </w:tcBorders>
                  <w:noWrap w:val="0"/>
                  <w:vAlign w:val="center"/>
                </w:tcPr>
                <w:p w14:paraId="0441A312">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运输车辆采用国五及以上燃气、燃油机动车或新能源车运输；不得使用国三及以下燃油燃气货车运输；新购置运输车辆应符合国六排放标准或新能源车。</w:t>
                  </w:r>
                </w:p>
              </w:tc>
              <w:tc>
                <w:tcPr>
                  <w:tcW w:w="1519" w:type="pct"/>
                  <w:tcBorders>
                    <w:tl2br w:val="nil"/>
                    <w:tr2bl w:val="nil"/>
                  </w:tcBorders>
                  <w:noWrap w:val="0"/>
                  <w:vAlign w:val="center"/>
                </w:tcPr>
                <w:p w14:paraId="68EB16DB">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使用符合要求的车辆运输。</w:t>
                  </w:r>
                </w:p>
              </w:tc>
              <w:tc>
                <w:tcPr>
                  <w:tcW w:w="432" w:type="pct"/>
                  <w:tcBorders>
                    <w:tl2br w:val="nil"/>
                    <w:tr2bl w:val="nil"/>
                  </w:tcBorders>
                  <w:noWrap w:val="0"/>
                  <w:vAlign w:val="center"/>
                </w:tcPr>
                <w:p w14:paraId="1A111F5C">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相符</w:t>
                  </w:r>
                </w:p>
              </w:tc>
            </w:tr>
            <w:tr w14:paraId="5B3671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0" w:type="pct"/>
                  <w:vMerge w:val="continue"/>
                  <w:tcBorders>
                    <w:tl2br w:val="nil"/>
                    <w:tr2bl w:val="nil"/>
                  </w:tcBorders>
                  <w:noWrap w:val="0"/>
                  <w:vAlign w:val="center"/>
                </w:tcPr>
                <w:p w14:paraId="06F8FE6B">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textAlignment w:val="auto"/>
                    <w:rPr>
                      <w:rFonts w:hint="default" w:ascii="Times New Roman" w:hAnsi="Times New Roman" w:cs="Times New Roman"/>
                      <w:color w:val="auto"/>
                      <w:sz w:val="21"/>
                      <w:szCs w:val="21"/>
                    </w:rPr>
                  </w:pPr>
                </w:p>
              </w:tc>
              <w:tc>
                <w:tcPr>
                  <w:tcW w:w="789" w:type="pct"/>
                  <w:gridSpan w:val="2"/>
                  <w:vMerge w:val="continue"/>
                  <w:tcBorders>
                    <w:tl2br w:val="nil"/>
                    <w:tr2bl w:val="nil"/>
                  </w:tcBorders>
                  <w:noWrap w:val="0"/>
                  <w:vAlign w:val="center"/>
                </w:tcPr>
                <w:p w14:paraId="7C720CB0">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sz w:val="21"/>
                      <w:szCs w:val="21"/>
                    </w:rPr>
                  </w:pPr>
                </w:p>
              </w:tc>
              <w:tc>
                <w:tcPr>
                  <w:tcW w:w="2008" w:type="pct"/>
                  <w:tcBorders>
                    <w:tl2br w:val="nil"/>
                    <w:tr2bl w:val="nil"/>
                  </w:tcBorders>
                  <w:noWrap w:val="0"/>
                  <w:vAlign w:val="center"/>
                </w:tcPr>
                <w:p w14:paraId="479AA37B">
                  <w:pPr>
                    <w:keepNext w:val="0"/>
                    <w:keepLines w:val="0"/>
                    <w:pageBreakBefore w:val="0"/>
                    <w:widowControl w:val="0"/>
                    <w:suppressLineNumbers w:val="0"/>
                    <w:kinsoku/>
                    <w:wordWrap w:val="0"/>
                    <w:overflowPunct/>
                    <w:topLinePunct w:val="0"/>
                    <w:autoSpaceDN/>
                    <w:bidi w:val="0"/>
                    <w:snapToGrid/>
                    <w:spacing w:before="0" w:beforeAutospacing="0" w:after="0" w:afterAutospacing="0" w:line="240" w:lineRule="auto"/>
                    <w:ind w:left="0" w:right="0"/>
                    <w:jc w:val="both"/>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燃油非道路移动机械必须符合国家第三阶段排放标准，必须使用国六标准柴油；新增和更换的装卸作业机械要采用清洁能源和新能源。</w:t>
                  </w:r>
                </w:p>
              </w:tc>
              <w:tc>
                <w:tcPr>
                  <w:tcW w:w="1519" w:type="pct"/>
                  <w:tcBorders>
                    <w:tl2br w:val="nil"/>
                    <w:tr2bl w:val="nil"/>
                  </w:tcBorders>
                  <w:noWrap w:val="0"/>
                  <w:vAlign w:val="center"/>
                </w:tcPr>
                <w:p w14:paraId="7FBF3606">
                  <w:pPr>
                    <w:keepNext w:val="0"/>
                    <w:keepLines w:val="0"/>
                    <w:pageBreakBefore w:val="0"/>
                    <w:widowControl w:val="0"/>
                    <w:suppressLineNumbers w:val="0"/>
                    <w:kinsoku/>
                    <w:wordWrap w:val="0"/>
                    <w:overflowPunct/>
                    <w:topLinePunct w:val="0"/>
                    <w:autoSpaceDN/>
                    <w:bidi w:val="0"/>
                    <w:adjustRightInd w:val="0"/>
                    <w:snapToGrid/>
                    <w:spacing w:before="0" w:beforeAutospacing="0" w:after="0" w:afterAutospacing="0" w:line="240" w:lineRule="auto"/>
                    <w:ind w:left="0" w:right="0"/>
                    <w:jc w:val="both"/>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使用符合要求的非道路移动机械。</w:t>
                  </w:r>
                </w:p>
              </w:tc>
              <w:tc>
                <w:tcPr>
                  <w:tcW w:w="432" w:type="pct"/>
                  <w:tcBorders>
                    <w:tl2br w:val="nil"/>
                    <w:tr2bl w:val="nil"/>
                  </w:tcBorders>
                  <w:noWrap w:val="0"/>
                  <w:vAlign w:val="center"/>
                </w:tcPr>
                <w:p w14:paraId="149B19A3">
                  <w:pPr>
                    <w:keepNext w:val="0"/>
                    <w:keepLines w:val="0"/>
                    <w:widowControl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相符</w:t>
                  </w:r>
                </w:p>
              </w:tc>
            </w:tr>
          </w:tbl>
          <w:p w14:paraId="2942C3D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kern w:val="2"/>
                <w:sz w:val="24"/>
                <w:szCs w:val="24"/>
                <w:highlight w:val="none"/>
                <w:u w:val="none"/>
              </w:rPr>
            </w:pPr>
            <w:r>
              <w:rPr>
                <w:rFonts w:hint="default" w:ascii="Times New Roman" w:hAnsi="Times New Roman" w:eastAsia="宋体" w:cs="Times New Roman"/>
                <w:color w:val="auto"/>
                <w:kern w:val="2"/>
                <w:sz w:val="24"/>
                <w:szCs w:val="24"/>
                <w:lang w:val="en-US" w:eastAsia="zh-CN" w:bidi="ar"/>
              </w:rPr>
              <w:t>经对比分析，项目建设符合《安阳市环境污染防治攻坚战指挥部办公室关于印发安阳市</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年工业大气污染治理</w:t>
            </w:r>
            <w:r>
              <w:rPr>
                <w:rFonts w:hint="default" w:ascii="Times New Roman" w:hAnsi="Times New Roman"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个专项实施方案的通知》（安环攻坚办〔</w:t>
            </w:r>
            <w:r>
              <w:rPr>
                <w:rFonts w:hint="default" w:ascii="Times New Roman" w:hAnsi="Times New Roman" w:cs="Times New Roman"/>
                <w:color w:val="auto"/>
                <w:kern w:val="2"/>
                <w:sz w:val="24"/>
                <w:szCs w:val="24"/>
                <w:lang w:val="en-US" w:eastAsia="zh-CN" w:bidi="ar"/>
              </w:rPr>
              <w:t>2019</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cs="Times New Roman"/>
                <w:color w:val="auto"/>
                <w:kern w:val="2"/>
                <w:sz w:val="24"/>
                <w:szCs w:val="24"/>
                <w:lang w:val="en-US" w:eastAsia="zh-CN" w:bidi="ar"/>
              </w:rPr>
              <w:t>196</w:t>
            </w:r>
            <w:r>
              <w:rPr>
                <w:rFonts w:hint="default" w:ascii="Times New Roman" w:hAnsi="Times New Roman" w:eastAsia="宋体" w:cs="Times New Roman"/>
                <w:color w:val="auto"/>
                <w:kern w:val="2"/>
                <w:sz w:val="24"/>
                <w:szCs w:val="24"/>
                <w:lang w:val="en-US" w:eastAsia="zh-CN" w:bidi="ar"/>
              </w:rPr>
              <w:t>号）中相关要求。</w:t>
            </w:r>
          </w:p>
          <w:p w14:paraId="28B0C715">
            <w:pPr>
              <w:keepNext w:val="0"/>
              <w:keepLines w:val="0"/>
              <w:pageBreakBefore w:val="0"/>
              <w:widowControl w:val="0"/>
              <w:numPr>
                <w:ilvl w:val="0"/>
                <w:numId w:val="0"/>
              </w:numPr>
              <w:suppressLineNumbers w:val="0"/>
              <w:tabs>
                <w:tab w:val="left" w:pos="229"/>
              </w:tabs>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rPr>
                <w:rFonts w:hint="default" w:ascii="Times New Roman" w:hAnsi="Times New Roman" w:eastAsia="宋体" w:cs="Times New Roman"/>
                <w:color w:val="auto"/>
                <w:kern w:val="2"/>
                <w:sz w:val="24"/>
                <w:szCs w:val="24"/>
                <w:highlight w:val="none"/>
                <w:u w:val="none"/>
                <w:lang w:val="en-US" w:eastAsia="zh-CN" w:bidi="ar"/>
              </w:rPr>
            </w:pPr>
            <w:r>
              <w:rPr>
                <w:rFonts w:hint="eastAsia"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lang w:val="en-US" w:eastAsia="zh-CN"/>
              </w:rPr>
              <w:t>.项目</w:t>
            </w:r>
            <w:r>
              <w:rPr>
                <w:rFonts w:hint="default" w:ascii="Times New Roman" w:hAnsi="Times New Roman" w:eastAsia="宋体" w:cs="Times New Roman"/>
                <w:b/>
                <w:bCs/>
                <w:color w:val="auto"/>
                <w:kern w:val="0"/>
                <w:sz w:val="24"/>
                <w:szCs w:val="24"/>
                <w:highlight w:val="none"/>
                <w:u w:val="none"/>
                <w:lang w:val="en-US" w:eastAsia="zh-CN" w:bidi="ar"/>
              </w:rPr>
              <w:t>与生态环境系统安全生产治本攻坚行动方案相符性分析</w:t>
            </w:r>
          </w:p>
          <w:p w14:paraId="7C16402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u w:val="single"/>
              </w:rPr>
            </w:pPr>
            <w:r>
              <w:rPr>
                <w:rFonts w:hint="default" w:ascii="Times New Roman" w:hAnsi="Times New Roman" w:eastAsia="宋体" w:cs="Times New Roman"/>
                <w:color w:val="auto"/>
                <w:kern w:val="2"/>
                <w:sz w:val="24"/>
                <w:szCs w:val="24"/>
                <w:highlight w:val="none"/>
                <w:u w:val="none"/>
                <w:lang w:val="en-US" w:eastAsia="zh-CN" w:bidi="ar"/>
              </w:rPr>
              <w:t>按照《河南省安全生产治本攻坚三年行动方案</w:t>
            </w:r>
            <w:r>
              <w:rPr>
                <w:rFonts w:hint="eastAsia" w:cs="Times New Roman"/>
                <w:color w:val="auto"/>
                <w:kern w:val="2"/>
                <w:sz w:val="24"/>
                <w:szCs w:val="24"/>
                <w:highlight w:val="none"/>
                <w:u w:val="none"/>
                <w:lang w:val="en-US" w:eastAsia="zh-CN" w:bidi="ar"/>
              </w:rPr>
              <w:t>（</w:t>
            </w:r>
            <w:r>
              <w:rPr>
                <w:rFonts w:hint="default" w:ascii="Times New Roman" w:hAnsi="Times New Roman" w:eastAsia="宋体" w:cs="Times New Roman"/>
                <w:color w:val="auto"/>
                <w:kern w:val="2"/>
                <w:sz w:val="24"/>
                <w:szCs w:val="24"/>
                <w:highlight w:val="none"/>
                <w:u w:val="none"/>
                <w:lang w:val="en-US" w:eastAsia="zh-CN" w:bidi="ar"/>
              </w:rPr>
              <w:t>2024-2026年</w:t>
            </w:r>
            <w:r>
              <w:rPr>
                <w:rFonts w:hint="eastAsia" w:cs="Times New Roman"/>
                <w:color w:val="auto"/>
                <w:kern w:val="2"/>
                <w:sz w:val="24"/>
                <w:szCs w:val="24"/>
                <w:highlight w:val="none"/>
                <w:u w:val="none"/>
                <w:lang w:val="en-US" w:eastAsia="zh-CN" w:bidi="ar"/>
              </w:rPr>
              <w:t>）</w:t>
            </w:r>
            <w:r>
              <w:rPr>
                <w:rFonts w:hint="default" w:ascii="Times New Roman" w:hAnsi="Times New Roman" w:eastAsia="宋体" w:cs="Times New Roman"/>
                <w:color w:val="auto"/>
                <w:kern w:val="2"/>
                <w:sz w:val="24"/>
                <w:szCs w:val="24"/>
                <w:highlight w:val="none"/>
                <w:u w:val="none"/>
                <w:lang w:val="en-US" w:eastAsia="zh-CN" w:bidi="ar"/>
              </w:rPr>
              <w:t>生态环境系统子方案》、市安委会《安阳市安全生产治本攻坚三年行动实施细则</w:t>
            </w:r>
            <w:r>
              <w:rPr>
                <w:rFonts w:hint="eastAsia" w:cs="Times New Roman"/>
                <w:color w:val="auto"/>
                <w:kern w:val="2"/>
                <w:sz w:val="24"/>
                <w:szCs w:val="24"/>
                <w:highlight w:val="none"/>
                <w:u w:val="none"/>
                <w:lang w:val="en-US" w:eastAsia="zh-CN" w:bidi="ar"/>
              </w:rPr>
              <w:t>（</w:t>
            </w:r>
            <w:r>
              <w:rPr>
                <w:rFonts w:hint="default" w:ascii="Times New Roman" w:hAnsi="Times New Roman" w:eastAsia="宋体" w:cs="Times New Roman"/>
                <w:color w:val="auto"/>
                <w:kern w:val="2"/>
                <w:sz w:val="24"/>
                <w:szCs w:val="24"/>
                <w:highlight w:val="none"/>
                <w:u w:val="none"/>
                <w:lang w:val="en-US" w:eastAsia="zh-CN" w:bidi="ar"/>
              </w:rPr>
              <w:t>2024-2026年)》总体要求，安阳市生态环境局印发了《生态环境系统安全生产治本攻坚三年行动方案</w:t>
            </w:r>
            <w:r>
              <w:rPr>
                <w:rFonts w:hint="eastAsia" w:cs="Times New Roman"/>
                <w:color w:val="auto"/>
                <w:kern w:val="2"/>
                <w:sz w:val="24"/>
                <w:szCs w:val="24"/>
                <w:highlight w:val="none"/>
                <w:u w:val="none"/>
                <w:lang w:val="en-US" w:eastAsia="zh-CN" w:bidi="ar"/>
              </w:rPr>
              <w:t>（</w:t>
            </w:r>
            <w:r>
              <w:rPr>
                <w:rFonts w:hint="default" w:ascii="Times New Roman" w:hAnsi="Times New Roman" w:eastAsia="Times New Roman" w:cs="Times New Roman"/>
                <w:color w:val="auto"/>
                <w:kern w:val="2"/>
                <w:sz w:val="24"/>
                <w:szCs w:val="24"/>
                <w:highlight w:val="none"/>
                <w:u w:val="none"/>
                <w:lang w:val="en-US" w:eastAsia="zh-CN" w:bidi="ar"/>
              </w:rPr>
              <w:t>2024-2026</w:t>
            </w:r>
            <w:r>
              <w:rPr>
                <w:rFonts w:hint="default" w:ascii="Times New Roman" w:hAnsi="Times New Roman" w:eastAsia="宋体" w:cs="Times New Roman"/>
                <w:color w:val="auto"/>
                <w:kern w:val="2"/>
                <w:sz w:val="24"/>
                <w:szCs w:val="24"/>
                <w:highlight w:val="none"/>
                <w:u w:val="none"/>
                <w:lang w:val="en-US" w:eastAsia="zh-CN" w:bidi="ar"/>
              </w:rPr>
              <w:t>年）》（安环文〔2024〕62号），本项目建设内容与攻坚行动内容进行对照，相符性如下：</w:t>
            </w:r>
          </w:p>
          <w:p w14:paraId="0F624860">
            <w:pPr>
              <w:pStyle w:val="2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bCs/>
                <w:color w:val="auto"/>
                <w:kern w:val="0"/>
                <w:sz w:val="24"/>
                <w:szCs w:val="24"/>
                <w:highlight w:val="none"/>
                <w:u w:val="none"/>
              </w:rPr>
            </w:pPr>
            <w:r>
              <w:rPr>
                <w:rFonts w:hint="default" w:ascii="Times New Roman" w:hAnsi="Times New Roman" w:eastAsia="宋体" w:cs="Times New Roman"/>
                <w:b/>
                <w:bCs/>
                <w:color w:val="auto"/>
                <w:kern w:val="0"/>
                <w:sz w:val="24"/>
                <w:szCs w:val="24"/>
                <w:highlight w:val="none"/>
                <w:u w:val="none"/>
                <w:lang w:val="en-US" w:eastAsia="zh-CN" w:bidi="ar"/>
              </w:rPr>
              <w:t>本项目与生态环境系统安全生产治本攻坚行动方案相符性分析</w:t>
            </w:r>
          </w:p>
          <w:tbl>
            <w:tblPr>
              <w:tblStyle w:val="26"/>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9"/>
              <w:gridCol w:w="3816"/>
              <w:gridCol w:w="1469"/>
              <w:gridCol w:w="846"/>
            </w:tblGrid>
            <w:tr w14:paraId="7D53EC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05" w:type="pct"/>
                  <w:gridSpan w:val="3"/>
                  <w:noWrap w:val="0"/>
                  <w:vAlign w:val="center"/>
                </w:tcPr>
                <w:p w14:paraId="531BB53D">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攻坚任务</w:t>
                  </w:r>
                </w:p>
              </w:tc>
              <w:tc>
                <w:tcPr>
                  <w:tcW w:w="945" w:type="pct"/>
                  <w:noWrap w:val="0"/>
                  <w:vAlign w:val="center"/>
                </w:tcPr>
                <w:p w14:paraId="6E93230E">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本项目</w:t>
                  </w:r>
                </w:p>
              </w:tc>
              <w:tc>
                <w:tcPr>
                  <w:tcW w:w="548" w:type="pct"/>
                  <w:noWrap w:val="0"/>
                  <w:vAlign w:val="center"/>
                </w:tcPr>
                <w:p w14:paraId="21160800">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相符性</w:t>
                  </w:r>
                </w:p>
              </w:tc>
            </w:tr>
            <w:tr w14:paraId="11540C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noWrap w:val="0"/>
                  <w:vAlign w:val="center"/>
                </w:tcPr>
                <w:p w14:paraId="66422AA7">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（四）强化重点环保设施设备环境风险监管</w:t>
                  </w:r>
                </w:p>
              </w:tc>
              <w:tc>
                <w:tcPr>
                  <w:tcW w:w="556" w:type="pct"/>
                  <w:noWrap w:val="0"/>
                  <w:vAlign w:val="center"/>
                </w:tcPr>
                <w:p w14:paraId="270740F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强化重点环保设施、项目环境风险评估和隐患排查工作</w:t>
                  </w:r>
                </w:p>
              </w:tc>
              <w:tc>
                <w:tcPr>
                  <w:tcW w:w="2442" w:type="pct"/>
                  <w:noWrap w:val="0"/>
                  <w:vAlign w:val="center"/>
                </w:tcPr>
                <w:p w14:paraId="6546972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每年4-10月组织开展检查。一是对重点排污单位的脱硫脱硝、煤改气、挥发性有机物回收、污水处理、化工行业污染物治理、粉尘治理、RT0焚烧炉等七类环境治理项目及其配套设施开展日常检查。二是各级生态环境部门帮扶指导辖区内涉及高温、高压、易燃易爆有毒物质等专用设施设备，工业园区污水收集管网及处理设施，危险废物贮存、利用、处置场所等重点排污单位认真做好重点环保设施及项目的安全风险评估和隐患排查治理整改工作，建立台账，对存在问题的跟踪督办，并及时通报应急管理部门。三是帮扶指导重点排污单位对排查出的问题，制定切实可行的整改方案，明确责任人和整改完成时限。</w:t>
                  </w:r>
                </w:p>
              </w:tc>
              <w:tc>
                <w:tcPr>
                  <w:tcW w:w="945" w:type="pct"/>
                  <w:noWrap w:val="0"/>
                  <w:vAlign w:val="center"/>
                </w:tcPr>
                <w:p w14:paraId="1FFB6491">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本项目涉及废气、废水排放。项目建成后严格按照相关要求制定废气、废水治理设施及固体废物日常管理及台账管理规范。</w:t>
                  </w:r>
                </w:p>
              </w:tc>
              <w:tc>
                <w:tcPr>
                  <w:tcW w:w="548" w:type="pct"/>
                  <w:noWrap w:val="0"/>
                  <w:vAlign w:val="center"/>
                </w:tcPr>
                <w:p w14:paraId="64F79CB9">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5BBD1B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07" w:type="pct"/>
                  <w:noWrap w:val="0"/>
                  <w:vAlign w:val="center"/>
                </w:tcPr>
                <w:p w14:paraId="21FFE654">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(五)严格审批，守牢底线</w:t>
                  </w:r>
                </w:p>
              </w:tc>
              <w:tc>
                <w:tcPr>
                  <w:tcW w:w="2998" w:type="pct"/>
                  <w:gridSpan w:val="2"/>
                  <w:noWrap w:val="0"/>
                  <w:vAlign w:val="center"/>
                </w:tcPr>
                <w:p w14:paraId="317A9D0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坚决把严把牢生态环境准入关，推动各类产业园区依法依规开展规划环评，指导督促建设项目环评提出落实环保设施安全生产的工作要求和环境风险防范措施，强化源头防控，防范环境风险。</w:t>
                  </w:r>
                </w:p>
              </w:tc>
              <w:tc>
                <w:tcPr>
                  <w:tcW w:w="945" w:type="pct"/>
                  <w:noWrap w:val="0"/>
                  <w:vAlign w:val="center"/>
                </w:tcPr>
                <w:p w14:paraId="792DA231">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本评价要求建设项目建成后制定严格的环保设施管理运行制度，并落实环境风险防范措施</w:t>
                  </w:r>
                </w:p>
              </w:tc>
              <w:tc>
                <w:tcPr>
                  <w:tcW w:w="548" w:type="pct"/>
                  <w:noWrap w:val="0"/>
                  <w:vAlign w:val="center"/>
                </w:tcPr>
                <w:p w14:paraId="1B732B1D">
                  <w:pPr>
                    <w:pStyle w:val="23"/>
                    <w:keepNext w:val="0"/>
                    <w:keepLines w:val="0"/>
                    <w:widowControl w:val="0"/>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bl>
          <w:p w14:paraId="26EF21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宋体" w:cs="Times New Roman"/>
                <w:color w:val="auto"/>
                <w:kern w:val="2"/>
                <w:sz w:val="24"/>
                <w:szCs w:val="24"/>
                <w:highlight w:val="none"/>
                <w:u w:val="none"/>
                <w:lang w:val="en-US" w:eastAsia="zh-CN" w:bidi="ar"/>
              </w:rPr>
              <w:t>本项目建设与《生态环境系统安全生产治本攻坚三年行动方案</w:t>
            </w:r>
            <w:r>
              <w:rPr>
                <w:rFonts w:hint="eastAsia" w:cs="Times New Roman"/>
                <w:color w:val="auto"/>
                <w:kern w:val="2"/>
                <w:sz w:val="24"/>
                <w:szCs w:val="24"/>
                <w:highlight w:val="none"/>
                <w:u w:val="none"/>
                <w:lang w:val="en-US" w:eastAsia="zh-CN" w:bidi="ar"/>
              </w:rPr>
              <w:t>（</w:t>
            </w:r>
            <w:r>
              <w:rPr>
                <w:rFonts w:hint="default" w:ascii="Times New Roman" w:hAnsi="Times New Roman" w:eastAsia="Times New Roman" w:cs="Times New Roman"/>
                <w:color w:val="auto"/>
                <w:kern w:val="2"/>
                <w:sz w:val="24"/>
                <w:szCs w:val="24"/>
                <w:highlight w:val="none"/>
                <w:u w:val="none"/>
                <w:lang w:val="en-US" w:eastAsia="zh-CN" w:bidi="ar"/>
              </w:rPr>
              <w:t>2024-2026</w:t>
            </w:r>
            <w:r>
              <w:rPr>
                <w:rFonts w:hint="default" w:ascii="Times New Roman" w:hAnsi="Times New Roman" w:eastAsia="宋体" w:cs="Times New Roman"/>
                <w:color w:val="auto"/>
                <w:kern w:val="2"/>
                <w:sz w:val="24"/>
                <w:szCs w:val="24"/>
                <w:highlight w:val="none"/>
                <w:u w:val="none"/>
                <w:lang w:val="en-US" w:eastAsia="zh-CN" w:bidi="ar"/>
              </w:rPr>
              <w:t>年）》审批要求及管理要求相符。</w:t>
            </w:r>
          </w:p>
          <w:p w14:paraId="09948E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bCs/>
                <w:color w:val="auto"/>
                <w:sz w:val="24"/>
                <w:szCs w:val="24"/>
                <w:highlight w:val="none"/>
              </w:rPr>
            </w:pPr>
            <w:r>
              <w:rPr>
                <w:rFonts w:hint="eastAsia" w:eastAsia="Times New Roman" w:cs="Times New Roman"/>
                <w:b/>
                <w:bCs/>
                <w:color w:val="auto"/>
                <w:sz w:val="24"/>
                <w:szCs w:val="24"/>
                <w:highlight w:val="none"/>
                <w:lang w:val="en-US" w:eastAsia="zh-CN"/>
              </w:rPr>
              <w:t>7</w:t>
            </w:r>
            <w:r>
              <w:rPr>
                <w:rFonts w:hint="eastAsia" w:ascii="Times New Roman" w:hAnsi="Times New Roman" w:eastAsia="Times New Roman" w:cs="Times New Roman"/>
                <w:b/>
                <w:bCs/>
                <w:color w:val="auto"/>
                <w:sz w:val="24"/>
                <w:szCs w:val="24"/>
                <w:highlight w:val="none"/>
                <w:lang w:val="en-US" w:eastAsia="zh-CN"/>
              </w:rPr>
              <w:t>.</w:t>
            </w:r>
            <w:r>
              <w:rPr>
                <w:rFonts w:hint="default" w:ascii="Times New Roman" w:hAnsi="Times New Roman" w:eastAsia="Times New Roman" w:cs="Times New Roman"/>
                <w:b/>
                <w:bCs/>
                <w:color w:val="auto"/>
                <w:sz w:val="24"/>
                <w:szCs w:val="24"/>
                <w:highlight w:val="none"/>
              </w:rPr>
              <w:t>绩效分级水平分析</w:t>
            </w:r>
          </w:p>
          <w:p w14:paraId="433C9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Cs/>
                <w:color w:val="auto"/>
                <w:sz w:val="24"/>
                <w:szCs w:val="24"/>
                <w:highlight w:val="none"/>
                <w:lang w:val="en-US" w:eastAsia="zh-CN"/>
              </w:rPr>
              <w:t>参照</w:t>
            </w:r>
            <w:r>
              <w:rPr>
                <w:rFonts w:hint="default" w:ascii="Times New Roman" w:hAnsi="Times New Roman" w:eastAsia="Times New Roman" w:cs="Times New Roman"/>
                <w:bCs/>
                <w:color w:val="auto"/>
                <w:sz w:val="24"/>
                <w:szCs w:val="24"/>
                <w:highlight w:val="none"/>
              </w:rPr>
              <w:t>《河南省重污染天气</w:t>
            </w:r>
            <w:r>
              <w:rPr>
                <w:rFonts w:hint="default" w:ascii="Times New Roman" w:hAnsi="Times New Roman" w:eastAsia="Times New Roman" w:cs="Times New Roman"/>
                <w:bCs/>
                <w:color w:val="auto"/>
                <w:sz w:val="24"/>
                <w:szCs w:val="24"/>
                <w:highlight w:val="none"/>
                <w:lang w:val="en-US" w:eastAsia="zh-CN"/>
              </w:rPr>
              <w:t>重点</w:t>
            </w:r>
            <w:r>
              <w:rPr>
                <w:rFonts w:hint="default" w:ascii="Times New Roman" w:hAnsi="Times New Roman" w:eastAsia="Times New Roman" w:cs="Times New Roman"/>
                <w:bCs/>
                <w:color w:val="auto"/>
                <w:sz w:val="24"/>
                <w:szCs w:val="24"/>
                <w:highlight w:val="none"/>
              </w:rPr>
              <w:t>行业应急减排措施制定技术指南（202</w:t>
            </w:r>
            <w:r>
              <w:rPr>
                <w:rFonts w:hint="default" w:ascii="Times New Roman" w:hAnsi="Times New Roman" w:eastAsia="Times New Roman" w:cs="Times New Roman"/>
                <w:bCs/>
                <w:color w:val="auto"/>
                <w:sz w:val="24"/>
                <w:szCs w:val="24"/>
                <w:highlight w:val="none"/>
                <w:lang w:val="en-US" w:eastAsia="zh-CN"/>
              </w:rPr>
              <w:t>4</w:t>
            </w:r>
            <w:r>
              <w:rPr>
                <w:rFonts w:hint="default" w:ascii="Times New Roman" w:hAnsi="Times New Roman" w:eastAsia="Times New Roman" w:cs="Times New Roman"/>
                <w:bCs/>
                <w:color w:val="auto"/>
                <w:sz w:val="24"/>
                <w:szCs w:val="24"/>
                <w:highlight w:val="none"/>
              </w:rPr>
              <w:t>年版）》</w:t>
            </w:r>
            <w:r>
              <w:rPr>
                <w:rFonts w:hint="default" w:ascii="Times New Roman" w:hAnsi="Times New Roman" w:eastAsia="Times New Roman" w:cs="Times New Roman"/>
                <w:bCs/>
                <w:color w:val="auto"/>
                <w:sz w:val="24"/>
                <w:szCs w:val="24"/>
                <w:highlight w:val="none"/>
                <w:lang w:val="en-US" w:eastAsia="zh-CN"/>
              </w:rPr>
              <w:t>中塑料制品行业企业A级指标</w:t>
            </w:r>
            <w:r>
              <w:rPr>
                <w:rFonts w:hint="default" w:ascii="Times New Roman" w:hAnsi="Times New Roman" w:eastAsia="Times New Roman" w:cs="Times New Roman"/>
                <w:bCs/>
                <w:color w:val="auto"/>
                <w:sz w:val="24"/>
                <w:szCs w:val="24"/>
                <w:highlight w:val="none"/>
              </w:rPr>
              <w:t>要求</w:t>
            </w:r>
            <w:r>
              <w:rPr>
                <w:rFonts w:hint="default" w:ascii="Times New Roman" w:hAnsi="Times New Roman" w:eastAsia="Times New Roman" w:cs="Times New Roman"/>
                <w:bCs/>
                <w:color w:val="auto"/>
                <w:sz w:val="24"/>
                <w:szCs w:val="24"/>
                <w:highlight w:val="none"/>
                <w:lang w:eastAsia="zh-CN"/>
              </w:rPr>
              <w:t>，</w:t>
            </w:r>
            <w:r>
              <w:rPr>
                <w:rFonts w:hint="default" w:ascii="Times New Roman" w:hAnsi="Times New Roman" w:eastAsia="Times New Roman" w:cs="Times New Roman"/>
                <w:bCs/>
                <w:color w:val="auto"/>
                <w:sz w:val="24"/>
                <w:szCs w:val="24"/>
                <w:highlight w:val="none"/>
                <w:lang w:val="en-US" w:eastAsia="zh-CN"/>
              </w:rPr>
              <w:t>对项目</w:t>
            </w:r>
            <w:r>
              <w:rPr>
                <w:rFonts w:hint="default" w:ascii="Times New Roman" w:hAnsi="Times New Roman" w:eastAsia="Times New Roman" w:cs="Times New Roman"/>
                <w:bCs/>
                <w:color w:val="auto"/>
                <w:sz w:val="24"/>
                <w:szCs w:val="24"/>
                <w:highlight w:val="none"/>
              </w:rPr>
              <w:t>进行对比分析</w:t>
            </w:r>
            <w:r>
              <w:rPr>
                <w:rFonts w:hint="default" w:ascii="Times New Roman" w:hAnsi="Times New Roman" w:eastAsia="Times New Roman" w:cs="Times New Roman"/>
                <w:bCs/>
                <w:color w:val="auto"/>
                <w:sz w:val="24"/>
                <w:szCs w:val="24"/>
                <w:highlight w:val="none"/>
                <w:lang w:eastAsia="zh-CN"/>
              </w:rPr>
              <w:t>，</w:t>
            </w:r>
            <w:r>
              <w:rPr>
                <w:rFonts w:hint="default" w:ascii="Times New Roman" w:hAnsi="Times New Roman" w:eastAsia="Times New Roman" w:cs="Times New Roman"/>
                <w:bCs/>
                <w:color w:val="auto"/>
                <w:sz w:val="24"/>
                <w:szCs w:val="24"/>
                <w:highlight w:val="none"/>
                <w:lang w:val="en-US" w:eastAsia="zh-CN"/>
              </w:rPr>
              <w:t>具体见下表</w:t>
            </w:r>
            <w:r>
              <w:rPr>
                <w:rFonts w:hint="default" w:ascii="Times New Roman" w:hAnsi="Times New Roman" w:eastAsia="Times New Roman" w:cs="Times New Roman"/>
                <w:bCs/>
                <w:color w:val="auto"/>
                <w:sz w:val="24"/>
                <w:szCs w:val="24"/>
                <w:highlight w:val="none"/>
              </w:rPr>
              <w:t>。</w:t>
            </w:r>
          </w:p>
          <w:p w14:paraId="766CB0D8">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塑料制品行业企业</w:t>
            </w:r>
            <w:r>
              <w:rPr>
                <w:rFonts w:hint="default" w:ascii="Times New Roman" w:hAnsi="Times New Roman" w:eastAsia="Times New Roman" w:cs="Times New Roman"/>
                <w:b/>
                <w:color w:val="auto"/>
                <w:sz w:val="24"/>
                <w:szCs w:val="24"/>
                <w:highlight w:val="none"/>
                <w:lang w:val="en-US" w:eastAsia="zh-CN"/>
              </w:rPr>
              <w:t>A级指标</w:t>
            </w:r>
            <w:r>
              <w:rPr>
                <w:rFonts w:hint="default" w:ascii="Times New Roman" w:hAnsi="Times New Roman" w:eastAsia="Times New Roman" w:cs="Times New Roman"/>
                <w:b/>
                <w:color w:val="auto"/>
                <w:sz w:val="24"/>
                <w:szCs w:val="24"/>
                <w:highlight w:val="none"/>
              </w:rPr>
              <w:t>要求对比分析</w:t>
            </w:r>
          </w:p>
          <w:tbl>
            <w:tblPr>
              <w:tblStyle w:val="26"/>
              <w:tblW w:w="4998"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523"/>
              <w:gridCol w:w="3472"/>
              <w:gridCol w:w="2658"/>
              <w:gridCol w:w="688"/>
            </w:tblGrid>
            <w:tr w14:paraId="386F24B5">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tcBorders>
                    <w:top w:val="single" w:color="auto" w:sz="4" w:space="0"/>
                    <w:left w:val="nil"/>
                    <w:bottom w:val="single" w:color="auto" w:sz="4" w:space="0"/>
                    <w:right w:val="single" w:color="auto" w:sz="4" w:space="0"/>
                  </w:tcBorders>
                  <w:noWrap w:val="0"/>
                  <w:vAlign w:val="center"/>
                </w:tcPr>
                <w:p w14:paraId="3869E91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差异化指标</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57D932F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A级企业要求</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842C2A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企业对标情况</w:t>
                  </w:r>
                </w:p>
              </w:tc>
              <w:tc>
                <w:tcPr>
                  <w:tcW w:w="437" w:type="pct"/>
                  <w:tcBorders>
                    <w:top w:val="single" w:color="auto" w:sz="4" w:space="0"/>
                    <w:left w:val="single" w:color="auto" w:sz="4" w:space="0"/>
                    <w:bottom w:val="single" w:color="auto" w:sz="4" w:space="0"/>
                    <w:right w:val="nil"/>
                  </w:tcBorders>
                  <w:noWrap w:val="0"/>
                  <w:vAlign w:val="center"/>
                </w:tcPr>
                <w:p w14:paraId="0336253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符合性</w:t>
                  </w:r>
                </w:p>
              </w:tc>
            </w:tr>
            <w:tr w14:paraId="1DEBCFB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tcBorders>
                    <w:top w:val="nil"/>
                    <w:left w:val="nil"/>
                    <w:bottom w:val="single" w:color="auto" w:sz="4" w:space="0"/>
                    <w:right w:val="single" w:color="auto" w:sz="4" w:space="0"/>
                  </w:tcBorders>
                  <w:noWrap w:val="0"/>
                  <w:vAlign w:val="center"/>
                </w:tcPr>
                <w:p w14:paraId="32C5F36E">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能源类型</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66115A99">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能源使用电、天然气、液化石油气等能源。</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1DAB93C">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能源使用电。</w:t>
                  </w:r>
                </w:p>
              </w:tc>
              <w:tc>
                <w:tcPr>
                  <w:tcW w:w="437" w:type="pct"/>
                  <w:tcBorders>
                    <w:top w:val="single" w:color="auto" w:sz="4" w:space="0"/>
                    <w:left w:val="single" w:color="auto" w:sz="4" w:space="0"/>
                    <w:bottom w:val="single" w:color="auto" w:sz="4" w:space="0"/>
                    <w:right w:val="nil"/>
                  </w:tcBorders>
                  <w:noWrap w:val="0"/>
                  <w:vAlign w:val="center"/>
                </w:tcPr>
                <w:p w14:paraId="0C9D8C57">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8ACDB9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2CBDF76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生产工艺及装备水平</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13E21645">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lang w:val="en-US"/>
                    </w:rPr>
                  </w:pPr>
                  <w:r>
                    <w:rPr>
                      <w:rFonts w:hint="default" w:ascii="Times New Roman" w:hAnsi="Times New Roman" w:eastAsia="宋体" w:cs="Times New Roman"/>
                      <w:bCs/>
                      <w:color w:val="auto"/>
                      <w:kern w:val="2"/>
                      <w:sz w:val="21"/>
                      <w:szCs w:val="21"/>
                      <w:lang w:val="en-US" w:eastAsia="zh-CN" w:bidi="ar"/>
                    </w:rPr>
                    <w:t>1.属于《产业结构调整指导目录(2024年版)》鼓励类和允许类；</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BAD1496">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color w:val="auto"/>
                      <w:kern w:val="2"/>
                      <w:sz w:val="21"/>
                      <w:szCs w:val="21"/>
                      <w:lang w:eastAsia="zh-CN"/>
                    </w:rPr>
                  </w:pPr>
                  <w:r>
                    <w:rPr>
                      <w:rFonts w:hint="eastAsia"/>
                      <w:color w:val="auto"/>
                      <w:kern w:val="0"/>
                      <w:szCs w:val="21"/>
                      <w:lang w:bidi="ar"/>
                    </w:rPr>
                    <w:t>根据《产业结构调整</w:t>
                  </w:r>
                  <w:r>
                    <w:rPr>
                      <w:rFonts w:hint="eastAsia"/>
                      <w:color w:val="auto"/>
                      <w:kern w:val="0"/>
                      <w:szCs w:val="21"/>
                      <w:lang w:eastAsia="zh-CN" w:bidi="ar"/>
                    </w:rPr>
                    <w:t>指导</w:t>
                  </w:r>
                  <w:r>
                    <w:rPr>
                      <w:rFonts w:hint="eastAsia"/>
                      <w:color w:val="auto"/>
                      <w:kern w:val="0"/>
                      <w:szCs w:val="21"/>
                      <w:lang w:bidi="ar"/>
                    </w:rPr>
                    <w:t>目录</w:t>
                  </w:r>
                  <w:r>
                    <w:rPr>
                      <w:rFonts w:hint="eastAsia"/>
                      <w:color w:val="auto"/>
                      <w:kern w:val="0"/>
                      <w:szCs w:val="21"/>
                      <w:lang w:eastAsia="zh-CN" w:bidi="ar"/>
                    </w:rPr>
                    <w:t>（</w:t>
                  </w:r>
                  <w:r>
                    <w:rPr>
                      <w:rFonts w:hint="eastAsia"/>
                      <w:color w:val="auto"/>
                      <w:kern w:val="0"/>
                      <w:szCs w:val="21"/>
                      <w:lang w:bidi="ar"/>
                    </w:rPr>
                    <w:t>20</w:t>
                  </w:r>
                  <w:r>
                    <w:rPr>
                      <w:rFonts w:hint="eastAsia"/>
                      <w:color w:val="auto"/>
                      <w:kern w:val="0"/>
                      <w:szCs w:val="21"/>
                      <w:lang w:val="en-US" w:eastAsia="zh-CN" w:bidi="ar"/>
                    </w:rPr>
                    <w:t>24</w:t>
                  </w:r>
                  <w:r>
                    <w:rPr>
                      <w:rFonts w:hint="eastAsia"/>
                      <w:color w:val="auto"/>
                      <w:kern w:val="0"/>
                      <w:szCs w:val="21"/>
                      <w:lang w:bidi="ar"/>
                    </w:rPr>
                    <w:t>年本</w:t>
                  </w:r>
                  <w:r>
                    <w:rPr>
                      <w:rFonts w:hint="eastAsia"/>
                      <w:color w:val="auto"/>
                      <w:kern w:val="0"/>
                      <w:szCs w:val="21"/>
                      <w:lang w:eastAsia="zh-CN" w:bidi="ar"/>
                    </w:rPr>
                    <w:t>）</w:t>
                  </w:r>
                  <w:r>
                    <w:rPr>
                      <w:rFonts w:hint="eastAsia"/>
                      <w:color w:val="auto"/>
                      <w:kern w:val="0"/>
                      <w:szCs w:val="21"/>
                      <w:lang w:bidi="ar"/>
                    </w:rPr>
                    <w:t>》的规定，本项目</w:t>
                  </w:r>
                  <w:r>
                    <w:rPr>
                      <w:rFonts w:hint="eastAsia"/>
                      <w:color w:val="auto"/>
                      <w:kern w:val="0"/>
                      <w:szCs w:val="21"/>
                      <w:lang w:eastAsia="zh-CN" w:bidi="ar"/>
                    </w:rPr>
                    <w:t>不属于淘汰类、限制类、鼓励类，为允许类。</w:t>
                  </w:r>
                </w:p>
              </w:tc>
              <w:tc>
                <w:tcPr>
                  <w:tcW w:w="437" w:type="pct"/>
                  <w:tcBorders>
                    <w:top w:val="single" w:color="auto" w:sz="4" w:space="0"/>
                    <w:left w:val="single" w:color="auto" w:sz="4" w:space="0"/>
                    <w:bottom w:val="single" w:color="auto" w:sz="4" w:space="0"/>
                    <w:right w:val="nil"/>
                  </w:tcBorders>
                  <w:noWrap w:val="0"/>
                  <w:vAlign w:val="center"/>
                </w:tcPr>
                <w:p w14:paraId="10527BE8">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74C092E8">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075CE701">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61CA83FB">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2.符合相关行业产业政策；</w:t>
                  </w:r>
                </w:p>
              </w:tc>
              <w:tc>
                <w:tcPr>
                  <w:tcW w:w="1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58EA1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Cs w:val="21"/>
                      <w:lang w:val="en-US" w:eastAsia="zh-CN"/>
                    </w:rPr>
                    <w:t>2.</w:t>
                  </w:r>
                  <w:r>
                    <w:rPr>
                      <w:rFonts w:hint="eastAsia"/>
                      <w:b w:val="0"/>
                      <w:bCs w:val="0"/>
                      <w:color w:val="auto"/>
                      <w:lang w:val="en-US" w:eastAsia="zh-CN"/>
                    </w:rPr>
                    <w:t>经对比</w:t>
                  </w:r>
                  <w:r>
                    <w:rPr>
                      <w:rFonts w:hint="eastAsia"/>
                      <w:color w:val="auto"/>
                    </w:rPr>
                    <w:t>《河南省相关塑料制品禁限管理细化标准》</w:t>
                  </w:r>
                  <w:r>
                    <w:rPr>
                      <w:rFonts w:hint="eastAsia"/>
                      <w:color w:val="auto"/>
                      <w:lang w:eastAsia="zh-CN"/>
                    </w:rPr>
                    <w:t>、</w:t>
                  </w:r>
                  <w:r>
                    <w:rPr>
                      <w:rFonts w:hint="eastAsia"/>
                      <w:color w:val="auto"/>
                    </w:rPr>
                    <w:t>《河南省人民政府关于印发河南省禁止和限制不可降解一次性塑料制品名录的通知》</w:t>
                  </w:r>
                  <w:r>
                    <w:rPr>
                      <w:rFonts w:hint="eastAsia"/>
                      <w:color w:val="auto"/>
                      <w:lang w:eastAsia="zh-CN"/>
                    </w:rPr>
                    <w:t>，</w:t>
                  </w:r>
                  <w:r>
                    <w:rPr>
                      <w:rFonts w:hint="eastAsia"/>
                      <w:color w:val="auto"/>
                      <w:lang w:val="en-US" w:eastAsia="zh-CN"/>
                    </w:rPr>
                    <w:t>项目产品不属于</w:t>
                  </w:r>
                  <w:r>
                    <w:rPr>
                      <w:rFonts w:hint="eastAsia"/>
                      <w:color w:val="auto"/>
                    </w:rPr>
                    <w:t>禁限塑料制品</w:t>
                  </w:r>
                  <w:r>
                    <w:rPr>
                      <w:rFonts w:hint="eastAsia"/>
                      <w:color w:val="auto"/>
                      <w:lang w:eastAsia="zh-CN"/>
                    </w:rPr>
                    <w:t>。</w:t>
                  </w:r>
                </w:p>
              </w:tc>
              <w:tc>
                <w:tcPr>
                  <w:tcW w:w="437" w:type="pct"/>
                  <w:tcBorders>
                    <w:top w:val="single" w:color="auto" w:sz="4" w:space="0"/>
                    <w:left w:val="single" w:color="auto" w:sz="4" w:space="0"/>
                    <w:bottom w:val="single" w:color="auto" w:sz="4" w:space="0"/>
                    <w:right w:val="nil"/>
                  </w:tcBorders>
                  <w:noWrap w:val="0"/>
                  <w:vAlign w:val="center"/>
                </w:tcPr>
                <w:p w14:paraId="7249C0D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74DFCAA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1A3CE487">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01B0A7C4">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3.符合河南省相关政策要求；</w:t>
                  </w:r>
                </w:p>
              </w:tc>
              <w:tc>
                <w:tcPr>
                  <w:tcW w:w="169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0804A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Cs w:val="21"/>
                      <w:lang w:val="en-US" w:eastAsia="zh-CN"/>
                    </w:rPr>
                    <w:t>3.项目</w:t>
                  </w:r>
                  <w:r>
                    <w:rPr>
                      <w:rFonts w:hint="eastAsia"/>
                      <w:color w:val="auto"/>
                      <w:szCs w:val="21"/>
                    </w:rPr>
                    <w:t>按照河南省“塑料制品企业”A级</w:t>
                  </w:r>
                  <w:r>
                    <w:rPr>
                      <w:rFonts w:hint="eastAsia"/>
                      <w:color w:val="auto"/>
                      <w:szCs w:val="21"/>
                      <w:lang w:val="en-US" w:eastAsia="zh-CN"/>
                    </w:rPr>
                    <w:t>绩效</w:t>
                  </w:r>
                  <w:r>
                    <w:rPr>
                      <w:rFonts w:hint="eastAsia"/>
                      <w:color w:val="auto"/>
                      <w:szCs w:val="21"/>
                    </w:rPr>
                    <w:t>指标要求进行建设</w:t>
                  </w:r>
                  <w:r>
                    <w:rPr>
                      <w:rFonts w:hint="eastAsia"/>
                      <w:color w:val="auto"/>
                      <w:szCs w:val="21"/>
                      <w:lang w:eastAsia="zh-CN"/>
                    </w:rPr>
                    <w:t>。</w:t>
                  </w:r>
                </w:p>
              </w:tc>
              <w:tc>
                <w:tcPr>
                  <w:tcW w:w="437" w:type="pct"/>
                  <w:tcBorders>
                    <w:top w:val="single" w:color="auto" w:sz="4" w:space="0"/>
                    <w:left w:val="single" w:color="auto" w:sz="4" w:space="0"/>
                    <w:bottom w:val="single" w:color="auto" w:sz="4" w:space="0"/>
                    <w:right w:val="nil"/>
                  </w:tcBorders>
                  <w:noWrap w:val="0"/>
                  <w:vAlign w:val="center"/>
                </w:tcPr>
                <w:p w14:paraId="52A554F4">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47F4B5D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2A0C5FDC">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0B5D0DAA">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4.符合市级规划。</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3D55E98">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ascii="Times New Roman" w:hAnsi="Times New Roman" w:eastAsia="宋体" w:cs="Times New Roman"/>
                      <w:b w:val="0"/>
                      <w:bCs w:val="0"/>
                      <w:color w:val="auto"/>
                      <w:kern w:val="0"/>
                      <w:szCs w:val="21"/>
                      <w:lang w:val="en-US" w:eastAsia="zh-CN"/>
                    </w:rPr>
                    <w:t>4.</w:t>
                  </w:r>
                  <w:r>
                    <w:rPr>
                      <w:rFonts w:hint="default" w:ascii="Times New Roman" w:hAnsi="Times New Roman" w:eastAsia="宋体" w:cs="Times New Roman"/>
                      <w:b w:val="0"/>
                      <w:bCs w:val="0"/>
                      <w:color w:val="auto"/>
                      <w:kern w:val="0"/>
                      <w:szCs w:val="21"/>
                    </w:rPr>
                    <w:t>符合</w:t>
                  </w:r>
                  <w:r>
                    <w:rPr>
                      <w:rFonts w:hint="eastAsia"/>
                      <w:color w:val="auto"/>
                    </w:rPr>
                    <w:t>汤阴县产业集聚区发展规划</w:t>
                  </w:r>
                  <w:r>
                    <w:rPr>
                      <w:rFonts w:hint="eastAsia" w:eastAsia="宋体" w:cs="Times New Roman"/>
                      <w:b w:val="0"/>
                      <w:bCs w:val="0"/>
                      <w:color w:val="auto"/>
                      <w:kern w:val="0"/>
                      <w:szCs w:val="21"/>
                      <w:lang w:eastAsia="zh-CN"/>
                    </w:rPr>
                    <w:t>。</w:t>
                  </w:r>
                </w:p>
              </w:tc>
              <w:tc>
                <w:tcPr>
                  <w:tcW w:w="437" w:type="pct"/>
                  <w:tcBorders>
                    <w:top w:val="single" w:color="auto" w:sz="4" w:space="0"/>
                    <w:left w:val="single" w:color="auto" w:sz="4" w:space="0"/>
                    <w:bottom w:val="single" w:color="auto" w:sz="4" w:space="0"/>
                    <w:right w:val="nil"/>
                  </w:tcBorders>
                  <w:noWrap w:val="0"/>
                  <w:vAlign w:val="center"/>
                </w:tcPr>
                <w:p w14:paraId="3828B76B">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40836158">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651610E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废气收集及处理工艺</w:t>
                  </w:r>
                </w:p>
              </w:tc>
              <w:tc>
                <w:tcPr>
                  <w:tcW w:w="2216" w:type="pct"/>
                  <w:tcBorders>
                    <w:top w:val="single" w:color="auto" w:sz="4" w:space="0"/>
                    <w:left w:val="single" w:color="auto" w:sz="4" w:space="0"/>
                    <w:right w:val="single" w:color="auto" w:sz="4" w:space="0"/>
                  </w:tcBorders>
                  <w:noWrap w:val="0"/>
                  <w:vAlign w:val="center"/>
                </w:tcPr>
                <w:p w14:paraId="5DBF2B47">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1.投料、挤塑、注塑、滚塑、吹塑、挤出、造粒、热定型、冷却、发泡、熟化、干燥、塑炼、压延、涂覆等涉VOCs工序采用密闭设备或在密闭空间内操作，废气有效收集至</w:t>
                  </w:r>
                  <w:r>
                    <w:rPr>
                      <w:rFonts w:hint="eastAsia" w:cs="Times New Roman"/>
                      <w:bCs/>
                      <w:color w:val="auto"/>
                      <w:kern w:val="2"/>
                      <w:sz w:val="21"/>
                      <w:szCs w:val="21"/>
                      <w:lang w:val="en-US" w:eastAsia="zh-CN" w:bidi="ar"/>
                    </w:rPr>
                    <w:t>VOCs</w:t>
                  </w:r>
                  <w:r>
                    <w:rPr>
                      <w:rFonts w:hint="default" w:ascii="Times New Roman" w:hAnsi="Times New Roman" w:eastAsia="宋体" w:cs="Times New Roman"/>
                      <w:bCs/>
                      <w:color w:val="auto"/>
                      <w:kern w:val="2"/>
                      <w:sz w:val="21"/>
                      <w:szCs w:val="21"/>
                      <w:lang w:val="en-US" w:eastAsia="zh-CN" w:bidi="ar"/>
                    </w:rPr>
                    <w:t>处理系统，车间外无异味；采用局部集气罩的，距集气罩开口面最远处的VOCs无组织排放位置，控制风速不低于0.3米/秒；</w:t>
                  </w:r>
                </w:p>
              </w:tc>
              <w:tc>
                <w:tcPr>
                  <w:tcW w:w="1696" w:type="pct"/>
                  <w:tcBorders>
                    <w:top w:val="single" w:color="auto" w:sz="4" w:space="0"/>
                    <w:left w:val="single" w:color="auto" w:sz="4" w:space="0"/>
                    <w:right w:val="single" w:color="auto" w:sz="4" w:space="0"/>
                  </w:tcBorders>
                  <w:noWrap w:val="0"/>
                  <w:vAlign w:val="center"/>
                </w:tcPr>
                <w:p w14:paraId="724F0C74">
                  <w:pPr>
                    <w:keepNext w:val="0"/>
                    <w:keepLines w:val="0"/>
                    <w:widowControl w:val="0"/>
                    <w:suppressLineNumbers w:val="0"/>
                    <w:autoSpaceDE w:val="0"/>
                    <w:autoSpaceDN/>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项目涉</w:t>
                  </w:r>
                  <w:r>
                    <w:rPr>
                      <w:rFonts w:hint="default" w:ascii="Times New Roman" w:hAnsi="Times New Roman" w:eastAsia="Times New Roman" w:cs="Times New Roman"/>
                      <w:bCs/>
                      <w:color w:val="auto"/>
                      <w:kern w:val="2"/>
                      <w:sz w:val="21"/>
                      <w:szCs w:val="21"/>
                      <w:lang w:val="en-US" w:eastAsia="zh-CN" w:bidi="ar"/>
                    </w:rPr>
                    <w:t>VOCs</w:t>
                  </w:r>
                  <w:r>
                    <w:rPr>
                      <w:rFonts w:hint="default" w:ascii="Times New Roman" w:hAnsi="Times New Roman" w:eastAsia="宋体" w:cs="Times New Roman"/>
                      <w:bCs/>
                      <w:color w:val="auto"/>
                      <w:kern w:val="2"/>
                      <w:sz w:val="21"/>
                      <w:szCs w:val="21"/>
                      <w:lang w:val="en-US" w:eastAsia="zh-CN" w:bidi="ar"/>
                    </w:rPr>
                    <w:t>工序主要为</w:t>
                  </w:r>
                  <w:r>
                    <w:rPr>
                      <w:rFonts w:hint="eastAsia" w:cs="Times New Roman"/>
                      <w:bCs/>
                      <w:color w:val="auto"/>
                      <w:kern w:val="2"/>
                      <w:sz w:val="21"/>
                      <w:szCs w:val="21"/>
                      <w:lang w:val="en-US" w:eastAsia="zh-CN" w:bidi="ar"/>
                    </w:rPr>
                    <w:t>挤出（吹膜）、高频复合、粘合、喷码工序</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涉</w:t>
                  </w:r>
                  <w:r>
                    <w:rPr>
                      <w:rFonts w:hint="default" w:ascii="Times New Roman" w:hAnsi="Times New Roman" w:eastAsia="Times New Roman" w:cs="Times New Roman"/>
                      <w:bCs/>
                      <w:color w:val="auto"/>
                      <w:kern w:val="2"/>
                      <w:sz w:val="21"/>
                      <w:szCs w:val="21"/>
                      <w:lang w:val="en-US" w:eastAsia="zh-CN" w:bidi="ar"/>
                    </w:rPr>
                    <w:t>VOCs</w:t>
                  </w:r>
                  <w:r>
                    <w:rPr>
                      <w:rFonts w:hint="eastAsia" w:cs="Times New Roman"/>
                      <w:bCs/>
                      <w:color w:val="auto"/>
                      <w:kern w:val="2"/>
                      <w:sz w:val="21"/>
                      <w:szCs w:val="21"/>
                      <w:lang w:val="en-US" w:eastAsia="zh-CN" w:bidi="ar"/>
                    </w:rPr>
                    <w:t>工序均</w:t>
                  </w:r>
                  <w:r>
                    <w:rPr>
                      <w:rFonts w:hint="default" w:ascii="Times New Roman" w:hAnsi="Times New Roman" w:eastAsia="宋体" w:cs="Times New Roman"/>
                      <w:bCs/>
                      <w:color w:val="auto"/>
                      <w:kern w:val="2"/>
                      <w:sz w:val="21"/>
                      <w:szCs w:val="21"/>
                      <w:lang w:val="en-US" w:eastAsia="zh-CN" w:bidi="ar"/>
                    </w:rPr>
                    <w:t>在封闭车间进行，采用集气罩，距集气罩开口面最远处的VOCs无组织排放位置，控制风速不低于0.3米/秒，</w:t>
                  </w:r>
                  <w:r>
                    <w:rPr>
                      <w:rFonts w:hint="eastAsia" w:ascii="Times New Roman" w:hAnsi="Times New Roman" w:eastAsia="宋体" w:cs="Times New Roman"/>
                      <w:bCs/>
                      <w:color w:val="auto"/>
                      <w:kern w:val="2"/>
                      <w:sz w:val="21"/>
                      <w:szCs w:val="21"/>
                      <w:highlight w:val="none"/>
                      <w:lang w:val="en-US" w:eastAsia="zh-CN" w:bidi="ar"/>
                    </w:rPr>
                    <w:t>而后</w:t>
                  </w:r>
                  <w:r>
                    <w:rPr>
                      <w:rFonts w:hint="eastAsia" w:cs="Times New Roman"/>
                      <w:b w:val="0"/>
                      <w:bCs/>
                      <w:color w:val="auto"/>
                      <w:kern w:val="2"/>
                      <w:sz w:val="21"/>
                      <w:szCs w:val="21"/>
                      <w:highlight w:val="none"/>
                      <w:u w:val="none"/>
                      <w:lang w:val="en-US" w:eastAsia="zh-CN" w:bidi="ar"/>
                    </w:rPr>
                    <w:t>经</w:t>
                  </w:r>
                  <w:r>
                    <w:rPr>
                      <w:rFonts w:hint="eastAsia" w:ascii="Times New Roman" w:hAnsi="Times New Roman" w:eastAsia="宋体" w:cs="Times New Roman"/>
                      <w:bCs/>
                      <w:color w:val="auto"/>
                      <w:kern w:val="2"/>
                      <w:sz w:val="21"/>
                      <w:szCs w:val="21"/>
                      <w:highlight w:val="none"/>
                      <w:lang w:val="en-US" w:eastAsia="zh-CN" w:bidi="ar"/>
                    </w:rPr>
                    <w:t>“吸</w:t>
                  </w:r>
                  <w:r>
                    <w:rPr>
                      <w:rFonts w:hint="eastAsia" w:ascii="Times New Roman" w:hAnsi="Times New Roman" w:eastAsia="宋体" w:cs="Times New Roman"/>
                      <w:bCs/>
                      <w:color w:val="auto"/>
                      <w:kern w:val="2"/>
                      <w:sz w:val="21"/>
                      <w:szCs w:val="21"/>
                      <w:lang w:val="en-US" w:eastAsia="zh-CN" w:bidi="ar"/>
                    </w:rPr>
                    <w:t>附、脱附+催化燃烧”设施处理，并经过一根不低于15m的排气筒（DA001）排出，</w:t>
                  </w:r>
                  <w:r>
                    <w:rPr>
                      <w:rFonts w:hint="default" w:ascii="Times New Roman" w:hAnsi="Times New Roman" w:eastAsia="宋体" w:cs="Times New Roman"/>
                      <w:bCs/>
                      <w:color w:val="auto"/>
                      <w:kern w:val="2"/>
                      <w:sz w:val="21"/>
                      <w:szCs w:val="21"/>
                      <w:lang w:val="en-US" w:eastAsia="zh-CN" w:bidi="ar"/>
                    </w:rPr>
                    <w:t>废气收集效果符合环保要求。</w:t>
                  </w:r>
                </w:p>
              </w:tc>
              <w:tc>
                <w:tcPr>
                  <w:tcW w:w="437" w:type="pct"/>
                  <w:tcBorders>
                    <w:top w:val="single" w:color="auto" w:sz="4" w:space="0"/>
                    <w:left w:val="single" w:color="auto" w:sz="4" w:space="0"/>
                    <w:bottom w:val="single" w:color="auto" w:sz="4" w:space="0"/>
                    <w:right w:val="nil"/>
                  </w:tcBorders>
                  <w:noWrap w:val="0"/>
                  <w:vAlign w:val="center"/>
                </w:tcPr>
                <w:p w14:paraId="450B797F">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78D85E7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6F14AAE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1487B29F">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2.使用再生料的企业</w:t>
                  </w:r>
                  <w:r>
                    <w:rPr>
                      <w:rFonts w:hint="default" w:ascii="Times New Roman" w:hAnsi="Times New Roman" w:eastAsia="宋体" w:cs="Times New Roman"/>
                      <w:bCs/>
                      <w:color w:val="auto"/>
                      <w:kern w:val="2"/>
                      <w:sz w:val="21"/>
                      <w:szCs w:val="21"/>
                      <w:vertAlign w:val="superscript"/>
                      <w:lang w:val="en-US" w:eastAsia="zh-CN" w:bidi="ar"/>
                    </w:rPr>
                    <w:t>【1】</w:t>
                  </w:r>
                  <w:r>
                    <w:rPr>
                      <w:rFonts w:hint="default" w:ascii="Times New Roman" w:hAnsi="Times New Roman" w:eastAsia="宋体" w:cs="Times New Roman"/>
                      <w:bCs/>
                      <w:color w:val="auto"/>
                      <w:kern w:val="2"/>
                      <w:sz w:val="21"/>
                      <w:szCs w:val="21"/>
                      <w:lang w:val="en-US" w:eastAsia="zh-CN" w:bidi="ar"/>
                    </w:rPr>
                    <w:t>VOCs治理采用燃烧工艺（包括直接燃烧、催化燃烧和蓄热燃烧）；使用原生料的企业VOCs治理采用燃烧工艺或吸附、冷凝、膜分离等工艺处理（其中采用颗粒状活性炭的，柱状活性炭直径≤5mm、碘值≥800mg/g，且填充量与每小时处理废气量体积之比满足1:7000的要求；使用蜂窝状活性炭的，碘值≥650mg/g、比表面积应不低于750m²/g，且填充量与每小时处理废气量体积之比满足1:5000的要求；活性炭吸附设施废气进口处安装有仪器仪表等装置，可实时监测显示并记录湿度、温度等数据，废气温度、颗粒物、相对湿度分别不超过40℃、1mg/m</w:t>
                  </w:r>
                  <w:r>
                    <w:rPr>
                      <w:rFonts w:hint="default" w:ascii="Times New Roman" w:hAnsi="Times New Roman" w:eastAsia="宋体" w:cs="Times New Roman"/>
                      <w:bCs/>
                      <w:color w:val="auto"/>
                      <w:kern w:val="2"/>
                      <w:sz w:val="21"/>
                      <w:szCs w:val="21"/>
                      <w:vertAlign w:val="superscript"/>
                      <w:lang w:val="en-US" w:eastAsia="zh-CN" w:bidi="ar"/>
                    </w:rPr>
                    <w:t>3</w:t>
                  </w:r>
                  <w:r>
                    <w:rPr>
                      <w:rFonts w:hint="default" w:ascii="Times New Roman" w:hAnsi="Times New Roman" w:eastAsia="宋体" w:cs="Times New Roman"/>
                      <w:bCs/>
                      <w:color w:val="auto"/>
                      <w:kern w:val="2"/>
                      <w:sz w:val="21"/>
                      <w:szCs w:val="21"/>
                      <w:lang w:val="en-US" w:eastAsia="zh-CN" w:bidi="ar"/>
                    </w:rPr>
                    <w:t>、50%）。废气中含有油烟或颗粒物的，应在VOCs治理设施前端加装除尘设施或油烟净化装置；</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9F490B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ind w:left="0" w:right="0"/>
                    <w:jc w:val="both"/>
                    <w:textAlignment w:val="auto"/>
                    <w:rPr>
                      <w:rFonts w:hint="default" w:ascii="Times New Roman" w:hAnsi="Times New Roman" w:eastAsia="宋体" w:cs="Times New Roman"/>
                      <w:bCs/>
                      <w:color w:val="auto"/>
                      <w:kern w:val="2"/>
                      <w:sz w:val="21"/>
                      <w:szCs w:val="21"/>
                      <w:lang w:val="en-US"/>
                    </w:rPr>
                  </w:pPr>
                  <w:r>
                    <w:rPr>
                      <w:rFonts w:hint="default" w:ascii="Times New Roman" w:hAnsi="Times New Roman" w:eastAsia="宋体" w:cs="Times New Roman"/>
                      <w:bCs/>
                      <w:color w:val="auto"/>
                      <w:kern w:val="2"/>
                      <w:sz w:val="21"/>
                      <w:szCs w:val="21"/>
                      <w:lang w:val="en-US" w:eastAsia="zh-CN" w:bidi="ar"/>
                    </w:rPr>
                    <w:t>本项目使用原料</w:t>
                  </w:r>
                  <w:r>
                    <w:rPr>
                      <w:rFonts w:hint="eastAsia" w:cs="Times New Roman"/>
                      <w:bCs/>
                      <w:color w:val="auto"/>
                      <w:kern w:val="2"/>
                      <w:sz w:val="21"/>
                      <w:szCs w:val="21"/>
                      <w:lang w:val="en-US" w:eastAsia="zh-CN" w:bidi="ar"/>
                    </w:rPr>
                    <w:t>为非再生料</w:t>
                  </w:r>
                  <w:r>
                    <w:rPr>
                      <w:rFonts w:hint="default" w:ascii="Times New Roman" w:hAnsi="Times New Roman" w:eastAsia="宋体" w:cs="Times New Roman"/>
                      <w:bCs/>
                      <w:color w:val="auto"/>
                      <w:kern w:val="2"/>
                      <w:sz w:val="21"/>
                      <w:szCs w:val="21"/>
                      <w:lang w:val="en-US" w:eastAsia="zh-CN" w:bidi="ar"/>
                    </w:rPr>
                    <w:t>，VOCs治理拟用“吸附、脱附+催化燃烧”装置处理。本项目采用的</w:t>
                  </w:r>
                  <w:r>
                    <w:rPr>
                      <w:rFonts w:hint="eastAsia" w:cs="Times New Roman"/>
                      <w:bCs/>
                      <w:color w:val="auto"/>
                      <w:kern w:val="2"/>
                      <w:sz w:val="21"/>
                      <w:szCs w:val="21"/>
                      <w:lang w:val="en-US" w:eastAsia="zh-CN" w:bidi="ar"/>
                    </w:rPr>
                    <w:t>颗粒状活性炭，</w:t>
                  </w:r>
                  <w:r>
                    <w:rPr>
                      <w:rFonts w:hint="default" w:ascii="Times New Roman" w:hAnsi="Times New Roman" w:eastAsia="宋体" w:cs="Times New Roman"/>
                      <w:bCs/>
                      <w:color w:val="auto"/>
                      <w:kern w:val="2"/>
                      <w:sz w:val="21"/>
                      <w:szCs w:val="21"/>
                      <w:lang w:val="en-US" w:eastAsia="zh-CN" w:bidi="ar"/>
                    </w:rPr>
                    <w:t>柱状活性炭直径≤5mm，碘值≥800mg/g，</w:t>
                  </w:r>
                  <w:r>
                    <w:rPr>
                      <w:rFonts w:hint="eastAsia" w:cs="Times New Roman"/>
                      <w:bCs/>
                      <w:color w:val="auto"/>
                      <w:kern w:val="2"/>
                      <w:sz w:val="21"/>
                      <w:szCs w:val="21"/>
                      <w:lang w:val="en-US" w:eastAsia="zh-CN" w:bidi="ar"/>
                    </w:rPr>
                    <w:t>本项目风量为19000m</w:t>
                  </w:r>
                  <w:r>
                    <w:rPr>
                      <w:rFonts w:hint="eastAsia" w:cs="Times New Roman"/>
                      <w:bCs/>
                      <w:color w:val="auto"/>
                      <w:kern w:val="2"/>
                      <w:sz w:val="21"/>
                      <w:szCs w:val="21"/>
                      <w:vertAlign w:val="superscript"/>
                      <w:lang w:val="en-US" w:eastAsia="zh-CN" w:bidi="ar"/>
                    </w:rPr>
                    <w:t>3</w:t>
                  </w:r>
                  <w:r>
                    <w:rPr>
                      <w:rFonts w:hint="eastAsia" w:cs="Times New Roman"/>
                      <w:bCs/>
                      <w:color w:val="auto"/>
                      <w:kern w:val="2"/>
                      <w:sz w:val="21"/>
                      <w:szCs w:val="21"/>
                      <w:lang w:val="en-US" w:eastAsia="zh-CN" w:bidi="ar"/>
                    </w:rPr>
                    <w:t>/h，则活性炭最少填充量为19000/7000=2.7142m</w:t>
                  </w:r>
                  <w:r>
                    <w:rPr>
                      <w:rFonts w:hint="eastAsia" w:cs="Times New Roman"/>
                      <w:bCs/>
                      <w:color w:val="auto"/>
                      <w:kern w:val="2"/>
                      <w:sz w:val="21"/>
                      <w:szCs w:val="21"/>
                      <w:vertAlign w:val="superscript"/>
                      <w:lang w:val="en-US" w:eastAsia="zh-CN" w:bidi="ar"/>
                    </w:rPr>
                    <w:t>3</w:t>
                  </w:r>
                  <w:r>
                    <w:rPr>
                      <w:rFonts w:hint="eastAsia" w:cs="Times New Roman"/>
                      <w:bCs/>
                      <w:color w:val="auto"/>
                      <w:kern w:val="2"/>
                      <w:sz w:val="21"/>
                      <w:szCs w:val="21"/>
                      <w:vertAlign w:val="baseline"/>
                      <w:lang w:val="en-US" w:eastAsia="zh-CN" w:bidi="ar"/>
                    </w:rPr>
                    <w:t>，</w:t>
                  </w:r>
                  <w:r>
                    <w:rPr>
                      <w:rFonts w:hint="default" w:ascii="Times New Roman" w:hAnsi="Times New Roman" w:eastAsia="宋体" w:cs="Times New Roman"/>
                      <w:color w:val="auto"/>
                      <w:kern w:val="2"/>
                      <w:sz w:val="21"/>
                      <w:szCs w:val="21"/>
                      <w:highlight w:val="none"/>
                      <w:lang w:val="en-US" w:eastAsia="zh-CN" w:bidi="ar"/>
                    </w:rPr>
                    <w:t>根据安阳市生态环境局文件《安阳市生态环境局关于规范挥发性有机物活性炭吸附处理设施建设和运行管理的通知》</w:t>
                  </w:r>
                  <w:r>
                    <w:rPr>
                      <w:rFonts w:hint="eastAsia" w:cs="Times New Roman"/>
                      <w:color w:val="auto"/>
                      <w:kern w:val="2"/>
                      <w:sz w:val="21"/>
                      <w:szCs w:val="21"/>
                      <w:highlight w:val="none"/>
                      <w:lang w:val="en-US" w:eastAsia="zh-CN" w:bidi="ar"/>
                    </w:rPr>
                    <w:t>（2025年3月12日），该项目</w:t>
                  </w:r>
                  <w:r>
                    <w:rPr>
                      <w:rFonts w:hint="default" w:ascii="Times New Roman" w:hAnsi="Times New Roman" w:eastAsia="宋体" w:cs="Times New Roman"/>
                      <w:color w:val="auto"/>
                      <w:kern w:val="2"/>
                      <w:sz w:val="21"/>
                      <w:szCs w:val="21"/>
                      <w:highlight w:val="none"/>
                      <w:lang w:val="en-US" w:eastAsia="zh-CN" w:bidi="ar"/>
                    </w:rPr>
                    <w:t>活性炭装填量</w:t>
                  </w:r>
                  <w:r>
                    <w:rPr>
                      <w:rFonts w:hint="eastAsia" w:cs="Times New Roman"/>
                      <w:color w:val="auto"/>
                      <w:kern w:val="2"/>
                      <w:sz w:val="21"/>
                      <w:szCs w:val="21"/>
                      <w:highlight w:val="none"/>
                      <w:lang w:val="en-US" w:eastAsia="zh-CN" w:bidi="ar"/>
                    </w:rPr>
                    <w:t>1.3571</w:t>
                  </w:r>
                  <w:r>
                    <w:rPr>
                      <w:rFonts w:hint="default" w:ascii="Times New Roman" w:hAnsi="Times New Roman" w:eastAsia="宋体" w:cs="Times New Roman"/>
                      <w:color w:val="auto"/>
                      <w:kern w:val="2"/>
                      <w:sz w:val="21"/>
                      <w:szCs w:val="21"/>
                      <w:highlight w:val="none"/>
                      <w:lang w:val="en-US" w:eastAsia="zh-CN" w:bidi="ar"/>
                    </w:rPr>
                    <w:t>吨</w:t>
                  </w:r>
                  <w:r>
                    <w:rPr>
                      <w:rFonts w:hint="eastAsia" w:cs="Times New Roman"/>
                      <w:color w:val="auto"/>
                      <w:kern w:val="2"/>
                      <w:sz w:val="21"/>
                      <w:szCs w:val="21"/>
                      <w:highlight w:val="none"/>
                      <w:lang w:val="en-US" w:eastAsia="zh-CN" w:bidi="ar"/>
                    </w:rPr>
                    <w:t>，固此项目满足填充量与每小时处理废气量体积之比</w:t>
                  </w:r>
                  <w:r>
                    <w:rPr>
                      <w:rFonts w:hint="default"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bCs/>
                      <w:color w:val="auto"/>
                      <w:kern w:val="2"/>
                      <w:sz w:val="21"/>
                      <w:szCs w:val="21"/>
                      <w:lang w:val="en-US" w:eastAsia="zh-CN" w:bidi="ar"/>
                    </w:rPr>
                    <w:t>活性炭吸附设施废气进口处按要求安装有仪器仪表等装置。废气中不含有油烟或颗粒物。</w:t>
                  </w:r>
                </w:p>
              </w:tc>
              <w:tc>
                <w:tcPr>
                  <w:tcW w:w="437" w:type="pct"/>
                  <w:tcBorders>
                    <w:top w:val="single" w:color="auto" w:sz="4" w:space="0"/>
                    <w:left w:val="single" w:color="auto" w:sz="4" w:space="0"/>
                    <w:bottom w:val="single" w:color="auto" w:sz="4" w:space="0"/>
                    <w:right w:val="nil"/>
                  </w:tcBorders>
                  <w:noWrap w:val="0"/>
                  <w:vAlign w:val="center"/>
                </w:tcPr>
                <w:p w14:paraId="5121D62C">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相符</w:t>
                  </w:r>
                </w:p>
              </w:tc>
            </w:tr>
            <w:tr w14:paraId="4B88566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71CA40C9">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0E6E8CB7">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3.粉状、粒状物料采用自动投料器投加和配混，投加和混配工序在封闭车间内进行，PM有效收集，采用覆膜滤袋、滤筒等除尘技术；</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83EB682">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bCs/>
                      <w:color w:val="auto"/>
                      <w:kern w:val="2"/>
                      <w:sz w:val="21"/>
                      <w:szCs w:val="21"/>
                      <w:lang w:val="en-US" w:eastAsia="zh-CN"/>
                    </w:rPr>
                  </w:pPr>
                  <w:r>
                    <w:rPr>
                      <w:rFonts w:hint="eastAsia" w:ascii="Times New Roman" w:hAnsi="Times New Roman" w:eastAsia="宋体" w:cs="Times New Roman"/>
                      <w:bCs/>
                      <w:color w:val="auto"/>
                      <w:kern w:val="2"/>
                      <w:sz w:val="21"/>
                      <w:szCs w:val="21"/>
                      <w:lang w:val="en-US" w:eastAsia="zh-CN"/>
                    </w:rPr>
                    <w:t>本项目</w:t>
                  </w:r>
                  <w:r>
                    <w:rPr>
                      <w:rFonts w:hint="eastAsia" w:cs="Times New Roman"/>
                      <w:bCs/>
                      <w:color w:val="auto"/>
                      <w:kern w:val="2"/>
                      <w:sz w:val="21"/>
                      <w:szCs w:val="21"/>
                      <w:lang w:val="en-US" w:eastAsia="zh-CN"/>
                    </w:rPr>
                    <w:t>原料均为2-5mm粒状，投料过程不</w:t>
                  </w:r>
                  <w:r>
                    <w:rPr>
                      <w:rFonts w:hint="eastAsia" w:ascii="Times New Roman" w:hAnsi="Times New Roman" w:eastAsia="宋体" w:cs="Times New Roman"/>
                      <w:bCs/>
                      <w:color w:val="auto"/>
                      <w:kern w:val="2"/>
                      <w:sz w:val="21"/>
                      <w:szCs w:val="21"/>
                      <w:lang w:val="en-US" w:eastAsia="zh-CN"/>
                    </w:rPr>
                    <w:t>产生粉尘</w:t>
                  </w:r>
                  <w:r>
                    <w:rPr>
                      <w:rFonts w:hint="eastAsia" w:cs="Times New Roman"/>
                      <w:bCs/>
                      <w:color w:val="auto"/>
                      <w:kern w:val="2"/>
                      <w:sz w:val="21"/>
                      <w:szCs w:val="21"/>
                      <w:lang w:val="en-US" w:eastAsia="zh-CN"/>
                    </w:rPr>
                    <w:t>。</w:t>
                  </w:r>
                </w:p>
              </w:tc>
              <w:tc>
                <w:tcPr>
                  <w:tcW w:w="437" w:type="pct"/>
                  <w:tcBorders>
                    <w:top w:val="single" w:color="auto" w:sz="4" w:space="0"/>
                    <w:left w:val="single" w:color="auto" w:sz="4" w:space="0"/>
                    <w:bottom w:val="single" w:color="auto" w:sz="4" w:space="0"/>
                    <w:right w:val="nil"/>
                  </w:tcBorders>
                  <w:noWrap w:val="0"/>
                  <w:vAlign w:val="center"/>
                </w:tcPr>
                <w:p w14:paraId="0730594A">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Cs/>
                      <w:color w:val="auto"/>
                      <w:kern w:val="2"/>
                      <w:sz w:val="21"/>
                      <w:szCs w:val="21"/>
                      <w:lang w:val="en-US" w:eastAsia="zh-CN"/>
                    </w:rPr>
                  </w:pPr>
                  <w:r>
                    <w:rPr>
                      <w:rFonts w:hint="eastAsia" w:ascii="Times New Roman" w:hAnsi="Times New Roman" w:eastAsia="Times New Roman" w:cs="Times New Roman"/>
                      <w:bCs/>
                      <w:color w:val="auto"/>
                      <w:kern w:val="2"/>
                      <w:sz w:val="21"/>
                      <w:szCs w:val="21"/>
                      <w:lang w:val="en-US" w:eastAsia="zh-CN"/>
                    </w:rPr>
                    <w:t>/</w:t>
                  </w:r>
                </w:p>
              </w:tc>
            </w:tr>
            <w:tr w14:paraId="5C6F5EEE">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718FD7B4">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2949F699">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4.废吸附剂应密闭的包装袋或容器储存、转运，并建立储存、处置台账；</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576C29F6">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废活性炭</w:t>
                  </w:r>
                  <w:r>
                    <w:rPr>
                      <w:rFonts w:hint="eastAsia" w:cs="Times New Roman"/>
                      <w:bCs/>
                      <w:color w:val="auto"/>
                      <w:kern w:val="2"/>
                      <w:sz w:val="21"/>
                      <w:szCs w:val="21"/>
                      <w:lang w:val="en-US" w:eastAsia="zh-CN" w:bidi="ar"/>
                    </w:rPr>
                    <w:t>使用</w:t>
                  </w:r>
                  <w:r>
                    <w:rPr>
                      <w:rFonts w:hint="default" w:ascii="Times New Roman" w:hAnsi="Times New Roman" w:eastAsia="宋体" w:cs="Times New Roman"/>
                      <w:bCs/>
                      <w:color w:val="auto"/>
                      <w:kern w:val="2"/>
                      <w:sz w:val="21"/>
                      <w:szCs w:val="21"/>
                      <w:lang w:val="en-US" w:eastAsia="zh-CN" w:bidi="ar"/>
                    </w:rPr>
                    <w:t>密闭</w:t>
                  </w:r>
                  <w:r>
                    <w:rPr>
                      <w:rFonts w:hint="eastAsia" w:cs="Times New Roman"/>
                      <w:bCs/>
                      <w:color w:val="auto"/>
                      <w:kern w:val="2"/>
                      <w:sz w:val="21"/>
                      <w:szCs w:val="21"/>
                      <w:lang w:val="en-US" w:eastAsia="zh-CN" w:bidi="ar"/>
                    </w:rPr>
                    <w:t>塑料袋+纸箱包装</w:t>
                  </w:r>
                  <w:r>
                    <w:rPr>
                      <w:rFonts w:hint="default" w:ascii="Times New Roman" w:hAnsi="Times New Roman" w:eastAsia="宋体" w:cs="Times New Roman"/>
                      <w:bCs/>
                      <w:color w:val="auto"/>
                      <w:kern w:val="2"/>
                      <w:sz w:val="21"/>
                      <w:szCs w:val="21"/>
                      <w:lang w:val="en-US" w:eastAsia="zh-CN" w:bidi="ar"/>
                    </w:rPr>
                    <w:t>储存、转运，并建立储存、处置台账。</w:t>
                  </w:r>
                </w:p>
              </w:tc>
              <w:tc>
                <w:tcPr>
                  <w:tcW w:w="437" w:type="pct"/>
                  <w:tcBorders>
                    <w:top w:val="single" w:color="auto" w:sz="4" w:space="0"/>
                    <w:left w:val="single" w:color="auto" w:sz="4" w:space="0"/>
                    <w:bottom w:val="single" w:color="auto" w:sz="4" w:space="0"/>
                    <w:right w:val="nil"/>
                  </w:tcBorders>
                  <w:noWrap w:val="0"/>
                  <w:vAlign w:val="center"/>
                </w:tcPr>
                <w:p w14:paraId="569940F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180CAD5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493B09D5">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51ACF19A">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5.NOx治理采用低氮燃烧、SNCR/SCR等适宜技术。使用氨法脱硝的企业，氨的装卸、储存、输送、制备等过程全程密闭，并采取氨气泄漏检测和收集措施；采用尿素作为还原剂的配备有尿素加热水解制氨系统。</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992B6D1">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lang w:val="en-US" w:eastAsia="zh-CN" w:bidi="ar"/>
                    </w:rPr>
                    <w:t>本项目</w:t>
                  </w:r>
                  <w:r>
                    <w:rPr>
                      <w:rFonts w:hint="default" w:ascii="Times New Roman" w:hAnsi="Times New Roman" w:eastAsia="宋体" w:cs="Times New Roman"/>
                      <w:bCs/>
                      <w:color w:val="auto"/>
                      <w:kern w:val="2"/>
                      <w:sz w:val="21"/>
                      <w:szCs w:val="21"/>
                      <w:lang w:val="en-US" w:eastAsia="zh-CN" w:bidi="ar"/>
                    </w:rPr>
                    <w:t>不涉及NO</w:t>
                  </w:r>
                  <w:r>
                    <w:rPr>
                      <w:rFonts w:hint="default" w:ascii="Times New Roman" w:hAnsi="Times New Roman" w:eastAsia="宋体" w:cs="Times New Roman"/>
                      <w:bCs/>
                      <w:color w:val="auto"/>
                      <w:kern w:val="2"/>
                      <w:sz w:val="21"/>
                      <w:szCs w:val="21"/>
                      <w:vertAlign w:val="subscript"/>
                      <w:lang w:val="en-US" w:eastAsia="zh-CN" w:bidi="ar"/>
                    </w:rPr>
                    <w:t>X</w:t>
                  </w:r>
                  <w:r>
                    <w:rPr>
                      <w:rFonts w:hint="default" w:ascii="Times New Roman" w:hAnsi="Times New Roman" w:eastAsia="宋体" w:cs="Times New Roman"/>
                      <w:bCs/>
                      <w:color w:val="auto"/>
                      <w:kern w:val="2"/>
                      <w:sz w:val="21"/>
                      <w:szCs w:val="21"/>
                      <w:lang w:val="en-US" w:eastAsia="zh-CN" w:bidi="ar"/>
                    </w:rPr>
                    <w:t>。</w:t>
                  </w:r>
                </w:p>
              </w:tc>
              <w:tc>
                <w:tcPr>
                  <w:tcW w:w="437" w:type="pct"/>
                  <w:tcBorders>
                    <w:top w:val="single" w:color="auto" w:sz="4" w:space="0"/>
                    <w:left w:val="single" w:color="auto" w:sz="4" w:space="0"/>
                    <w:bottom w:val="single" w:color="auto" w:sz="4" w:space="0"/>
                    <w:right w:val="nil"/>
                  </w:tcBorders>
                  <w:noWrap w:val="0"/>
                  <w:vAlign w:val="center"/>
                </w:tcPr>
                <w:p w14:paraId="41B26FB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无关项</w:t>
                  </w:r>
                </w:p>
              </w:tc>
            </w:tr>
            <w:tr w14:paraId="07E9045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right w:val="single" w:color="auto" w:sz="4" w:space="0"/>
                  </w:tcBorders>
                  <w:noWrap w:val="0"/>
                  <w:vAlign w:val="center"/>
                </w:tcPr>
                <w:p w14:paraId="5971808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无组织管控</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79403ADB">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1.VOCs物料存储于密闭的容器、包装袋、储罐、储库、料仓中；盛装VOCs物料的容器或包装袋存放于室内；盛装VOCs物料的容器或包装袋在非取用状态时应加盖、封口，保持密闭；</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48E59B6">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highlight w:val="none"/>
                      <w:lang w:val="en-US" w:eastAsia="zh-CN" w:bidi="ar"/>
                    </w:rPr>
                    <w:t>本项目粒状物料均为密闭袋装</w:t>
                  </w:r>
                  <w:r>
                    <w:rPr>
                      <w:rFonts w:hint="default" w:ascii="Times New Roman" w:hAnsi="Times New Roman" w:eastAsia="宋体" w:cs="Times New Roman"/>
                      <w:bCs/>
                      <w:color w:val="auto"/>
                      <w:kern w:val="2"/>
                      <w:sz w:val="21"/>
                      <w:szCs w:val="21"/>
                      <w:highlight w:val="none"/>
                      <w:lang w:val="en-US" w:eastAsia="zh-CN" w:bidi="ar"/>
                    </w:rPr>
                    <w:t>。</w:t>
                  </w:r>
                </w:p>
              </w:tc>
              <w:tc>
                <w:tcPr>
                  <w:tcW w:w="437" w:type="pct"/>
                  <w:tcBorders>
                    <w:top w:val="single" w:color="auto" w:sz="4" w:space="0"/>
                    <w:left w:val="single" w:color="auto" w:sz="4" w:space="0"/>
                    <w:bottom w:val="single" w:color="auto" w:sz="4" w:space="0"/>
                    <w:right w:val="nil"/>
                  </w:tcBorders>
                  <w:noWrap w:val="0"/>
                  <w:vAlign w:val="center"/>
                </w:tcPr>
                <w:p w14:paraId="799080F2">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无关项</w:t>
                  </w:r>
                </w:p>
              </w:tc>
            </w:tr>
            <w:tr w14:paraId="50AE7336">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left w:val="nil"/>
                    <w:right w:val="single" w:color="auto" w:sz="4" w:space="0"/>
                  </w:tcBorders>
                  <w:noWrap w:val="0"/>
                  <w:vAlign w:val="center"/>
                </w:tcPr>
                <w:p w14:paraId="3A5243B0">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vMerge w:val="restart"/>
                  <w:tcBorders>
                    <w:top w:val="nil"/>
                    <w:left w:val="single" w:color="auto" w:sz="4" w:space="0"/>
                    <w:bottom w:val="single" w:color="auto" w:sz="4" w:space="0"/>
                    <w:right w:val="single" w:color="auto" w:sz="4" w:space="0"/>
                  </w:tcBorders>
                  <w:noWrap w:val="0"/>
                  <w:vAlign w:val="center"/>
                </w:tcPr>
                <w:p w14:paraId="24334A07">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2.粉状物料采用气力输送、管状带式输送机、螺旋输送机等自动化、密闭输送方式；粒状物料采用封闭皮带等自动化、封闭输送方式；液态VOCs物料采用密闭管道输送；</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19358641">
                  <w:pPr>
                    <w:keepNext w:val="0"/>
                    <w:keepLines w:val="0"/>
                    <w:widowControl w:val="0"/>
                    <w:suppressLineNumbers w:val="0"/>
                    <w:snapToGrid w:val="0"/>
                    <w:spacing w:before="0" w:beforeAutospacing="0" w:after="0" w:afterAutospacing="0"/>
                    <w:ind w:left="0" w:leftChars="0" w:right="0" w:rightChars="0"/>
                    <w:jc w:val="both"/>
                    <w:rPr>
                      <w:rFonts w:hint="eastAsia" w:ascii="Times New Roman" w:hAnsi="Times New Roman" w:eastAsia="宋体" w:cs="Times New Roman"/>
                      <w:bCs/>
                      <w:color w:val="auto"/>
                      <w:kern w:val="2"/>
                      <w:sz w:val="21"/>
                      <w:szCs w:val="21"/>
                      <w:lang w:eastAsia="zh-CN"/>
                    </w:rPr>
                  </w:pPr>
                  <w:r>
                    <w:rPr>
                      <w:rFonts w:hint="default" w:ascii="Times New Roman" w:hAnsi="Times New Roman" w:eastAsia="宋体" w:cs="Times New Roman"/>
                      <w:bCs/>
                      <w:color w:val="auto"/>
                      <w:kern w:val="2"/>
                      <w:sz w:val="21"/>
                      <w:szCs w:val="21"/>
                      <w:lang w:val="en-US" w:eastAsia="zh-CN" w:bidi="ar"/>
                    </w:rPr>
                    <w:t>不涉及粉状物料或液态</w:t>
                  </w:r>
                  <w:r>
                    <w:rPr>
                      <w:rFonts w:hint="default" w:ascii="Times New Roman" w:hAnsi="Times New Roman" w:eastAsia="Times New Roman" w:cs="Times New Roman"/>
                      <w:bCs/>
                      <w:color w:val="auto"/>
                      <w:kern w:val="2"/>
                      <w:sz w:val="21"/>
                      <w:szCs w:val="21"/>
                      <w:lang w:val="en-US" w:eastAsia="zh-CN" w:bidi="ar"/>
                    </w:rPr>
                    <w:t>VOCs</w:t>
                  </w:r>
                  <w:r>
                    <w:rPr>
                      <w:rFonts w:hint="default" w:ascii="Times New Roman" w:hAnsi="Times New Roman" w:eastAsia="宋体" w:cs="Times New Roman"/>
                      <w:bCs/>
                      <w:color w:val="auto"/>
                      <w:kern w:val="2"/>
                      <w:sz w:val="21"/>
                      <w:szCs w:val="21"/>
                      <w:lang w:val="en-US" w:eastAsia="zh-CN" w:bidi="ar"/>
                    </w:rPr>
                    <w:t>物料。</w:t>
                  </w:r>
                </w:p>
              </w:tc>
              <w:tc>
                <w:tcPr>
                  <w:tcW w:w="437" w:type="pct"/>
                  <w:tcBorders>
                    <w:top w:val="single" w:color="auto" w:sz="4" w:space="0"/>
                    <w:left w:val="single" w:color="auto" w:sz="4" w:space="0"/>
                    <w:bottom w:val="single" w:color="auto" w:sz="4" w:space="0"/>
                    <w:right w:val="nil"/>
                  </w:tcBorders>
                  <w:noWrap w:val="0"/>
                  <w:vAlign w:val="center"/>
                </w:tcPr>
                <w:p w14:paraId="0D0FC5A7">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无关项</w:t>
                  </w:r>
                </w:p>
              </w:tc>
            </w:tr>
            <w:tr w14:paraId="43F921B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left w:val="nil"/>
                    <w:right w:val="single" w:color="auto" w:sz="4" w:space="0"/>
                  </w:tcBorders>
                  <w:noWrap w:val="0"/>
                  <w:vAlign w:val="center"/>
                </w:tcPr>
                <w:p w14:paraId="6DC6540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vMerge w:val="continue"/>
                  <w:tcBorders>
                    <w:top w:val="nil"/>
                    <w:left w:val="single" w:color="auto" w:sz="4" w:space="0"/>
                    <w:bottom w:val="single" w:color="auto" w:sz="4" w:space="0"/>
                    <w:right w:val="single" w:color="auto" w:sz="4" w:space="0"/>
                  </w:tcBorders>
                  <w:noWrap w:val="0"/>
                  <w:vAlign w:val="center"/>
                </w:tcPr>
                <w:p w14:paraId="599C2A0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FB6A48E">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粒状物料采用密闭的包装袋转移。</w:t>
                  </w:r>
                </w:p>
              </w:tc>
              <w:tc>
                <w:tcPr>
                  <w:tcW w:w="437" w:type="pct"/>
                  <w:tcBorders>
                    <w:top w:val="single" w:color="auto" w:sz="4" w:space="0"/>
                    <w:left w:val="single" w:color="auto" w:sz="4" w:space="0"/>
                    <w:bottom w:val="single" w:color="auto" w:sz="4" w:space="0"/>
                    <w:right w:val="nil"/>
                  </w:tcBorders>
                  <w:noWrap w:val="0"/>
                  <w:vAlign w:val="center"/>
                </w:tcPr>
                <w:p w14:paraId="1ACCC186">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43A602CC">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49" w:type="pct"/>
                  <w:gridSpan w:val="2"/>
                  <w:vMerge w:val="continue"/>
                  <w:tcBorders>
                    <w:left w:val="nil"/>
                    <w:right w:val="single" w:color="auto" w:sz="4" w:space="0"/>
                  </w:tcBorders>
                  <w:noWrap w:val="0"/>
                  <w:vAlign w:val="center"/>
                </w:tcPr>
                <w:p w14:paraId="3C687A3A">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15ED445A">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3.产生VOCs的生产工序和装置应设置有效集气装置并引至VOCs末端处理设施；</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0A257AFE">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lang w:val="en-US" w:eastAsia="zh-CN" w:bidi="ar"/>
                    </w:rPr>
                    <w:t>挤出（吹膜）</w:t>
                  </w:r>
                  <w:r>
                    <w:rPr>
                      <w:rFonts w:hint="default" w:ascii="Times New Roman" w:hAnsi="Times New Roman" w:eastAsia="宋体" w:cs="Times New Roman"/>
                      <w:bCs/>
                      <w:color w:val="auto"/>
                      <w:kern w:val="2"/>
                      <w:sz w:val="21"/>
                      <w:szCs w:val="21"/>
                      <w:lang w:val="en-US" w:eastAsia="zh-CN" w:bidi="ar"/>
                    </w:rPr>
                    <w:t>工序</w:t>
                  </w:r>
                  <w:r>
                    <w:rPr>
                      <w:rFonts w:hint="eastAsia" w:cs="Times New Roman"/>
                      <w:bCs/>
                      <w:color w:val="auto"/>
                      <w:kern w:val="2"/>
                      <w:sz w:val="21"/>
                      <w:szCs w:val="21"/>
                      <w:lang w:val="en-US" w:eastAsia="zh-CN" w:bidi="ar"/>
                    </w:rPr>
                    <w:t>、喷码、高频复合、粘合工序</w:t>
                  </w:r>
                  <w:r>
                    <w:rPr>
                      <w:rFonts w:hint="default" w:ascii="Times New Roman" w:hAnsi="Times New Roman" w:eastAsia="宋体" w:cs="Times New Roman"/>
                      <w:bCs/>
                      <w:color w:val="auto"/>
                      <w:kern w:val="2"/>
                      <w:sz w:val="21"/>
                      <w:szCs w:val="21"/>
                      <w:lang w:val="en-US" w:eastAsia="zh-CN" w:bidi="ar"/>
                    </w:rPr>
                    <w:t>设置</w:t>
                  </w:r>
                  <w:r>
                    <w:rPr>
                      <w:rFonts w:hint="eastAsia" w:cs="Times New Roman"/>
                      <w:b w:val="0"/>
                      <w:bCs w:val="0"/>
                      <w:color w:val="auto"/>
                      <w:kern w:val="0"/>
                      <w:sz w:val="21"/>
                      <w:szCs w:val="21"/>
                      <w:highlight w:val="none"/>
                      <w:lang w:val="en-US" w:eastAsia="zh-CN" w:bidi="ar"/>
                    </w:rPr>
                    <w:t>集气罩经过1</w:t>
                  </w:r>
                  <w:r>
                    <w:rPr>
                      <w:rFonts w:hint="default" w:ascii="Times New Roman" w:hAnsi="Times New Roman" w:eastAsia="宋体" w:cs="Times New Roman"/>
                      <w:b w:val="0"/>
                      <w:bCs w:val="0"/>
                      <w:color w:val="auto"/>
                      <w:kern w:val="0"/>
                      <w:sz w:val="21"/>
                      <w:szCs w:val="21"/>
                      <w:highlight w:val="none"/>
                      <w:lang w:val="en-US" w:eastAsia="zh-CN" w:bidi="ar"/>
                    </w:rPr>
                    <w:t>套“吸附、脱附+催化燃烧”</w:t>
                  </w:r>
                  <w:r>
                    <w:rPr>
                      <w:rFonts w:hint="eastAsia" w:cs="Times New Roman"/>
                      <w:b w:val="0"/>
                      <w:bCs w:val="0"/>
                      <w:color w:val="auto"/>
                      <w:kern w:val="0"/>
                      <w:sz w:val="21"/>
                      <w:szCs w:val="21"/>
                      <w:highlight w:val="none"/>
                      <w:lang w:val="en-US" w:eastAsia="zh-CN" w:bidi="ar"/>
                    </w:rPr>
                    <w:t>处理后通过</w:t>
                  </w:r>
                  <w:r>
                    <w:rPr>
                      <w:rFonts w:hint="default" w:ascii="Times New Roman" w:hAnsi="Times New Roman" w:eastAsia="宋体" w:cs="Times New Roman"/>
                      <w:b w:val="0"/>
                      <w:bCs w:val="0"/>
                      <w:color w:val="auto"/>
                      <w:kern w:val="0"/>
                      <w:sz w:val="21"/>
                      <w:szCs w:val="21"/>
                      <w:highlight w:val="none"/>
                      <w:lang w:val="en-US" w:eastAsia="zh-CN" w:bidi="ar"/>
                    </w:rPr>
                    <w:t>1根不低于15m高排气筒（DA00</w:t>
                  </w:r>
                  <w:r>
                    <w:rPr>
                      <w:rFonts w:hint="eastAsia"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val="en-US" w:eastAsia="zh-CN" w:bidi="ar"/>
                    </w:rPr>
                    <w:t>）</w:t>
                  </w:r>
                </w:p>
              </w:tc>
              <w:tc>
                <w:tcPr>
                  <w:tcW w:w="437" w:type="pct"/>
                  <w:tcBorders>
                    <w:top w:val="single" w:color="auto" w:sz="4" w:space="0"/>
                    <w:left w:val="single" w:color="auto" w:sz="4" w:space="0"/>
                    <w:bottom w:val="single" w:color="auto" w:sz="4" w:space="0"/>
                    <w:right w:val="nil"/>
                  </w:tcBorders>
                  <w:noWrap w:val="0"/>
                  <w:vAlign w:val="center"/>
                </w:tcPr>
                <w:p w14:paraId="137DB3F9">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19797DD3">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649" w:type="pct"/>
                  <w:gridSpan w:val="2"/>
                  <w:vMerge w:val="continue"/>
                  <w:tcBorders>
                    <w:left w:val="nil"/>
                    <w:right w:val="single" w:color="auto" w:sz="4" w:space="0"/>
                  </w:tcBorders>
                  <w:noWrap w:val="0"/>
                  <w:vAlign w:val="center"/>
                </w:tcPr>
                <w:p w14:paraId="2FE4071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44E773AF">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4.厂区道路及车间地面硬化，车间地面、墙壁、设备顶部整洁无积尘；厂内地面全部硬化或绿化，无成片裸露土地；</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100B2443">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厂区道路及车间地面硬化，车间地面、墙壁、设备顶部整洁无积尘；厂内地面全部硬化或绿化，无成片裸露土地。</w:t>
                  </w:r>
                </w:p>
              </w:tc>
              <w:tc>
                <w:tcPr>
                  <w:tcW w:w="437" w:type="pct"/>
                  <w:tcBorders>
                    <w:top w:val="single" w:color="auto" w:sz="4" w:space="0"/>
                    <w:left w:val="single" w:color="auto" w:sz="4" w:space="0"/>
                    <w:bottom w:val="single" w:color="auto" w:sz="4" w:space="0"/>
                    <w:right w:val="nil"/>
                  </w:tcBorders>
                  <w:noWrap w:val="0"/>
                  <w:vAlign w:val="center"/>
                </w:tcPr>
                <w:p w14:paraId="52B9713E">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343FB78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49" w:type="pct"/>
                  <w:gridSpan w:val="2"/>
                  <w:vMerge w:val="continue"/>
                  <w:tcBorders>
                    <w:left w:val="nil"/>
                    <w:bottom w:val="single" w:color="auto" w:sz="4" w:space="0"/>
                    <w:right w:val="single" w:color="auto" w:sz="4" w:space="0"/>
                  </w:tcBorders>
                  <w:noWrap w:val="0"/>
                  <w:vAlign w:val="center"/>
                </w:tcPr>
                <w:p w14:paraId="58FEA70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2866BE83">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5.贮存易产生粉尘、VOCs和异味的危险废物贮存库，设有废气收集装置和废气处理设施。废气处理设施的排气筒高度不低于15m。</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1ABB895">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本项目</w:t>
                  </w:r>
                  <w:r>
                    <w:rPr>
                      <w:rFonts w:hint="default" w:ascii="Times New Roman" w:hAnsi="Times New Roman" w:eastAsia="Times New Roman" w:cs="Times New Roman"/>
                      <w:color w:val="auto"/>
                      <w:sz w:val="21"/>
                      <w:szCs w:val="21"/>
                      <w:lang w:eastAsia="zh-CN"/>
                    </w:rPr>
                    <w:t>危废储存场所属于《危险废物贮存污染控制标准》（GB18597—2023）中的贮存点，不属于贮存库。</w:t>
                  </w:r>
                </w:p>
              </w:tc>
              <w:tc>
                <w:tcPr>
                  <w:tcW w:w="437" w:type="pct"/>
                  <w:tcBorders>
                    <w:top w:val="single" w:color="auto" w:sz="4" w:space="0"/>
                    <w:left w:val="single" w:color="auto" w:sz="4" w:space="0"/>
                    <w:bottom w:val="single" w:color="auto" w:sz="4" w:space="0"/>
                    <w:right w:val="nil"/>
                  </w:tcBorders>
                  <w:noWrap w:val="0"/>
                  <w:vAlign w:val="center"/>
                </w:tcPr>
                <w:p w14:paraId="33AE22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无关项</w:t>
                  </w:r>
                </w:p>
              </w:tc>
            </w:tr>
            <w:tr w14:paraId="6545FE9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34E4992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排放限值</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0F347443">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1.全厂有组织PM、NMHC有组织排放浓度分别不高于10、20mg/m</w:t>
                  </w:r>
                  <w:r>
                    <w:rPr>
                      <w:rFonts w:hint="default" w:ascii="Times New Roman" w:hAnsi="Times New Roman" w:eastAsia="宋体" w:cs="Times New Roman"/>
                      <w:bCs/>
                      <w:color w:val="auto"/>
                      <w:kern w:val="2"/>
                      <w:sz w:val="21"/>
                      <w:szCs w:val="21"/>
                      <w:vertAlign w:val="superscript"/>
                      <w:lang w:val="en-US" w:eastAsia="zh-CN" w:bidi="ar"/>
                    </w:rPr>
                    <w:t>3</w:t>
                  </w:r>
                  <w:r>
                    <w:rPr>
                      <w:rFonts w:hint="default" w:ascii="Times New Roman" w:hAnsi="Times New Roman" w:eastAsia="宋体" w:cs="Times New Roman"/>
                      <w:bCs/>
                      <w:color w:val="auto"/>
                      <w:kern w:val="2"/>
                      <w:sz w:val="21"/>
                      <w:szCs w:val="21"/>
                      <w:lang w:val="en-US" w:eastAsia="zh-CN" w:bidi="ar"/>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949C400">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有组织NMHC有组织排放浓度不高于</w:t>
                  </w:r>
                  <w:r>
                    <w:rPr>
                      <w:rFonts w:hint="eastAsia" w:ascii="Times New Roman" w:hAnsi="Times New Roman" w:eastAsia="宋体" w:cs="Times New Roman"/>
                      <w:bCs/>
                      <w:color w:val="auto"/>
                      <w:kern w:val="2"/>
                      <w:sz w:val="21"/>
                      <w:szCs w:val="21"/>
                      <w:lang w:val="en-US" w:eastAsia="zh-CN" w:bidi="ar"/>
                    </w:rPr>
                    <w:t>20</w:t>
                  </w:r>
                  <w:r>
                    <w:rPr>
                      <w:rFonts w:hint="default" w:ascii="Times New Roman" w:hAnsi="Times New Roman" w:eastAsia="宋体" w:cs="Times New Roman"/>
                      <w:bCs/>
                      <w:color w:val="auto"/>
                      <w:kern w:val="2"/>
                      <w:sz w:val="21"/>
                      <w:szCs w:val="21"/>
                      <w:lang w:val="en-US" w:eastAsia="zh-CN" w:bidi="ar"/>
                    </w:rPr>
                    <w:t>mg/m</w:t>
                  </w:r>
                  <w:r>
                    <w:rPr>
                      <w:rFonts w:hint="default" w:ascii="Times New Roman" w:hAnsi="Times New Roman" w:eastAsia="宋体" w:cs="Times New Roman"/>
                      <w:bCs/>
                      <w:color w:val="auto"/>
                      <w:kern w:val="2"/>
                      <w:sz w:val="21"/>
                      <w:szCs w:val="21"/>
                      <w:vertAlign w:val="superscript"/>
                      <w:lang w:val="en-US" w:eastAsia="zh-CN" w:bidi="ar"/>
                    </w:rPr>
                    <w:t>3</w:t>
                  </w:r>
                  <w:r>
                    <w:rPr>
                      <w:rFonts w:hint="default" w:ascii="Times New Roman" w:hAnsi="Times New Roman" w:eastAsia="宋体" w:cs="Times New Roman"/>
                      <w:bCs/>
                      <w:color w:val="auto"/>
                      <w:kern w:val="2"/>
                      <w:sz w:val="21"/>
                      <w:szCs w:val="21"/>
                      <w:lang w:val="en-US" w:eastAsia="zh-CN" w:bidi="ar"/>
                    </w:rPr>
                    <w:t>。</w:t>
                  </w:r>
                </w:p>
              </w:tc>
              <w:tc>
                <w:tcPr>
                  <w:tcW w:w="437" w:type="pct"/>
                  <w:tcBorders>
                    <w:top w:val="single" w:color="auto" w:sz="4" w:space="0"/>
                    <w:left w:val="single" w:color="auto" w:sz="4" w:space="0"/>
                    <w:bottom w:val="single" w:color="auto" w:sz="4" w:space="0"/>
                    <w:right w:val="nil"/>
                  </w:tcBorders>
                  <w:noWrap w:val="0"/>
                  <w:vAlign w:val="center"/>
                </w:tcPr>
                <w:p w14:paraId="32B881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5B1B8F83">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6874AA73">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5E60CF7D">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2.VOCs治理设施去除率达到80%及以上；去除率确实达不到的，生产车间或生产设备的无组织排放监控点NMHC浓度低于4mg/m</w:t>
                  </w:r>
                  <w:r>
                    <w:rPr>
                      <w:rFonts w:hint="default" w:ascii="Times New Roman" w:hAnsi="Times New Roman" w:eastAsia="宋体" w:cs="Times New Roman"/>
                      <w:bCs/>
                      <w:color w:val="auto"/>
                      <w:kern w:val="2"/>
                      <w:sz w:val="21"/>
                      <w:szCs w:val="21"/>
                      <w:vertAlign w:val="superscript"/>
                      <w:lang w:val="en-US" w:eastAsia="zh-CN" w:bidi="ar"/>
                    </w:rPr>
                    <w:t>3</w:t>
                  </w:r>
                  <w:r>
                    <w:rPr>
                      <w:rFonts w:hint="default" w:ascii="Times New Roman" w:hAnsi="Times New Roman" w:eastAsia="宋体" w:cs="Times New Roman"/>
                      <w:bCs/>
                      <w:color w:val="auto"/>
                      <w:kern w:val="2"/>
                      <w:sz w:val="21"/>
                      <w:szCs w:val="21"/>
                      <w:lang w:val="en-US" w:eastAsia="zh-CN" w:bidi="ar"/>
                    </w:rPr>
                    <w:t>，企业边界1hNMHC平均浓度低于2mg/m</w:t>
                  </w:r>
                  <w:r>
                    <w:rPr>
                      <w:rFonts w:hint="default" w:ascii="Times New Roman" w:hAnsi="Times New Roman" w:eastAsia="宋体" w:cs="Times New Roman"/>
                      <w:bCs/>
                      <w:color w:val="auto"/>
                      <w:kern w:val="2"/>
                      <w:sz w:val="21"/>
                      <w:szCs w:val="21"/>
                      <w:vertAlign w:val="superscript"/>
                      <w:lang w:val="en-US" w:eastAsia="zh-CN" w:bidi="ar"/>
                    </w:rPr>
                    <w:t>3</w:t>
                  </w:r>
                  <w:r>
                    <w:rPr>
                      <w:rFonts w:hint="default" w:ascii="Times New Roman" w:hAnsi="Times New Roman" w:eastAsia="宋体" w:cs="Times New Roman"/>
                      <w:bCs/>
                      <w:color w:val="auto"/>
                      <w:kern w:val="2"/>
                      <w:sz w:val="21"/>
                      <w:szCs w:val="21"/>
                      <w:lang w:val="en-US" w:eastAsia="zh-CN" w:bidi="ar"/>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95D0858">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highlight w:val="none"/>
                      <w:lang w:val="en-US" w:eastAsia="zh-CN" w:bidi="ar"/>
                    </w:rPr>
                    <w:t>VOCs治理设施同步运行率达到100%，去除率达到</w:t>
                  </w:r>
                  <w:r>
                    <w:rPr>
                      <w:rFonts w:hint="eastAsia" w:cs="Times New Roman"/>
                      <w:b w:val="0"/>
                      <w:bCs/>
                      <w:color w:val="auto"/>
                      <w:kern w:val="2"/>
                      <w:sz w:val="21"/>
                      <w:szCs w:val="21"/>
                      <w:highlight w:val="none"/>
                      <w:u w:val="none"/>
                      <w:lang w:val="en-US" w:eastAsia="zh-CN" w:bidi="ar"/>
                    </w:rPr>
                    <w:t>90</w:t>
                  </w:r>
                  <w:r>
                    <w:rPr>
                      <w:rFonts w:hint="default" w:ascii="Times New Roman" w:hAnsi="Times New Roman" w:eastAsia="宋体" w:cs="Times New Roman"/>
                      <w:b w:val="0"/>
                      <w:bCs/>
                      <w:color w:val="auto"/>
                      <w:kern w:val="2"/>
                      <w:sz w:val="21"/>
                      <w:szCs w:val="21"/>
                      <w:highlight w:val="none"/>
                      <w:u w:val="none"/>
                      <w:lang w:val="en-US" w:eastAsia="zh-CN" w:bidi="ar"/>
                    </w:rPr>
                    <w:t>%</w:t>
                  </w:r>
                  <w:r>
                    <w:rPr>
                      <w:rFonts w:hint="default" w:ascii="Times New Roman" w:hAnsi="Times New Roman" w:eastAsia="宋体" w:cs="Times New Roman"/>
                      <w:bCs/>
                      <w:color w:val="auto"/>
                      <w:kern w:val="2"/>
                      <w:sz w:val="21"/>
                      <w:szCs w:val="21"/>
                      <w:highlight w:val="none"/>
                      <w:lang w:val="en-US" w:eastAsia="zh-CN" w:bidi="ar"/>
                    </w:rPr>
                    <w:t>。</w:t>
                  </w:r>
                </w:p>
              </w:tc>
              <w:tc>
                <w:tcPr>
                  <w:tcW w:w="437" w:type="pct"/>
                  <w:tcBorders>
                    <w:top w:val="single" w:color="auto" w:sz="4" w:space="0"/>
                    <w:left w:val="single" w:color="auto" w:sz="4" w:space="0"/>
                    <w:bottom w:val="single" w:color="auto" w:sz="4" w:space="0"/>
                    <w:right w:val="nil"/>
                  </w:tcBorders>
                  <w:noWrap w:val="0"/>
                  <w:vAlign w:val="center"/>
                </w:tcPr>
                <w:p w14:paraId="7C08884D">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65DBDB2A">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58B14B2B">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1EFDFAA7">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3.锅炉烟气排放限值要求：</w:t>
                  </w:r>
                </w:p>
                <w:p w14:paraId="7540AAA4">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燃气锅炉PM、SO</w:t>
                  </w:r>
                  <w:r>
                    <w:rPr>
                      <w:rFonts w:hint="default" w:ascii="Times New Roman" w:hAnsi="Times New Roman" w:eastAsia="宋体" w:cs="Times New Roman"/>
                      <w:bCs/>
                      <w:color w:val="auto"/>
                      <w:kern w:val="2"/>
                      <w:sz w:val="21"/>
                      <w:szCs w:val="21"/>
                      <w:vertAlign w:val="subscript"/>
                      <w:lang w:val="en-US" w:eastAsia="zh-CN" w:bidi="ar"/>
                    </w:rPr>
                    <w:t>2</w:t>
                  </w:r>
                  <w:r>
                    <w:rPr>
                      <w:rFonts w:hint="default" w:ascii="Times New Roman" w:hAnsi="Times New Roman" w:eastAsia="宋体" w:cs="Times New Roman"/>
                      <w:bCs/>
                      <w:color w:val="auto"/>
                      <w:kern w:val="2"/>
                      <w:sz w:val="21"/>
                      <w:szCs w:val="21"/>
                      <w:lang w:val="en-US" w:eastAsia="zh-CN" w:bidi="ar"/>
                    </w:rPr>
                    <w:t>、NOx排放浓度分别不高于：5、10、50/30</w:t>
                  </w:r>
                  <w:r>
                    <w:rPr>
                      <w:rFonts w:hint="default" w:ascii="Times New Roman" w:hAnsi="Times New Roman" w:eastAsia="宋体" w:cs="Times New Roman"/>
                      <w:bCs/>
                      <w:color w:val="auto"/>
                      <w:kern w:val="2"/>
                      <w:sz w:val="21"/>
                      <w:szCs w:val="21"/>
                      <w:vertAlign w:val="superscript"/>
                      <w:lang w:val="en-US" w:eastAsia="zh-CN" w:bidi="ar"/>
                    </w:rPr>
                    <w:t>【2】</w:t>
                  </w:r>
                  <w:r>
                    <w:rPr>
                      <w:rFonts w:hint="default" w:ascii="Times New Roman" w:hAnsi="Times New Roman" w:eastAsia="宋体" w:cs="Times New Roman"/>
                      <w:bCs/>
                      <w:color w:val="auto"/>
                      <w:kern w:val="2"/>
                      <w:sz w:val="21"/>
                      <w:szCs w:val="21"/>
                      <w:lang w:val="en-US" w:eastAsia="zh-CN" w:bidi="ar"/>
                    </w:rPr>
                    <w:t>mg/m</w:t>
                  </w:r>
                  <w:r>
                    <w:rPr>
                      <w:rFonts w:hint="default" w:ascii="Times New Roman" w:hAnsi="Times New Roman" w:eastAsia="宋体" w:cs="Times New Roman"/>
                      <w:bCs/>
                      <w:color w:val="auto"/>
                      <w:kern w:val="2"/>
                      <w:sz w:val="21"/>
                      <w:szCs w:val="21"/>
                      <w:vertAlign w:val="superscript"/>
                      <w:lang w:val="en-US" w:eastAsia="zh-CN" w:bidi="ar"/>
                    </w:rPr>
                    <w:t>3</w:t>
                  </w:r>
                  <w:r>
                    <w:rPr>
                      <w:rFonts w:hint="default" w:ascii="Times New Roman" w:hAnsi="Times New Roman" w:eastAsia="宋体" w:cs="Times New Roman"/>
                      <w:bCs/>
                      <w:color w:val="auto"/>
                      <w:kern w:val="2"/>
                      <w:sz w:val="21"/>
                      <w:szCs w:val="21"/>
                      <w:lang w:val="en-US" w:eastAsia="zh-CN" w:bidi="ar"/>
                    </w:rPr>
                    <w:t>。</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DCB3180">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项目不涉及锅炉。</w:t>
                  </w:r>
                </w:p>
              </w:tc>
              <w:tc>
                <w:tcPr>
                  <w:tcW w:w="437" w:type="pct"/>
                  <w:tcBorders>
                    <w:top w:val="single" w:color="auto" w:sz="4" w:space="0"/>
                    <w:left w:val="single" w:color="auto" w:sz="4" w:space="0"/>
                    <w:bottom w:val="single" w:color="auto" w:sz="4" w:space="0"/>
                    <w:right w:val="nil"/>
                  </w:tcBorders>
                  <w:noWrap w:val="0"/>
                  <w:vAlign w:val="center"/>
                </w:tcPr>
                <w:p w14:paraId="6BACCE0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lang w:val="en-US" w:eastAsia="zh-CN" w:bidi="ar"/>
                    </w:rPr>
                    <w:t>/</w:t>
                  </w:r>
                </w:p>
              </w:tc>
            </w:tr>
            <w:tr w14:paraId="7020E0C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26460D7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监测监控水平</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7FCA1191">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1.有组织排放口按排污许可、环境影响评价或环境现状评估等要求安装烟气排放自动监控设施（CEMS），并按要求与省厅联网；重点排污单位风量大于10000m</w:t>
                  </w:r>
                  <w:r>
                    <w:rPr>
                      <w:rFonts w:hint="default" w:ascii="Times New Roman" w:hAnsi="Times New Roman" w:eastAsia="Times New Roman" w:cs="Times New Roman"/>
                      <w:color w:val="auto"/>
                      <w:sz w:val="21"/>
                      <w:szCs w:val="21"/>
                      <w:vertAlign w:val="superscript"/>
                    </w:rPr>
                    <w:t>3</w:t>
                  </w:r>
                  <w:r>
                    <w:rPr>
                      <w:rFonts w:hint="default" w:ascii="Times New Roman" w:hAnsi="Times New Roman" w:eastAsia="Times New Roman" w:cs="Times New Roman"/>
                      <w:color w:val="auto"/>
                      <w:sz w:val="21"/>
                      <w:szCs w:val="21"/>
                    </w:rPr>
                    <w:t>/h的主要排放口安装NMHC在线监测设施（FID检测器）并按要求与省厅联网；其他企业NMHC初始排放速率大于2kg/h且排放口风量大于20000m</w:t>
                  </w:r>
                  <w:r>
                    <w:rPr>
                      <w:rFonts w:hint="default" w:ascii="Times New Roman" w:hAnsi="Times New Roman" w:eastAsia="Times New Roman" w:cs="Times New Roman"/>
                      <w:color w:val="auto"/>
                      <w:sz w:val="21"/>
                      <w:szCs w:val="21"/>
                      <w:vertAlign w:val="superscript"/>
                    </w:rPr>
                    <w:t>3</w:t>
                  </w:r>
                  <w:r>
                    <w:rPr>
                      <w:rFonts w:hint="default" w:ascii="Times New Roman" w:hAnsi="Times New Roman" w:eastAsia="Times New Roman" w:cs="Times New Roman"/>
                      <w:color w:val="auto"/>
                      <w:sz w:val="21"/>
                      <w:szCs w:val="21"/>
                    </w:rPr>
                    <w:t>/h的废气排放口安装NMHC在线监测设施（FID检测器），并按要求与省厅联网；在线监测数据至少保存最近12个月的1分钟均值、36个月的1小时均值及60个月的日均值和月均值。（投产或安装时间不满一年以上的企业，以现有数据为准）；</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E2BC5BD">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本</w:t>
                  </w:r>
                  <w:r>
                    <w:rPr>
                      <w:rFonts w:hint="default" w:ascii="Times New Roman" w:hAnsi="Times New Roman" w:eastAsia="宋体" w:cs="Times New Roman"/>
                      <w:bCs/>
                      <w:color w:val="auto"/>
                      <w:kern w:val="2"/>
                      <w:sz w:val="21"/>
                      <w:szCs w:val="21"/>
                      <w:highlight w:val="none"/>
                      <w:lang w:val="en-US" w:eastAsia="zh-CN" w:bidi="ar"/>
                    </w:rPr>
                    <w:t>项目</w:t>
                  </w:r>
                  <w:r>
                    <w:rPr>
                      <w:rFonts w:hint="eastAsia" w:cs="Times New Roman"/>
                      <w:bCs/>
                      <w:color w:val="auto"/>
                      <w:kern w:val="2"/>
                      <w:sz w:val="21"/>
                      <w:szCs w:val="21"/>
                      <w:highlight w:val="none"/>
                      <w:lang w:val="en-US" w:eastAsia="zh-CN" w:bidi="ar"/>
                    </w:rPr>
                    <w:t>不属于重点排污单位，</w:t>
                  </w:r>
                  <w:r>
                    <w:rPr>
                      <w:rFonts w:hint="default" w:ascii="Times New Roman" w:hAnsi="Times New Roman" w:eastAsia="宋体" w:cs="Times New Roman"/>
                      <w:bCs/>
                      <w:color w:val="auto"/>
                      <w:kern w:val="2"/>
                      <w:sz w:val="21"/>
                      <w:szCs w:val="21"/>
                      <w:highlight w:val="none"/>
                      <w:lang w:val="en-US" w:eastAsia="zh-CN" w:bidi="ar"/>
                    </w:rPr>
                    <w:t>无需安装自动监控、在线监测设施。</w:t>
                  </w:r>
                </w:p>
              </w:tc>
              <w:tc>
                <w:tcPr>
                  <w:tcW w:w="437" w:type="pct"/>
                  <w:tcBorders>
                    <w:top w:val="single" w:color="auto" w:sz="4" w:space="0"/>
                    <w:left w:val="single" w:color="auto" w:sz="4" w:space="0"/>
                    <w:bottom w:val="single" w:color="auto" w:sz="4" w:space="0"/>
                    <w:right w:val="nil"/>
                  </w:tcBorders>
                  <w:noWrap w:val="0"/>
                  <w:vAlign w:val="center"/>
                </w:tcPr>
                <w:p w14:paraId="604C75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eastAsia" w:cs="Times New Roman"/>
                      <w:bCs/>
                      <w:color w:val="auto"/>
                      <w:kern w:val="2"/>
                      <w:sz w:val="21"/>
                      <w:szCs w:val="21"/>
                      <w:lang w:val="en-US" w:eastAsia="zh-CN" w:bidi="ar"/>
                    </w:rPr>
                    <w:t>/</w:t>
                  </w:r>
                </w:p>
              </w:tc>
            </w:tr>
            <w:tr w14:paraId="5DA34DC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735A4044">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7A9C74F7">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2.按生态环境部门要求规范设置废气排放口标志牌、二维码标识和采样平台、采样孔；各废气排放口按照排污许可要求开展自行监测。</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DBFB3CA">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本项目严格按生态环境部门要求规范设置废气排放口标志牌、二维码标识和采样平台、采样孔；各废气排放口按照排污许可要求开展自行监测。</w:t>
                  </w:r>
                </w:p>
              </w:tc>
              <w:tc>
                <w:tcPr>
                  <w:tcW w:w="437" w:type="pct"/>
                  <w:tcBorders>
                    <w:top w:val="single" w:color="auto" w:sz="4" w:space="0"/>
                    <w:left w:val="single" w:color="auto" w:sz="4" w:space="0"/>
                    <w:bottom w:val="single" w:color="auto" w:sz="4" w:space="0"/>
                    <w:right w:val="nil"/>
                  </w:tcBorders>
                  <w:noWrap w:val="0"/>
                  <w:vAlign w:val="center"/>
                </w:tcPr>
                <w:p w14:paraId="78912AF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A4B65E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vMerge w:val="restart"/>
                  <w:tcBorders>
                    <w:top w:val="nil"/>
                    <w:left w:val="nil"/>
                    <w:bottom w:val="single" w:color="auto" w:sz="4" w:space="0"/>
                    <w:right w:val="single" w:color="auto" w:sz="4" w:space="0"/>
                  </w:tcBorders>
                  <w:noWrap w:val="0"/>
                  <w:vAlign w:val="center"/>
                </w:tcPr>
                <w:p w14:paraId="09A39D2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环境管理水平</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26546E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环保档案</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79940B3B">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1.环评批复文件和竣工环保验收文件或环境现状评估备案证明；</w:t>
                  </w:r>
                </w:p>
                <w:p w14:paraId="5321DDF5">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2.国家版排污许可证；</w:t>
                  </w:r>
                </w:p>
                <w:p w14:paraId="7C1E3E92">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3.环境管理制度（有组织、无组织排放长效管理机制，主要包括日常操作规程、岗位责任制度、污染物排放公示制度和定期巡查维护制度等）；</w:t>
                  </w:r>
                </w:p>
                <w:p w14:paraId="1F86C074">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4.废气污染治理设施稳定运行管理规程；</w:t>
                  </w:r>
                </w:p>
                <w:p w14:paraId="5462F31F">
                  <w:pPr>
                    <w:keepNext w:val="0"/>
                    <w:keepLines w:val="0"/>
                    <w:widowControl w:val="0"/>
                    <w:suppressLineNumbers w:val="0"/>
                    <w:autoSpaceDE w:val="0"/>
                    <w:autoSpaceDN/>
                    <w:snapToGrid w:val="0"/>
                    <w:spacing w:before="0" w:beforeAutospacing="0" w:after="0" w:afterAutospacing="0" w:line="260" w:lineRule="exact"/>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5.一年内废气监测报告（符合排污许可证监测项目及频次要求）。</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7C489779">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按照要求规范环保档案管理。</w:t>
                  </w:r>
                </w:p>
              </w:tc>
              <w:tc>
                <w:tcPr>
                  <w:tcW w:w="437" w:type="pct"/>
                  <w:tcBorders>
                    <w:top w:val="single" w:color="auto" w:sz="4" w:space="0"/>
                    <w:left w:val="single" w:color="auto" w:sz="4" w:space="0"/>
                    <w:bottom w:val="single" w:color="auto" w:sz="4" w:space="0"/>
                    <w:right w:val="nil"/>
                  </w:tcBorders>
                  <w:noWrap w:val="0"/>
                  <w:vAlign w:val="center"/>
                </w:tcPr>
                <w:p w14:paraId="740599E2">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5BEBA3D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vMerge w:val="continue"/>
                  <w:tcBorders>
                    <w:top w:val="nil"/>
                    <w:left w:val="nil"/>
                    <w:bottom w:val="single" w:color="auto" w:sz="4" w:space="0"/>
                    <w:right w:val="single" w:color="auto" w:sz="4" w:space="0"/>
                  </w:tcBorders>
                  <w:noWrap w:val="0"/>
                  <w:vAlign w:val="center"/>
                </w:tcPr>
                <w:p w14:paraId="24EDE241">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6AD97CD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台账记录</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2661C1C0">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1.生产设施运行管理信息（生产时间、运行负荷、产品产量等）；</w:t>
                  </w:r>
                </w:p>
                <w:p w14:paraId="1421CAB2">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2.废气污染治理设施运行、维护、管理信息（包括但不限于废气收集系统和污染治理设施的名称规格、设计参数、运行参数、巡检记录、污染治理易耗品与药剂用量（吸附剂、催化剂、脱硫剂、脱硝剂、过滤耗材等）、操作记录以及维护记录、运行要求等）；</w:t>
                  </w:r>
                </w:p>
                <w:p w14:paraId="5EFCED03">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3.监测记录信息（主要污染排放口废气排放记录等）；</w:t>
                  </w:r>
                </w:p>
                <w:p w14:paraId="3A7EC384">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4.主要原辅材料消耗记录；</w:t>
                  </w:r>
                </w:p>
                <w:p w14:paraId="3306AE9E">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5.燃料消耗记录；</w:t>
                  </w:r>
                </w:p>
                <w:p w14:paraId="311850AF">
                  <w:pPr>
                    <w:keepNext w:val="0"/>
                    <w:keepLines w:val="0"/>
                    <w:widowControl w:val="0"/>
                    <w:suppressLineNumbers w:val="0"/>
                    <w:autoSpaceDE w:val="0"/>
                    <w:autoSpaceDN/>
                    <w:snapToGrid w:val="0"/>
                    <w:spacing w:before="0" w:beforeAutospacing="0" w:after="0" w:afterAutospacing="0" w:line="280" w:lineRule="exact"/>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6.固废、危废暂存、处理记录。</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9A453F0">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按照要求规范记录台账信息。</w:t>
                  </w:r>
                </w:p>
              </w:tc>
              <w:tc>
                <w:tcPr>
                  <w:tcW w:w="437" w:type="pct"/>
                  <w:tcBorders>
                    <w:top w:val="single" w:color="auto" w:sz="4" w:space="0"/>
                    <w:left w:val="single" w:color="auto" w:sz="4" w:space="0"/>
                    <w:bottom w:val="single" w:color="auto" w:sz="4" w:space="0"/>
                    <w:right w:val="nil"/>
                  </w:tcBorders>
                  <w:noWrap w:val="0"/>
                  <w:vAlign w:val="center"/>
                </w:tcPr>
                <w:p w14:paraId="127EFDB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44586DF2">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 w:type="pct"/>
                  <w:vMerge w:val="continue"/>
                  <w:tcBorders>
                    <w:top w:val="nil"/>
                    <w:left w:val="nil"/>
                    <w:bottom w:val="single" w:color="auto" w:sz="4" w:space="0"/>
                    <w:right w:val="single" w:color="auto" w:sz="4" w:space="0"/>
                  </w:tcBorders>
                  <w:noWrap w:val="0"/>
                  <w:vAlign w:val="center"/>
                </w:tcPr>
                <w:p w14:paraId="006BC56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30E56D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人员配置</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55FA63D6">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配备专职环保人员，并具备相应的环境管理能力（包括但不限于学历、培训、从业经验等）。</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046C88B">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配备专职环保人员，并具备相应的环境管理能力。</w:t>
                  </w:r>
                </w:p>
              </w:tc>
              <w:tc>
                <w:tcPr>
                  <w:tcW w:w="437" w:type="pct"/>
                  <w:tcBorders>
                    <w:top w:val="single" w:color="auto" w:sz="4" w:space="0"/>
                    <w:left w:val="single" w:color="auto" w:sz="4" w:space="0"/>
                    <w:bottom w:val="single" w:color="auto" w:sz="4" w:space="0"/>
                    <w:right w:val="nil"/>
                  </w:tcBorders>
                  <w:noWrap w:val="0"/>
                  <w:vAlign w:val="center"/>
                </w:tcPr>
                <w:p w14:paraId="26938BB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C97BA9E">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restart"/>
                  <w:tcBorders>
                    <w:top w:val="nil"/>
                    <w:left w:val="nil"/>
                    <w:bottom w:val="single" w:color="auto" w:sz="4" w:space="0"/>
                    <w:right w:val="single" w:color="auto" w:sz="4" w:space="0"/>
                  </w:tcBorders>
                  <w:noWrap w:val="0"/>
                  <w:vAlign w:val="center"/>
                </w:tcPr>
                <w:p w14:paraId="305DDAB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运输方式</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320D59C2">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1.物料、产品运输全部使用国五及以上排放标准的重型载货车辆（重型燃气车辆达到国六排放标准）或新能源车辆；</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2EA030E8">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使用符合要求的公路运输车辆。</w:t>
                  </w:r>
                </w:p>
              </w:tc>
              <w:tc>
                <w:tcPr>
                  <w:tcW w:w="437" w:type="pct"/>
                  <w:tcBorders>
                    <w:top w:val="single" w:color="auto" w:sz="4" w:space="0"/>
                    <w:left w:val="single" w:color="auto" w:sz="4" w:space="0"/>
                    <w:bottom w:val="single" w:color="auto" w:sz="4" w:space="0"/>
                    <w:right w:val="nil"/>
                  </w:tcBorders>
                  <w:noWrap w:val="0"/>
                  <w:vAlign w:val="center"/>
                </w:tcPr>
                <w:p w14:paraId="55B953B2">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2DB85A7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2F751326">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28B19AEE">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2.厂内车辆全部达到国五及以上排放标准（重型燃气车辆达到国六排放标准）或使用新能源车辆；</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4110A4CD">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不涉及厂内运输车辆。</w:t>
                  </w:r>
                </w:p>
              </w:tc>
              <w:tc>
                <w:tcPr>
                  <w:tcW w:w="437" w:type="pct"/>
                  <w:tcBorders>
                    <w:top w:val="single" w:color="auto" w:sz="4" w:space="0"/>
                    <w:left w:val="single" w:color="auto" w:sz="4" w:space="0"/>
                    <w:bottom w:val="single" w:color="auto" w:sz="4" w:space="0"/>
                    <w:right w:val="nil"/>
                  </w:tcBorders>
                  <w:noWrap w:val="0"/>
                  <w:vAlign w:val="center"/>
                </w:tcPr>
                <w:p w14:paraId="1E93CCC5">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Cs/>
                      <w:color w:val="auto"/>
                      <w:kern w:val="2"/>
                      <w:sz w:val="21"/>
                      <w:szCs w:val="21"/>
                      <w:lang w:val="en-US" w:eastAsia="zh-CN"/>
                    </w:rPr>
                  </w:pPr>
                  <w:r>
                    <w:rPr>
                      <w:rFonts w:hint="eastAsia" w:cs="Times New Roman"/>
                      <w:bCs/>
                      <w:color w:val="auto"/>
                      <w:kern w:val="2"/>
                      <w:sz w:val="21"/>
                      <w:szCs w:val="21"/>
                      <w:lang w:val="en-US" w:eastAsia="zh-CN"/>
                    </w:rPr>
                    <w:t>/</w:t>
                  </w:r>
                </w:p>
              </w:tc>
            </w:tr>
            <w:tr w14:paraId="671817A0">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pct"/>
                  <w:gridSpan w:val="2"/>
                  <w:vMerge w:val="continue"/>
                  <w:tcBorders>
                    <w:top w:val="nil"/>
                    <w:left w:val="nil"/>
                    <w:bottom w:val="single" w:color="auto" w:sz="4" w:space="0"/>
                    <w:right w:val="single" w:color="auto" w:sz="4" w:space="0"/>
                  </w:tcBorders>
                  <w:noWrap w:val="0"/>
                  <w:vAlign w:val="center"/>
                </w:tcPr>
                <w:p w14:paraId="7BE9FB25">
                  <w:pPr>
                    <w:keepNext w:val="0"/>
                    <w:keepLines w:val="0"/>
                    <w:suppressLineNumbers w:val="0"/>
                    <w:spacing w:before="0" w:beforeAutospacing="0" w:after="0" w:afterAutospacing="0"/>
                    <w:ind w:left="0" w:right="0"/>
                    <w:rPr>
                      <w:rFonts w:hint="default" w:ascii="Times New Roman" w:hAnsi="Times New Roman" w:eastAsia="Times New Roman" w:cs="Times New Roman"/>
                      <w:color w:val="auto"/>
                      <w:sz w:val="21"/>
                      <w:szCs w:val="21"/>
                    </w:rPr>
                  </w:pPr>
                </w:p>
              </w:tc>
              <w:tc>
                <w:tcPr>
                  <w:tcW w:w="2216" w:type="pct"/>
                  <w:tcBorders>
                    <w:top w:val="single" w:color="auto" w:sz="4" w:space="0"/>
                    <w:left w:val="single" w:color="auto" w:sz="4" w:space="0"/>
                    <w:bottom w:val="single" w:color="auto" w:sz="4" w:space="0"/>
                    <w:right w:val="single" w:color="auto" w:sz="4" w:space="0"/>
                  </w:tcBorders>
                  <w:noWrap w:val="0"/>
                  <w:vAlign w:val="center"/>
                </w:tcPr>
                <w:p w14:paraId="3C86B4AA">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3.厂内非道路移动机械达到国三及以上排放标准或使用新能源机械。</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70875993">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使用符合要求的非道路移动机械。</w:t>
                  </w:r>
                </w:p>
              </w:tc>
              <w:tc>
                <w:tcPr>
                  <w:tcW w:w="437" w:type="pct"/>
                  <w:tcBorders>
                    <w:top w:val="single" w:color="auto" w:sz="4" w:space="0"/>
                    <w:left w:val="single" w:color="auto" w:sz="4" w:space="0"/>
                    <w:bottom w:val="single" w:color="auto" w:sz="4" w:space="0"/>
                    <w:right w:val="nil"/>
                  </w:tcBorders>
                  <w:noWrap w:val="0"/>
                  <w:vAlign w:val="center"/>
                </w:tcPr>
                <w:p w14:paraId="3EA9FBFE">
                  <w:pPr>
                    <w:keepNext w:val="0"/>
                    <w:keepLines w:val="0"/>
                    <w:widowControl w:val="0"/>
                    <w:suppressLineNumbers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02B29D9D">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49" w:type="pct"/>
                  <w:gridSpan w:val="2"/>
                  <w:tcBorders>
                    <w:top w:val="single" w:color="auto" w:sz="4" w:space="0"/>
                    <w:left w:val="nil"/>
                    <w:bottom w:val="single" w:color="auto" w:sz="4" w:space="0"/>
                    <w:right w:val="single" w:color="auto" w:sz="4" w:space="0"/>
                  </w:tcBorders>
                  <w:noWrap w:val="0"/>
                  <w:vAlign w:val="center"/>
                </w:tcPr>
                <w:p w14:paraId="56E549A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运输监管</w:t>
                  </w:r>
                </w:p>
              </w:tc>
              <w:tc>
                <w:tcPr>
                  <w:tcW w:w="2216" w:type="pct"/>
                  <w:tcBorders>
                    <w:top w:val="single" w:color="auto" w:sz="4" w:space="0"/>
                    <w:left w:val="single" w:color="auto" w:sz="4" w:space="0"/>
                    <w:bottom w:val="single" w:color="auto" w:sz="4" w:space="0"/>
                    <w:right w:val="single" w:color="auto" w:sz="4" w:space="0"/>
                  </w:tcBorders>
                  <w:noWrap w:val="0"/>
                  <w:vAlign w:val="center"/>
                </w:tcPr>
                <w:p w14:paraId="2FD08D82">
                  <w:pPr>
                    <w:keepNext w:val="0"/>
                    <w:keepLines w:val="0"/>
                    <w:widowControl w:val="0"/>
                    <w:suppressLineNumbers w:val="0"/>
                    <w:snapToGrid w:val="0"/>
                    <w:spacing w:before="0" w:beforeAutospacing="0" w:after="0" w:afterAutospacing="0"/>
                    <w:ind w:left="0" w:right="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日均进出货物150吨（或载货车辆日进出10辆次）及以上（货物包括原料、辅料、燃料、产品和其他与生产相关物料）的企业，参照《重污染天气重点行业移动源应急管理技术指南》建立门禁视频监控系统和电子台账；其他企业安装车辆运输视频监控（数据能保存6个月），并建立车辆运输手工台账。</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7C524322">
                  <w:pPr>
                    <w:keepNext w:val="0"/>
                    <w:keepLines w:val="0"/>
                    <w:widowControl w:val="0"/>
                    <w:suppressLineNumbers w:val="0"/>
                    <w:snapToGrid w:val="0"/>
                    <w:spacing w:before="0" w:beforeAutospacing="0" w:after="0" w:afterAutospacing="0"/>
                    <w:ind w:left="0" w:leftChars="0" w:right="0" w:rightChars="0"/>
                    <w:jc w:val="both"/>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kern w:val="2"/>
                      <w:sz w:val="21"/>
                      <w:szCs w:val="21"/>
                      <w:highlight w:val="none"/>
                      <w:lang w:val="en-US" w:eastAsia="zh-CN" w:bidi="ar"/>
                    </w:rPr>
                    <w:t>项目建成后，企业日均进出货物约</w:t>
                  </w:r>
                  <w:r>
                    <w:rPr>
                      <w:rFonts w:hint="eastAsia" w:cs="Times New Roman"/>
                      <w:bCs/>
                      <w:color w:val="auto"/>
                      <w:kern w:val="2"/>
                      <w:sz w:val="21"/>
                      <w:szCs w:val="21"/>
                      <w:highlight w:val="none"/>
                      <w:lang w:val="en-US" w:eastAsia="zh-CN" w:bidi="ar"/>
                    </w:rPr>
                    <w:t>115</w:t>
                  </w:r>
                  <w:r>
                    <w:rPr>
                      <w:rFonts w:hint="default" w:ascii="Times New Roman" w:hAnsi="Times New Roman" w:eastAsia="宋体" w:cs="Times New Roman"/>
                      <w:bCs/>
                      <w:color w:val="auto"/>
                      <w:kern w:val="2"/>
                      <w:sz w:val="21"/>
                      <w:szCs w:val="21"/>
                      <w:highlight w:val="none"/>
                      <w:lang w:val="en-US" w:eastAsia="zh-CN" w:bidi="ar"/>
                    </w:rPr>
                    <w:t>吨</w:t>
                  </w:r>
                  <w:r>
                    <w:rPr>
                      <w:rFonts w:hint="eastAsia" w:cs="Times New Roman"/>
                      <w:bCs/>
                      <w:color w:val="auto"/>
                      <w:kern w:val="2"/>
                      <w:sz w:val="21"/>
                      <w:szCs w:val="21"/>
                      <w:highlight w:val="none"/>
                      <w:lang w:val="en-US" w:eastAsia="zh-CN" w:bidi="ar"/>
                    </w:rPr>
                    <w:t>，不足150吨</w:t>
                  </w:r>
                  <w:r>
                    <w:rPr>
                      <w:rFonts w:hint="default" w:ascii="Times New Roman" w:hAnsi="Times New Roman" w:eastAsia="宋体" w:cs="Times New Roman"/>
                      <w:bCs/>
                      <w:color w:val="auto"/>
                      <w:kern w:val="2"/>
                      <w:sz w:val="21"/>
                      <w:szCs w:val="21"/>
                      <w:highlight w:val="none"/>
                      <w:lang w:val="en-US" w:eastAsia="zh-CN" w:bidi="ar"/>
                    </w:rPr>
                    <w:t>，</w:t>
                  </w:r>
                  <w:r>
                    <w:rPr>
                      <w:rFonts w:hint="eastAsia" w:cs="Times New Roman"/>
                      <w:bCs/>
                      <w:color w:val="auto"/>
                      <w:kern w:val="2"/>
                      <w:sz w:val="21"/>
                      <w:szCs w:val="21"/>
                      <w:highlight w:val="none"/>
                      <w:lang w:val="en-US" w:eastAsia="zh-CN" w:bidi="ar"/>
                    </w:rPr>
                    <w:t>不需要</w:t>
                  </w:r>
                  <w:r>
                    <w:rPr>
                      <w:rFonts w:hint="default" w:ascii="Times New Roman" w:hAnsi="Times New Roman" w:eastAsia="宋体" w:cs="Times New Roman"/>
                      <w:bCs/>
                      <w:color w:val="auto"/>
                      <w:kern w:val="2"/>
                      <w:sz w:val="21"/>
                      <w:szCs w:val="21"/>
                      <w:lang w:val="en-US" w:eastAsia="zh-CN" w:bidi="ar"/>
                    </w:rPr>
                    <w:t>建立门禁视频监控系统</w:t>
                  </w:r>
                  <w:r>
                    <w:rPr>
                      <w:rFonts w:hint="eastAsia" w:cs="Times New Roman"/>
                      <w:bCs/>
                      <w:color w:val="auto"/>
                      <w:kern w:val="2"/>
                      <w:sz w:val="21"/>
                      <w:szCs w:val="21"/>
                      <w:lang w:val="en-US" w:eastAsia="zh-CN" w:bidi="ar"/>
                    </w:rPr>
                    <w:t>，需安装车辆运输视频监控（数据保存6个月）并建立车辆运输手工台账。</w:t>
                  </w:r>
                </w:p>
              </w:tc>
              <w:tc>
                <w:tcPr>
                  <w:tcW w:w="437" w:type="pct"/>
                  <w:tcBorders>
                    <w:top w:val="single" w:color="auto" w:sz="4" w:space="0"/>
                    <w:left w:val="single" w:color="auto" w:sz="4" w:space="0"/>
                    <w:bottom w:val="single" w:color="auto" w:sz="4" w:space="0"/>
                    <w:right w:val="nil"/>
                  </w:tcBorders>
                  <w:noWrap w:val="0"/>
                  <w:vAlign w:val="center"/>
                </w:tcPr>
                <w:p w14:paraId="5DBB0C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Times New Roman" w:cs="Times New Roman"/>
                      <w:color w:val="auto"/>
                      <w:sz w:val="21"/>
                      <w:szCs w:val="21"/>
                    </w:rPr>
                    <w:t>相符</w:t>
                  </w:r>
                </w:p>
              </w:tc>
            </w:tr>
            <w:tr w14:paraId="248D3ED7">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5"/>
                  <w:tcBorders>
                    <w:top w:val="single" w:color="auto" w:sz="4" w:space="0"/>
                    <w:left w:val="nil"/>
                    <w:bottom w:val="single" w:color="auto" w:sz="4" w:space="0"/>
                    <w:right w:val="nil"/>
                  </w:tcBorders>
                  <w:noWrap w:val="0"/>
                  <w:vAlign w:val="center"/>
                </w:tcPr>
                <w:p w14:paraId="3CC9EA2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备注</w:t>
                  </w:r>
                  <w:r>
                    <w:rPr>
                      <w:rFonts w:hint="default" w:ascii="Times New Roman" w:hAnsi="Times New Roman" w:eastAsia="宋体" w:cs="Times New Roman"/>
                      <w:bCs/>
                      <w:color w:val="auto"/>
                      <w:kern w:val="2"/>
                      <w:sz w:val="21"/>
                      <w:szCs w:val="21"/>
                      <w:vertAlign w:val="superscript"/>
                      <w:lang w:val="en-US" w:eastAsia="zh-CN" w:bidi="ar"/>
                    </w:rPr>
                    <w:t>【1】</w:t>
                  </w:r>
                  <w:r>
                    <w:rPr>
                      <w:rFonts w:hint="default" w:ascii="Times New Roman" w:hAnsi="Times New Roman" w:eastAsia="宋体" w:cs="Times New Roman"/>
                      <w:bCs/>
                      <w:color w:val="auto"/>
                      <w:kern w:val="2"/>
                      <w:sz w:val="21"/>
                      <w:szCs w:val="21"/>
                      <w:lang w:val="en-US" w:eastAsia="zh-CN" w:bidi="ar"/>
                    </w:rPr>
                    <w:t>：使用再生料的企业是以再生塑料颗粒或其他企业废旧塑料为原料的企业，其中不包括利用自身边角料进行生产的企业。</w:t>
                  </w:r>
                </w:p>
                <w:p w14:paraId="2B758E6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备注</w:t>
                  </w:r>
                  <w:r>
                    <w:rPr>
                      <w:rFonts w:hint="default" w:ascii="Times New Roman" w:hAnsi="Times New Roman" w:eastAsia="宋体" w:cs="Times New Roman"/>
                      <w:bCs/>
                      <w:color w:val="auto"/>
                      <w:kern w:val="2"/>
                      <w:sz w:val="21"/>
                      <w:szCs w:val="21"/>
                      <w:vertAlign w:val="superscript"/>
                      <w:lang w:val="en-US" w:eastAsia="zh-CN" w:bidi="ar"/>
                    </w:rPr>
                    <w:t>【2】</w:t>
                  </w:r>
                  <w:r>
                    <w:rPr>
                      <w:rFonts w:hint="default" w:ascii="Times New Roman" w:hAnsi="Times New Roman" w:eastAsia="宋体" w:cs="Times New Roman"/>
                      <w:bCs/>
                      <w:color w:val="auto"/>
                      <w:kern w:val="2"/>
                      <w:sz w:val="21"/>
                      <w:szCs w:val="21"/>
                      <w:lang w:val="en-US" w:eastAsia="zh-CN" w:bidi="ar"/>
                    </w:rPr>
                    <w:t>：2021年3月1日后新建的燃气锅炉和需要采取特别保护措施的区域，执行该排放限值。</w:t>
                  </w:r>
                </w:p>
              </w:tc>
            </w:tr>
          </w:tbl>
          <w:p w14:paraId="583FA7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val="en-US" w:eastAsia="zh-CN"/>
              </w:rPr>
              <w:t>由上表可知，项目满足</w:t>
            </w:r>
            <w:r>
              <w:rPr>
                <w:rFonts w:hint="default" w:ascii="Times New Roman" w:hAnsi="Times New Roman" w:cs="Times New Roman" w:eastAsiaTheme="minorEastAsia"/>
                <w:bCs/>
                <w:color w:val="auto"/>
                <w:sz w:val="24"/>
                <w:szCs w:val="24"/>
                <w:highlight w:val="none"/>
              </w:rPr>
              <w:t>《河南省重污染天气</w:t>
            </w:r>
            <w:r>
              <w:rPr>
                <w:rFonts w:hint="default" w:ascii="Times New Roman" w:hAnsi="Times New Roman" w:cs="Times New Roman" w:eastAsiaTheme="minorEastAsia"/>
                <w:bCs/>
                <w:color w:val="auto"/>
                <w:sz w:val="24"/>
                <w:szCs w:val="24"/>
                <w:highlight w:val="none"/>
                <w:lang w:val="en-US" w:eastAsia="zh-CN"/>
              </w:rPr>
              <w:t>重点</w:t>
            </w:r>
            <w:r>
              <w:rPr>
                <w:rFonts w:hint="default" w:ascii="Times New Roman" w:hAnsi="Times New Roman" w:cs="Times New Roman" w:eastAsiaTheme="minorEastAsia"/>
                <w:bCs/>
                <w:color w:val="auto"/>
                <w:sz w:val="24"/>
                <w:szCs w:val="24"/>
                <w:highlight w:val="none"/>
              </w:rPr>
              <w:t>行业应急减排措施制定技术指南（202</w:t>
            </w:r>
            <w:r>
              <w:rPr>
                <w:rFonts w:hint="default" w:ascii="Times New Roman" w:hAnsi="Times New Roman" w:cs="Times New Roman" w:eastAsiaTheme="minorEastAsia"/>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年版）》</w:t>
            </w:r>
            <w:r>
              <w:rPr>
                <w:rFonts w:hint="default" w:ascii="Times New Roman" w:hAnsi="Times New Roman" w:cs="Times New Roman" w:eastAsiaTheme="minorEastAsia"/>
                <w:bCs/>
                <w:color w:val="auto"/>
                <w:sz w:val="24"/>
                <w:szCs w:val="24"/>
                <w:highlight w:val="none"/>
                <w:lang w:val="en-US" w:eastAsia="zh-CN"/>
              </w:rPr>
              <w:t>中塑料制品行业企业A级指标</w:t>
            </w:r>
            <w:r>
              <w:rPr>
                <w:rFonts w:hint="default" w:ascii="Times New Roman" w:hAnsi="Times New Roman" w:cs="Times New Roman" w:eastAsiaTheme="minorEastAsia"/>
                <w:bCs/>
                <w:color w:val="auto"/>
                <w:sz w:val="24"/>
                <w:szCs w:val="24"/>
                <w:highlight w:val="none"/>
              </w:rPr>
              <w:t>要求</w:t>
            </w:r>
            <w:r>
              <w:rPr>
                <w:rFonts w:hint="default" w:ascii="Times New Roman" w:hAnsi="Times New Roman" w:cs="Times New Roman" w:eastAsiaTheme="minorEastAsia"/>
                <w:bCs/>
                <w:color w:val="auto"/>
                <w:sz w:val="24"/>
                <w:szCs w:val="24"/>
                <w:highlight w:val="none"/>
                <w:lang w:eastAsia="zh-CN"/>
              </w:rPr>
              <w:t>。</w:t>
            </w:r>
          </w:p>
          <w:p w14:paraId="29968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szCs w:val="24"/>
                <w:highlight w:val="none"/>
              </w:rPr>
            </w:pPr>
            <w:r>
              <w:rPr>
                <w:rFonts w:hint="eastAsia" w:eastAsia="Times New Roman" w:cs="Times New Roman"/>
                <w:b/>
                <w:color w:val="auto"/>
                <w:sz w:val="24"/>
                <w:szCs w:val="24"/>
                <w:highlight w:val="none"/>
                <w:lang w:val="en-US" w:eastAsia="zh-CN"/>
              </w:rPr>
              <w:t>8</w:t>
            </w:r>
            <w:r>
              <w:rPr>
                <w:rFonts w:hint="default" w:ascii="Times New Roman" w:hAnsi="Times New Roman" w:eastAsia="Times New Roman" w:cs="Times New Roman"/>
                <w:b/>
                <w:color w:val="auto"/>
                <w:sz w:val="24"/>
                <w:szCs w:val="24"/>
                <w:highlight w:val="none"/>
                <w:lang w:val="en-US" w:eastAsia="zh-CN"/>
              </w:rPr>
              <w:t>.</w:t>
            </w:r>
            <w:r>
              <w:rPr>
                <w:rFonts w:hint="default" w:ascii="Times New Roman" w:hAnsi="Times New Roman" w:eastAsia="Times New Roman" w:cs="Times New Roman"/>
                <w:b/>
                <w:color w:val="auto"/>
                <w:sz w:val="24"/>
                <w:szCs w:val="24"/>
                <w:highlight w:val="none"/>
              </w:rPr>
              <w:t>饮用水水源保护区</w:t>
            </w:r>
          </w:p>
          <w:p w14:paraId="23349717">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1）汤阴县县级饮用水水源保护区</w:t>
            </w:r>
          </w:p>
          <w:p w14:paraId="6035D229">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汤阴县御前路中段地下水井群</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共6眼井</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w:t>
            </w:r>
          </w:p>
          <w:p w14:paraId="5CDEF4A8">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一级保护区范围：水厂厂区及外围200米、南至汤河、北至</w:t>
            </w:r>
            <w:r>
              <w:rPr>
                <w:rFonts w:hint="eastAsia" w:ascii="Times New Roman" w:hAnsi="Times New Roman" w:eastAsia="宋体"/>
                <w:color w:val="auto"/>
                <w:kern w:val="2"/>
                <w:sz w:val="24"/>
                <w:szCs w:val="24"/>
                <w:highlight w:val="none"/>
                <w:lang w:eastAsia="zh-CN"/>
              </w:rPr>
              <w:t>人合</w:t>
            </w:r>
            <w:r>
              <w:rPr>
                <w:rFonts w:hint="eastAsia" w:ascii="Times New Roman" w:hAnsi="Times New Roman" w:eastAsia="宋体"/>
                <w:color w:val="auto"/>
                <w:kern w:val="2"/>
                <w:sz w:val="24"/>
                <w:szCs w:val="24"/>
                <w:highlight w:val="none"/>
              </w:rPr>
              <w:t>路的区域。</w:t>
            </w:r>
          </w:p>
          <w:p w14:paraId="76D0E8B2">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经对比，项目不在汤阴县御前路中段地下水井群</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共6眼井</w:t>
            </w:r>
            <w:r>
              <w:rPr>
                <w:rFonts w:hint="eastAsia" w:ascii="Times New Roman" w:hAnsi="Times New Roman"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饮用水源保护区范围内。</w:t>
            </w:r>
          </w:p>
          <w:p w14:paraId="1F390CB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eastAsia="宋体"/>
                <w:color w:val="auto"/>
                <w:kern w:val="2"/>
                <w:sz w:val="24"/>
                <w:szCs w:val="24"/>
                <w:highlight w:val="none"/>
                <w:lang w:eastAsia="zh-CN"/>
              </w:rPr>
              <w:t>（</w:t>
            </w:r>
            <w:r>
              <w:rPr>
                <w:rFonts w:hint="eastAsia" w:ascii="Times New Roman" w:hAnsi="Times New Roman" w:eastAsia="宋体"/>
                <w:color w:val="auto"/>
                <w:kern w:val="2"/>
                <w:sz w:val="24"/>
                <w:szCs w:val="24"/>
                <w:highlight w:val="none"/>
              </w:rPr>
              <w:t>2）汤阴县乡镇集中式饮用水水源保护区</w:t>
            </w:r>
          </w:p>
          <w:p w14:paraId="02A9217A">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根据《河南省人民政府办公厅关于印发河南省乡镇集中式饮用水水源保护区划的通知》（豫政办</w:t>
            </w:r>
            <w:r>
              <w:rPr>
                <w:rFonts w:hint="eastAsia" w:ascii="Times New Roman" w:hAnsi="Times New Roman" w:eastAsia="宋体" w:cs="Times New Roman"/>
                <w:b w:val="0"/>
                <w:bCs/>
                <w:color w:val="auto"/>
                <w:sz w:val="24"/>
                <w:szCs w:val="24"/>
              </w:rPr>
              <w:t>〔20</w:t>
            </w:r>
            <w:r>
              <w:rPr>
                <w:rFonts w:hint="eastAsia" w:ascii="Times New Roman" w:hAnsi="Times New Roman" w:eastAsia="宋体" w:cs="Times New Roman"/>
                <w:b w:val="0"/>
                <w:bCs/>
                <w:color w:val="auto"/>
                <w:sz w:val="24"/>
                <w:szCs w:val="24"/>
                <w:lang w:val="en-US" w:eastAsia="zh-CN"/>
              </w:rPr>
              <w:t>16</w:t>
            </w:r>
            <w:r>
              <w:rPr>
                <w:rFonts w:hint="eastAsia" w:ascii="Times New Roman" w:hAnsi="Times New Roman" w:eastAsia="宋体" w:cs="Times New Roman"/>
                <w:b w:val="0"/>
                <w:bCs/>
                <w:color w:val="auto"/>
                <w:sz w:val="24"/>
                <w:szCs w:val="24"/>
              </w:rPr>
              <w:t>〕</w:t>
            </w:r>
            <w:r>
              <w:rPr>
                <w:rFonts w:hint="eastAsia" w:ascii="Times New Roman" w:hAnsi="Times New Roman" w:eastAsia="宋体"/>
                <w:color w:val="auto"/>
                <w:kern w:val="2"/>
                <w:sz w:val="24"/>
                <w:szCs w:val="24"/>
                <w:highlight w:val="none"/>
              </w:rPr>
              <w:t>23号）可知，汤阴县乡镇集中式饮用水源保护区如下：</w:t>
            </w:r>
          </w:p>
          <w:p w14:paraId="006C00A7">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①汤阴县古贤乡地下水井（共1眼井）</w:t>
            </w:r>
          </w:p>
          <w:p w14:paraId="795FB95C">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一级保护区范围：水管站内及外围东12米、北60米、西49米、南29米的区域。</w:t>
            </w:r>
          </w:p>
          <w:p w14:paraId="5B9A50C0">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②汤阴县菜园镇地下水井（共1眼井）</w:t>
            </w:r>
          </w:p>
          <w:p w14:paraId="0C624455">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一级保护区范围：水厂厂区及外围东30米、西23米、南32米、北33米的区域。</w:t>
            </w:r>
          </w:p>
          <w:p w14:paraId="5C98097D">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③汤阴县任固镇地下水井群（共2眼井）</w:t>
            </w:r>
          </w:p>
          <w:p w14:paraId="045BCFB4">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一级保护区范围：水厂厂区及外围东10米、西16米、南18米、北11米的区域。</w:t>
            </w:r>
          </w:p>
          <w:p w14:paraId="63EC2797">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④汤阴县五陵镇地下水井（共1眼井）</w:t>
            </w:r>
          </w:p>
          <w:p w14:paraId="448BEA21">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一级保护区范围：水厂厂区及外围西11米、南20米的区域。</w:t>
            </w:r>
          </w:p>
          <w:p w14:paraId="0A5FEABF">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⑤汤阴县瓦岗乡地下水井群（共3眼井）</w:t>
            </w:r>
          </w:p>
          <w:p w14:paraId="2469CFD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一级保护区范围：水厂厂区及外围东8米、西60米、南58米的区域。</w:t>
            </w:r>
          </w:p>
          <w:p w14:paraId="3292BD74">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⑥汤阴县伏道镇地下水井（共1眼井）</w:t>
            </w:r>
          </w:p>
          <w:p w14:paraId="2D7EA03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一级保护区范围：水厂厂区及外围东6米、西24米、南15米的区域。</w:t>
            </w:r>
          </w:p>
          <w:p w14:paraId="1C96BEE1">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⑦</w:t>
            </w:r>
            <w:bookmarkStart w:id="3" w:name="OLE_LINK16"/>
            <w:r>
              <w:rPr>
                <w:rFonts w:hint="eastAsia" w:ascii="Times New Roman" w:hAnsi="Times New Roman" w:eastAsia="宋体"/>
                <w:color w:val="auto"/>
                <w:kern w:val="2"/>
                <w:sz w:val="24"/>
                <w:szCs w:val="24"/>
                <w:highlight w:val="none"/>
              </w:rPr>
              <w:t>汤阴县白营镇地下水井（共1眼井）</w:t>
            </w:r>
            <w:bookmarkEnd w:id="3"/>
          </w:p>
          <w:p w14:paraId="7BC4D951">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一级保护区范围：取水井外围30米的区域。</w:t>
            </w:r>
          </w:p>
          <w:p w14:paraId="4CF73B3E">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二级保护区范围：一级保护区外围300米的区域。</w:t>
            </w:r>
          </w:p>
          <w:p w14:paraId="0F3FBAE2">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⑧汤阴县宜沟镇地下水井群（共2眼井）</w:t>
            </w:r>
          </w:p>
          <w:p w14:paraId="11CF91F3">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一级保护区范围：井群外包线内及外围30米的区域。</w:t>
            </w:r>
          </w:p>
          <w:p w14:paraId="46FA388B">
            <w:pPr>
              <w:pStyle w:val="8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二级保护区范围：一级保护区外围300米的区域。</w:t>
            </w:r>
          </w:p>
          <w:p w14:paraId="51B4D264">
            <w:pPr>
              <w:keepNext w:val="0"/>
              <w:keepLines w:val="0"/>
              <w:suppressLineNumbers w:val="0"/>
              <w:tabs>
                <w:tab w:val="left" w:pos="7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距离项目最近的乡镇集中式饮用水水源</w:t>
            </w:r>
            <w:r>
              <w:rPr>
                <w:rFonts w:hint="default" w:ascii="Times New Roman" w:hAnsi="Times New Roman" w:eastAsia="Times New Roman" w:cs="Times New Roman"/>
                <w:color w:val="auto"/>
                <w:sz w:val="24"/>
                <w:szCs w:val="24"/>
                <w:highlight w:val="none"/>
                <w:lang w:eastAsia="zh-CN"/>
              </w:rPr>
              <w:t>为</w:t>
            </w:r>
            <w:r>
              <w:rPr>
                <w:rFonts w:hint="eastAsia" w:ascii="Times New Roman" w:hAnsi="Times New Roman" w:eastAsia="Times New Roman" w:cs="Times New Roman"/>
                <w:color w:val="auto"/>
                <w:sz w:val="24"/>
                <w:szCs w:val="24"/>
                <w:highlight w:val="none"/>
                <w:lang w:eastAsia="zh-CN"/>
              </w:rPr>
              <w:t>东侧</w:t>
            </w:r>
            <w:r>
              <w:rPr>
                <w:rFonts w:hint="default" w:ascii="Times New Roman" w:hAnsi="Times New Roman" w:eastAsia="Times New Roman" w:cs="Times New Roman"/>
                <w:color w:val="auto"/>
                <w:sz w:val="24"/>
                <w:szCs w:val="24"/>
                <w:highlight w:val="none"/>
                <w:lang w:eastAsia="zh-CN"/>
              </w:rPr>
              <w:t>的</w:t>
            </w:r>
            <w:r>
              <w:rPr>
                <w:rFonts w:hint="eastAsia" w:eastAsia="Times New Roman" w:cs="Times New Roman"/>
                <w:color w:val="auto"/>
                <w:sz w:val="24"/>
                <w:szCs w:val="24"/>
                <w:highlight w:val="none"/>
                <w:lang w:eastAsia="zh-CN"/>
              </w:rPr>
              <w:t>古贤镇</w:t>
            </w:r>
            <w:r>
              <w:rPr>
                <w:rFonts w:hint="default" w:ascii="Times New Roman" w:hAnsi="Times New Roman" w:eastAsia="Times New Roman" w:cs="Times New Roman"/>
                <w:color w:val="auto"/>
                <w:sz w:val="24"/>
                <w:szCs w:val="24"/>
                <w:highlight w:val="none"/>
                <w:lang w:eastAsia="zh-CN"/>
              </w:rPr>
              <w:t>饮用水水源，距离</w:t>
            </w:r>
            <w:r>
              <w:rPr>
                <w:rFonts w:hint="default" w:ascii="Times New Roman" w:hAnsi="Times New Roman" w:eastAsia="Times New Roman" w:cs="Times New Roman"/>
                <w:bCs/>
                <w:color w:val="auto"/>
                <w:sz w:val="24"/>
                <w:szCs w:val="24"/>
                <w:highlight w:val="none"/>
              </w:rPr>
              <w:t>约</w:t>
            </w:r>
            <w:r>
              <w:rPr>
                <w:rFonts w:hint="eastAsia" w:ascii="Times New Roman" w:hAnsi="Times New Roman" w:eastAsia="Times New Roman" w:cs="Times New Roman"/>
                <w:bCs/>
                <w:color w:val="auto"/>
                <w:sz w:val="24"/>
                <w:szCs w:val="24"/>
                <w:highlight w:val="none"/>
                <w:lang w:val="en-US" w:eastAsia="zh-CN"/>
              </w:rPr>
              <w:t>1188</w:t>
            </w:r>
            <w:r>
              <w:rPr>
                <w:rFonts w:hint="default" w:ascii="Times New Roman" w:hAnsi="Times New Roman" w:eastAsia="Times New Roman" w:cs="Times New Roman"/>
                <w:color w:val="auto"/>
                <w:sz w:val="24"/>
                <w:szCs w:val="24"/>
                <w:highlight w:val="none"/>
              </w:rPr>
              <w:t>米，不在其饮用水保护区范围内。</w:t>
            </w:r>
          </w:p>
          <w:p w14:paraId="67A28241">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val="0"/>
                <w:bCs w:val="0"/>
                <w:color w:val="auto"/>
                <w:sz w:val="24"/>
                <w:szCs w:val="24"/>
                <w:highlight w:val="none"/>
              </w:rPr>
            </w:pPr>
            <w:r>
              <w:rPr>
                <w:rFonts w:hint="eastAsia" w:eastAsia="宋体"/>
                <w:b w:val="0"/>
                <w:bCs w:val="0"/>
                <w:color w:val="auto"/>
                <w:kern w:val="2"/>
                <w:sz w:val="24"/>
                <w:szCs w:val="24"/>
                <w:highlight w:val="none"/>
                <w:lang w:eastAsia="zh-CN"/>
              </w:rPr>
              <w:t>（</w:t>
            </w:r>
            <w:r>
              <w:rPr>
                <w:rFonts w:hint="eastAsia" w:eastAsia="宋体"/>
                <w:b w:val="0"/>
                <w:bCs w:val="0"/>
                <w:color w:val="auto"/>
                <w:kern w:val="2"/>
                <w:sz w:val="24"/>
                <w:szCs w:val="24"/>
                <w:highlight w:val="none"/>
                <w:lang w:val="en-US" w:eastAsia="zh-CN"/>
              </w:rPr>
              <w:t>3</w:t>
            </w:r>
            <w:r>
              <w:rPr>
                <w:rFonts w:hint="eastAsia" w:ascii="Times New Roman" w:hAnsi="Times New Roman" w:eastAsia="宋体"/>
                <w:b w:val="0"/>
                <w:bCs w:val="0"/>
                <w:color w:val="auto"/>
                <w:kern w:val="2"/>
                <w:sz w:val="24"/>
                <w:szCs w:val="24"/>
                <w:highlight w:val="none"/>
              </w:rPr>
              <w:t>）</w:t>
            </w:r>
            <w:r>
              <w:rPr>
                <w:rFonts w:hint="default" w:ascii="Times New Roman" w:hAnsi="Times New Roman" w:eastAsia="Times New Roman" w:cs="Times New Roman"/>
                <w:b w:val="0"/>
                <w:bCs w:val="0"/>
                <w:color w:val="auto"/>
                <w:sz w:val="24"/>
                <w:szCs w:val="24"/>
                <w:highlight w:val="none"/>
              </w:rPr>
              <w:t>南水北调饮用水水源保护区</w:t>
            </w:r>
          </w:p>
          <w:p w14:paraId="56AEBF1F">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根据《河南省南水北调中线工程建设领导小组办公室 河南省环境保护厅 河南省水利厅 河南省国土资源厅关于印发南水北调中线一期工程总干渠（河南段）两侧饮用水水源保护区划定的通知》（豫调办</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2018</w:t>
            </w:r>
            <w:r>
              <w:rPr>
                <w:rFonts w:hint="eastAsia" w:eastAsia="宋体"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rPr>
              <w:t>56号），南水北调中线一期工程总干渠在河南省境内的工程类型分为建筑物段和总干渠明渠段。</w:t>
            </w:r>
          </w:p>
          <w:p w14:paraId="6D993A1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（一）建筑物段（渡槽、倒虹吸、暗涵、涵洞）</w:t>
            </w:r>
          </w:p>
          <w:p w14:paraId="1A1B2BD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一级保护区范围自总干渠管理范围边线（防护栏网）外延50米，不设二级保护区。</w:t>
            </w:r>
          </w:p>
          <w:p w14:paraId="2596D92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（二）总干渠明渠段</w:t>
            </w:r>
          </w:p>
          <w:p w14:paraId="40C81D4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根据地下水水位与总干渠渠底高程的关系，分为以下几种类型：</w:t>
            </w:r>
          </w:p>
          <w:p w14:paraId="1D7FC14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1、地下水水位低于总干渠渠底的渠段</w:t>
            </w:r>
          </w:p>
          <w:p w14:paraId="450B6B9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一级保护区范围自总干渠管理范围边线（防护栏网）外延50米；二级保护区范围自一级保护区边线外延150米。</w:t>
            </w:r>
          </w:p>
          <w:p w14:paraId="5BD593B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2、地下水水位高于总干渠渠底的渠段</w:t>
            </w:r>
          </w:p>
          <w:p w14:paraId="290F41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(1)微~弱透水性地层</w:t>
            </w:r>
          </w:p>
          <w:p w14:paraId="64BF728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一级保护区范围自总干渠管理范围边线（防护栏网）外延50米；二级保护区范围自一级保护区边线外延500米。</w:t>
            </w:r>
          </w:p>
          <w:p w14:paraId="71D1DB78">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(2)弱~中透水性地层</w:t>
            </w:r>
          </w:p>
          <w:p w14:paraId="3903E09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一级保护区范围自总干渠管理范围边线（防护栏网）外延100米；二级保护区范围自一级保护区边线外延1000米。</w:t>
            </w:r>
          </w:p>
          <w:p w14:paraId="254AA9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(3)强透水性地层</w:t>
            </w:r>
          </w:p>
          <w:p w14:paraId="34C1A098">
            <w:pPr>
              <w:keepNext w:val="0"/>
              <w:keepLines w:val="0"/>
              <w:suppressLineNumbers w:val="0"/>
              <w:tabs>
                <w:tab w:val="left" w:pos="7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一级保护区范围自总干渠管理范围边线（防护栏网）外延200米；二级保护区范围自一级保护区边线外延2000米、1500米。</w:t>
            </w:r>
          </w:p>
          <w:p w14:paraId="4BB0A7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本项目位于汤阴县</w:t>
            </w:r>
            <w:r>
              <w:rPr>
                <w:rFonts w:hint="eastAsia" w:eastAsia="Times New Roman" w:cs="Times New Roman"/>
                <w:color w:val="auto"/>
                <w:kern w:val="0"/>
                <w:sz w:val="24"/>
                <w:szCs w:val="24"/>
                <w:highlight w:val="none"/>
                <w:lang w:eastAsia="zh-CN"/>
              </w:rPr>
              <w:t>古贤镇</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sz w:val="24"/>
                <w:szCs w:val="24"/>
                <w:highlight w:val="none"/>
              </w:rPr>
              <w:t>向西距离南水北调中线工程</w:t>
            </w:r>
            <w:r>
              <w:rPr>
                <w:rFonts w:hint="eastAsia" w:eastAsia="宋体" w:cs="Times New Roman"/>
                <w:color w:val="auto"/>
                <w:sz w:val="24"/>
                <w:szCs w:val="24"/>
                <w:highlight w:val="none"/>
                <w:lang w:eastAsia="zh-CN"/>
              </w:rPr>
              <w:t>约</w:t>
            </w:r>
            <w:r>
              <w:rPr>
                <w:rFonts w:hint="eastAsia" w:eastAsia="宋体" w:cs="Times New Roman"/>
                <w:color w:val="auto"/>
                <w:sz w:val="24"/>
                <w:szCs w:val="24"/>
                <w:highlight w:val="none"/>
                <w:lang w:val="en-US" w:eastAsia="zh-CN"/>
              </w:rPr>
              <w:t>11</w:t>
            </w:r>
            <w:r>
              <w:rPr>
                <w:rFonts w:hint="eastAsia" w:eastAsia="Times New Roman" w:cs="Times New Roman"/>
                <w:b w:val="0"/>
                <w:bCs w:val="0"/>
                <w:color w:val="auto"/>
                <w:sz w:val="24"/>
                <w:szCs w:val="24"/>
                <w:highlight w:val="none"/>
                <w:u w:val="none"/>
                <w:lang w:val="en-US" w:eastAsia="zh-CN"/>
              </w:rPr>
              <w:t>k</w:t>
            </w:r>
            <w:r>
              <w:rPr>
                <w:rFonts w:hint="default" w:ascii="Times New Roman" w:hAnsi="Times New Roman" w:eastAsia="Times New Roman" w:cs="Times New Roman"/>
                <w:b w:val="0"/>
                <w:bCs w:val="0"/>
                <w:color w:val="auto"/>
                <w:sz w:val="24"/>
                <w:szCs w:val="24"/>
                <w:highlight w:val="none"/>
                <w:u w:val="none"/>
              </w:rPr>
              <w:t>m</w:t>
            </w:r>
            <w:r>
              <w:rPr>
                <w:rFonts w:hint="default" w:ascii="Times New Roman" w:hAnsi="Times New Roman" w:eastAsia="Times New Roman" w:cs="Times New Roman"/>
                <w:color w:val="auto"/>
                <w:sz w:val="24"/>
                <w:szCs w:val="24"/>
                <w:highlight w:val="none"/>
              </w:rPr>
              <w:t>，不在其一级保护区和二级保护区范围内。</w:t>
            </w:r>
          </w:p>
          <w:p w14:paraId="77AF52A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b/>
                <w:bCs/>
                <w:color w:val="auto"/>
                <w:kern w:val="2"/>
                <w:sz w:val="24"/>
                <w:szCs w:val="24"/>
                <w:highlight w:val="none"/>
              </w:rPr>
            </w:pPr>
            <w:r>
              <w:rPr>
                <w:rFonts w:hint="eastAsia" w:cs="Times New Roman"/>
                <w:b/>
                <w:bCs/>
                <w:color w:val="auto"/>
                <w:kern w:val="0"/>
                <w:sz w:val="24"/>
                <w:szCs w:val="24"/>
                <w:lang w:val="en-US" w:eastAsia="zh-CN" w:bidi="ar"/>
              </w:rPr>
              <w:t>9</w:t>
            </w:r>
            <w:r>
              <w:rPr>
                <w:rFonts w:hint="eastAsia" w:ascii="Times New Roman" w:hAnsi="Times New Roman" w:eastAsia="宋体" w:cs="Times New Roman"/>
                <w:b/>
                <w:bCs/>
                <w:color w:val="auto"/>
                <w:kern w:val="0"/>
                <w:sz w:val="24"/>
                <w:szCs w:val="24"/>
                <w:lang w:val="en-US" w:eastAsia="zh-CN" w:bidi="ar"/>
              </w:rPr>
              <w:t>.</w:t>
            </w:r>
            <w:r>
              <w:rPr>
                <w:rFonts w:hint="default" w:ascii="Times New Roman" w:hAnsi="Times New Roman" w:eastAsia="宋体" w:cs="Times New Roman"/>
                <w:b/>
                <w:bCs/>
                <w:color w:val="auto"/>
                <w:kern w:val="2"/>
                <w:sz w:val="24"/>
                <w:szCs w:val="24"/>
                <w:highlight w:val="none"/>
                <w:lang w:val="en-US" w:eastAsia="zh-CN" w:bidi="ar"/>
              </w:rPr>
              <w:t>本项目与安环委〔202</w:t>
            </w:r>
            <w:r>
              <w:rPr>
                <w:rFonts w:hint="eastAsia" w:ascii="Times New Roman" w:hAnsi="Times New Roman" w:eastAsia="宋体" w:cs="Times New Roman"/>
                <w:b/>
                <w:bCs/>
                <w:color w:val="auto"/>
                <w:kern w:val="2"/>
                <w:sz w:val="24"/>
                <w:szCs w:val="24"/>
                <w:highlight w:val="none"/>
                <w:lang w:val="en-US" w:eastAsia="zh-CN" w:bidi="ar"/>
              </w:rPr>
              <w:t>6</w:t>
            </w:r>
            <w:r>
              <w:rPr>
                <w:rFonts w:hint="default" w:ascii="Times New Roman" w:hAnsi="Times New Roman" w:eastAsia="宋体" w:cs="Times New Roman"/>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1</w:t>
            </w:r>
            <w:r>
              <w:rPr>
                <w:rFonts w:hint="default" w:ascii="Times New Roman" w:hAnsi="Times New Roman" w:eastAsia="宋体" w:cs="Times New Roman"/>
                <w:b/>
                <w:bCs/>
                <w:color w:val="auto"/>
                <w:kern w:val="2"/>
                <w:sz w:val="24"/>
                <w:szCs w:val="24"/>
                <w:highlight w:val="none"/>
                <w:lang w:val="en-US" w:eastAsia="zh-CN" w:bidi="ar"/>
              </w:rPr>
              <w:t>号符合性分析</w:t>
            </w:r>
          </w:p>
          <w:p w14:paraId="25C210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2026年4月20日，安阳市生态环境保护委员会印发了安阳市生态环境保护委员会关于印发《安阳市2026年大气污染防治攻坚行动方案》《安阳市2026年碧水保卫战实施方案》《安阳市2026年净土保卫战实施方案》《安阳市2026年柴油货车污染治理攻坚战实施方案》的通知（安环委〔2026〕1号），本项目与其相符性分析如下表：</w:t>
            </w:r>
          </w:p>
          <w:p w14:paraId="7118C2F2">
            <w:pPr>
              <w:pStyle w:val="9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textAlignment w:val="auto"/>
              <w:rPr>
                <w:rFonts w:hint="default" w:ascii="Times New Roman" w:hAnsi="Times New Roman" w:eastAsia="宋体" w:cs="Times New Roman"/>
                <w:b/>
                <w:color w:val="auto"/>
                <w:sz w:val="21"/>
                <w:highlight w:val="none"/>
                <w:lang w:val="en-US" w:eastAsia="zh-CN"/>
              </w:rPr>
            </w:pPr>
            <w:r>
              <w:rPr>
                <w:rFonts w:hint="default" w:ascii="Times New Roman" w:hAnsi="Times New Roman" w:eastAsia="宋体" w:cs="Times New Roman"/>
                <w:b/>
                <w:color w:val="auto"/>
                <w:sz w:val="21"/>
                <w:highlight w:val="none"/>
                <w:lang w:val="en-US" w:eastAsia="zh-CN"/>
              </w:rPr>
              <w:t>本项目与安环委〔202</w:t>
            </w:r>
            <w:r>
              <w:rPr>
                <w:rFonts w:hint="eastAsia" w:ascii="Times New Roman" w:hAnsi="Times New Roman" w:cs="Times New Roman"/>
                <w:b/>
                <w:color w:val="auto"/>
                <w:sz w:val="21"/>
                <w:highlight w:val="none"/>
                <w:lang w:val="en-US" w:eastAsia="zh-CN"/>
              </w:rPr>
              <w:t>6</w:t>
            </w:r>
            <w:r>
              <w:rPr>
                <w:rFonts w:hint="default" w:ascii="Times New Roman" w:hAnsi="Times New Roman" w:eastAsia="宋体" w:cs="Times New Roman"/>
                <w:b/>
                <w:color w:val="auto"/>
                <w:sz w:val="21"/>
                <w:highlight w:val="none"/>
                <w:lang w:val="en-US" w:eastAsia="zh-CN"/>
              </w:rPr>
              <w:t>〕</w:t>
            </w:r>
            <w:r>
              <w:rPr>
                <w:rFonts w:hint="eastAsia" w:ascii="Times New Roman" w:hAnsi="Times New Roman" w:cs="Times New Roman"/>
                <w:b/>
                <w:color w:val="auto"/>
                <w:sz w:val="21"/>
                <w:highlight w:val="none"/>
                <w:lang w:val="en-US" w:eastAsia="zh-CN"/>
              </w:rPr>
              <w:t>1</w:t>
            </w:r>
            <w:r>
              <w:rPr>
                <w:rFonts w:hint="default" w:ascii="Times New Roman" w:hAnsi="Times New Roman" w:eastAsia="宋体" w:cs="Times New Roman"/>
                <w:b/>
                <w:color w:val="auto"/>
                <w:sz w:val="21"/>
                <w:highlight w:val="none"/>
                <w:lang w:val="en-US" w:eastAsia="zh-CN"/>
              </w:rPr>
              <w:t>号符合性分析</w:t>
            </w:r>
          </w:p>
          <w:tbl>
            <w:tblPr>
              <w:tblStyle w:val="26"/>
              <w:tblW w:w="4997"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68" w:type="dxa"/>
                <w:bottom w:w="0" w:type="dxa"/>
                <w:right w:w="68" w:type="dxa"/>
              </w:tblCellMar>
            </w:tblPr>
            <w:tblGrid>
              <w:gridCol w:w="1140"/>
              <w:gridCol w:w="3833"/>
              <w:gridCol w:w="2114"/>
              <w:gridCol w:w="746"/>
            </w:tblGrid>
            <w:tr w14:paraId="0D86511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614" w:hRule="atLeast"/>
                <w:jc w:val="center"/>
              </w:trPr>
              <w:tc>
                <w:tcPr>
                  <w:tcW w:w="728" w:type="pct"/>
                  <w:tcBorders>
                    <w:top w:val="single" w:color="auto" w:sz="12" w:space="0"/>
                    <w:left w:val="nil"/>
                    <w:bottom w:val="single" w:color="auto" w:sz="4" w:space="0"/>
                    <w:right w:val="single" w:color="auto" w:sz="4" w:space="0"/>
                  </w:tcBorders>
                  <w:noWrap w:val="0"/>
                  <w:vAlign w:val="center"/>
                </w:tcPr>
                <w:p w14:paraId="5143FDFE">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类别</w:t>
                  </w:r>
                </w:p>
              </w:tc>
              <w:tc>
                <w:tcPr>
                  <w:tcW w:w="2446" w:type="pct"/>
                  <w:tcBorders>
                    <w:top w:val="single" w:color="auto" w:sz="12" w:space="0"/>
                    <w:left w:val="nil"/>
                    <w:bottom w:val="single" w:color="auto" w:sz="4" w:space="0"/>
                    <w:right w:val="single" w:color="auto" w:sz="4" w:space="0"/>
                  </w:tcBorders>
                  <w:noWrap w:val="0"/>
                  <w:vAlign w:val="center"/>
                </w:tcPr>
                <w:p w14:paraId="3A36B38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详细要求</w:t>
                  </w:r>
                </w:p>
              </w:tc>
              <w:tc>
                <w:tcPr>
                  <w:tcW w:w="1349" w:type="pct"/>
                  <w:tcBorders>
                    <w:top w:val="single" w:color="auto" w:sz="12" w:space="0"/>
                    <w:left w:val="nil"/>
                    <w:bottom w:val="single" w:color="auto" w:sz="4" w:space="0"/>
                    <w:right w:val="single" w:color="auto" w:sz="4" w:space="0"/>
                  </w:tcBorders>
                  <w:noWrap w:val="0"/>
                  <w:vAlign w:val="center"/>
                </w:tcPr>
                <w:p w14:paraId="4760F488">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本项目情况</w:t>
                  </w:r>
                </w:p>
              </w:tc>
              <w:tc>
                <w:tcPr>
                  <w:tcW w:w="476" w:type="pct"/>
                  <w:tcBorders>
                    <w:top w:val="single" w:color="auto" w:sz="12" w:space="0"/>
                    <w:left w:val="nil"/>
                    <w:bottom w:val="single" w:color="auto" w:sz="4" w:space="0"/>
                    <w:right w:val="nil"/>
                  </w:tcBorders>
                  <w:noWrap w:val="0"/>
                  <w:vAlign w:val="center"/>
                </w:tcPr>
                <w:p w14:paraId="569621C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相符性</w:t>
                  </w:r>
                </w:p>
              </w:tc>
            </w:tr>
            <w:tr w14:paraId="5579521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restart"/>
                  <w:tcBorders>
                    <w:top w:val="nil"/>
                    <w:left w:val="nil"/>
                    <w:bottom w:val="single" w:color="auto" w:sz="4" w:space="0"/>
                    <w:right w:val="single" w:color="auto" w:sz="4" w:space="0"/>
                  </w:tcBorders>
                  <w:noWrap w:val="0"/>
                  <w:vAlign w:val="center"/>
                </w:tcPr>
                <w:p w14:paraId="0D4874AD">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年大气污染防治攻坚行动方案</w:t>
                  </w:r>
                </w:p>
              </w:tc>
              <w:tc>
                <w:tcPr>
                  <w:tcW w:w="2446" w:type="pct"/>
                  <w:tcBorders>
                    <w:top w:val="single" w:color="auto" w:sz="4" w:space="0"/>
                    <w:left w:val="nil"/>
                    <w:bottom w:val="single" w:color="auto" w:sz="4" w:space="0"/>
                    <w:right w:val="single" w:color="auto" w:sz="4" w:space="0"/>
                  </w:tcBorders>
                  <w:noWrap w:val="0"/>
                  <w:vAlign w:val="center"/>
                </w:tcPr>
                <w:p w14:paraId="30C10977">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rPr>
                  </w:pPr>
                  <w:r>
                    <w:rPr>
                      <w:rFonts w:hint="eastAsia" w:ascii="Times New Roman" w:hAnsi="Times New Roman" w:eastAsia="宋体" w:cs="Times New Roman"/>
                      <w:b w:val="0"/>
                      <w:bCs w:val="0"/>
                      <w:color w:val="auto"/>
                      <w:kern w:val="0"/>
                      <w:sz w:val="21"/>
                      <w:szCs w:val="21"/>
                      <w:lang w:val="en-US" w:eastAsia="zh-CN" w:bidi="ar"/>
                    </w:rPr>
                    <w:t>9</w:t>
                  </w:r>
                  <w:r>
                    <w:rPr>
                      <w:rFonts w:hint="eastAsia" w:ascii="Times New Roman" w:hAnsi="Times New Roman" w:cs="Times New Roman"/>
                      <w:b w:val="0"/>
                      <w:bCs w:val="0"/>
                      <w:color w:val="auto"/>
                      <w:kern w:val="0"/>
                      <w:sz w:val="21"/>
                      <w:szCs w:val="21"/>
                      <w:lang w:val="en-US" w:eastAsia="zh-CN" w:bidi="ar"/>
                    </w:rPr>
                    <w:t>、</w:t>
                  </w:r>
                  <w:r>
                    <w:rPr>
                      <w:rFonts w:hint="eastAsia" w:ascii="Times New Roman" w:hAnsi="Times New Roman" w:eastAsia="宋体" w:cs="Times New Roman"/>
                      <w:b w:val="0"/>
                      <w:bCs w:val="0"/>
                      <w:color w:val="auto"/>
                      <w:kern w:val="0"/>
                      <w:sz w:val="21"/>
                      <w:szCs w:val="21"/>
                      <w:lang w:val="en-US" w:eastAsia="zh-CN" w:bidi="ar"/>
                    </w:rPr>
                    <w:t>提升重点行业清洁运输比例。推动重点行业大宗货物长距离运输优先使用铁路、管道，短距离运输使用封闭皮带通廊、新能源车等清洁运输方式</w:t>
                  </w:r>
                  <w:r>
                    <w:rPr>
                      <w:rFonts w:hint="eastAsia" w:ascii="Times New Roman" w:hAnsi="Times New Roman" w:cs="Times New Roman"/>
                      <w:b w:val="0"/>
                      <w:bCs w:val="0"/>
                      <w:color w:val="auto"/>
                      <w:kern w:val="0"/>
                      <w:sz w:val="21"/>
                      <w:szCs w:val="21"/>
                      <w:lang w:val="en-US" w:eastAsia="zh-CN" w:bidi="ar"/>
                    </w:rPr>
                    <w:t>；</w:t>
                  </w:r>
                  <w:r>
                    <w:rPr>
                      <w:rFonts w:hint="eastAsia" w:ascii="Times New Roman" w:hAnsi="Times New Roman" w:eastAsia="宋体" w:cs="Times New Roman"/>
                      <w:b w:val="0"/>
                      <w:bCs w:val="0"/>
                      <w:color w:val="auto"/>
                      <w:kern w:val="0"/>
                      <w:sz w:val="21"/>
                      <w:szCs w:val="21"/>
                      <w:lang w:val="en-US" w:eastAsia="zh-CN" w:bidi="ar"/>
                    </w:rPr>
                    <w:t>新、改、扩建项目原则上采用清洁运输方式。建立重点行业企业清洁运输比例提升清单台账，2026年全市火电、钢铁、煤炭、焦化、有色、水泥、化工、砂石骨料等行业大宗货物清洁运输比例稳定达到85%以上。货运车辆禁行区内的安钢股份、大唐安阳、沙钢永兴、安钢永通、鑫源铸业、城发环保(安阳)、岷山环能、安彩光热、安彩光伏、安阳卷烟厂、安钢冷轧等重点企业清洁运输比例力争达到90%。全市A级、B级、绩效引领企业清洁运输比例力争达到90%以上。</w:t>
                  </w:r>
                </w:p>
              </w:tc>
              <w:tc>
                <w:tcPr>
                  <w:tcW w:w="1349" w:type="pct"/>
                  <w:tcBorders>
                    <w:top w:val="single" w:color="auto" w:sz="4" w:space="0"/>
                    <w:left w:val="nil"/>
                    <w:bottom w:val="single" w:color="auto" w:sz="4" w:space="0"/>
                    <w:right w:val="single" w:color="auto" w:sz="4" w:space="0"/>
                  </w:tcBorders>
                  <w:noWrap w:val="0"/>
                  <w:vAlign w:val="center"/>
                </w:tcPr>
                <w:p w14:paraId="62C05BF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本项目不属于重点行业，原则上采用清洁运输方式。</w:t>
                  </w:r>
                </w:p>
              </w:tc>
              <w:tc>
                <w:tcPr>
                  <w:tcW w:w="476" w:type="pct"/>
                  <w:tcBorders>
                    <w:top w:val="single" w:color="auto" w:sz="4" w:space="0"/>
                    <w:left w:val="nil"/>
                    <w:bottom w:val="single" w:color="auto" w:sz="4" w:space="0"/>
                    <w:right w:val="nil"/>
                  </w:tcBorders>
                  <w:noWrap w:val="0"/>
                  <w:vAlign w:val="center"/>
                </w:tcPr>
                <w:p w14:paraId="5E2F6CB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4686963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left w:val="nil"/>
                    <w:right w:val="single" w:color="auto" w:sz="4" w:space="0"/>
                  </w:tcBorders>
                  <w:noWrap w:val="0"/>
                  <w:vAlign w:val="center"/>
                </w:tcPr>
                <w:p w14:paraId="565C7D0E">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2446" w:type="pct"/>
                  <w:tcBorders>
                    <w:top w:val="single" w:color="auto" w:sz="4" w:space="0"/>
                    <w:left w:val="nil"/>
                    <w:bottom w:val="single" w:color="auto" w:sz="4" w:space="0"/>
                    <w:right w:val="single" w:color="auto" w:sz="4" w:space="0"/>
                  </w:tcBorders>
                  <w:noWrap w:val="0"/>
                  <w:vAlign w:val="center"/>
                </w:tcPr>
                <w:p w14:paraId="6E6FB690">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eastAsia="宋体" w:cs="Times New Roman"/>
                      <w:b w:val="0"/>
                      <w:bCs w:val="0"/>
                      <w:color w:val="auto"/>
                      <w:kern w:val="0"/>
                      <w:sz w:val="21"/>
                      <w:szCs w:val="21"/>
                      <w:lang w:val="en-US" w:eastAsia="zh-CN" w:bidi="ar"/>
                    </w:rPr>
                  </w:pPr>
                  <w:r>
                    <w:rPr>
                      <w:rFonts w:hint="eastAsia" w:ascii="Times New Roman" w:hAnsi="Times New Roman" w:eastAsia="宋体" w:cs="Times New Roman"/>
                      <w:b w:val="0"/>
                      <w:bCs w:val="0"/>
                      <w:color w:val="auto"/>
                      <w:kern w:val="0"/>
                      <w:sz w:val="21"/>
                      <w:szCs w:val="21"/>
                      <w:lang w:val="en-US" w:eastAsia="zh-CN" w:bidi="ar"/>
                    </w:rPr>
                    <w:t>11.加快淘汰老旧车辆。加快淘汰国四及以下排放标准货车。严格执行机动车强制报废标准规定，符合强制报废情形的交报废机动车回收企业按规定回收拆解。对企业内部货运车辆全面排查，严禁使用应强制报废、未通过定期排放检验、无号牌的高排放燃油燃气车辆。</w:t>
                  </w:r>
                </w:p>
              </w:tc>
              <w:tc>
                <w:tcPr>
                  <w:tcW w:w="1349" w:type="pct"/>
                  <w:tcBorders>
                    <w:top w:val="single" w:color="auto" w:sz="4" w:space="0"/>
                    <w:left w:val="nil"/>
                    <w:bottom w:val="single" w:color="auto" w:sz="4" w:space="0"/>
                    <w:right w:val="single" w:color="auto" w:sz="4" w:space="0"/>
                  </w:tcBorders>
                  <w:noWrap w:val="0"/>
                  <w:vAlign w:val="center"/>
                </w:tcPr>
                <w:p w14:paraId="3CA77FF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本项目不使用报废、未通过定期排放检验、无号牌的高排放燃油燃气车辆。</w:t>
                  </w:r>
                </w:p>
              </w:tc>
              <w:tc>
                <w:tcPr>
                  <w:tcW w:w="476" w:type="pct"/>
                  <w:tcBorders>
                    <w:top w:val="single" w:color="auto" w:sz="4" w:space="0"/>
                    <w:left w:val="nil"/>
                    <w:bottom w:val="single" w:color="auto" w:sz="4" w:space="0"/>
                    <w:right w:val="nil"/>
                  </w:tcBorders>
                  <w:noWrap w:val="0"/>
                  <w:vAlign w:val="center"/>
                </w:tcPr>
                <w:p w14:paraId="60165EBA">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olor w:val="auto"/>
                      <w:lang w:val="en-US" w:eastAsia="zh-CN"/>
                    </w:rPr>
                    <w:t>相符</w:t>
                  </w:r>
                </w:p>
              </w:tc>
            </w:tr>
            <w:tr w14:paraId="2E76390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6DDC2B22">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20B240EA">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14</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实施重点行业绩效提升行动。聚焦火电、垃圾发电、钢铁、焦化、水泥熟料、平板玻璃、煤制氮肥、汽车整车制造、铸造等重点行业，建立全口径创A企业清单，编制“一企一策”提升方案，从项目审批、税费减免、资金奖补、差别化电价等方面给予政策激励，建立常态化的指导帮扶和动态调整机制。2026年年底前，力争创建100家A、B级和绩效引领性企业</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含省定任务15家A级企业</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。全市A级、B级、绩效引领企业清洁运输比例达到80%以上。</w:t>
                  </w:r>
                </w:p>
              </w:tc>
              <w:tc>
                <w:tcPr>
                  <w:tcW w:w="1349" w:type="pct"/>
                  <w:tcBorders>
                    <w:top w:val="single" w:color="auto" w:sz="4" w:space="0"/>
                    <w:left w:val="nil"/>
                    <w:bottom w:val="single" w:color="auto" w:sz="4" w:space="0"/>
                    <w:right w:val="single" w:color="auto" w:sz="4" w:space="0"/>
                  </w:tcBorders>
                  <w:noWrap w:val="0"/>
                  <w:vAlign w:val="center"/>
                </w:tcPr>
                <w:p w14:paraId="652F6F60">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eastAsia" w:ascii="Times New Roman" w:hAnsi="Times New Roman" w:eastAsia="Times New Roman" w:cs="Times New Roman"/>
                      <w:bCs/>
                      <w:color w:val="auto"/>
                      <w:sz w:val="21"/>
                      <w:szCs w:val="21"/>
                      <w:highlight w:val="none"/>
                      <w:lang w:val="en-US" w:eastAsia="zh-CN"/>
                    </w:rPr>
                    <w:t>本项目</w:t>
                  </w:r>
                  <w:r>
                    <w:rPr>
                      <w:rFonts w:hint="default" w:ascii="Times New Roman" w:hAnsi="Times New Roman" w:eastAsia="Times New Roman" w:cs="Times New Roman"/>
                      <w:bCs/>
                      <w:color w:val="auto"/>
                      <w:sz w:val="21"/>
                      <w:szCs w:val="21"/>
                      <w:highlight w:val="none"/>
                      <w:lang w:val="en-US" w:eastAsia="zh-CN"/>
                    </w:rPr>
                    <w:t>参照《河南省重污染天气重点行业应急减排措施制定技术指南（2024年版）》中塑料制品行业企业A级指标要求</w:t>
                  </w:r>
                  <w:r>
                    <w:rPr>
                      <w:rFonts w:hint="eastAsia" w:ascii="Times New Roman" w:hAnsi="Times New Roman" w:eastAsia="宋体" w:cs="Times New Roman"/>
                      <w:bCs/>
                      <w:color w:val="auto"/>
                      <w:sz w:val="21"/>
                      <w:szCs w:val="21"/>
                      <w:highlight w:val="none"/>
                      <w:lang w:val="en-US" w:eastAsia="zh-CN"/>
                    </w:rPr>
                    <w:t>设计、</w:t>
                  </w:r>
                  <w:r>
                    <w:rPr>
                      <w:rFonts w:hint="eastAsia" w:ascii="Times New Roman" w:hAnsi="Times New Roman" w:eastAsia="宋体" w:cs="Times New Roman"/>
                      <w:bCs/>
                      <w:color w:val="auto"/>
                      <w:sz w:val="21"/>
                      <w:szCs w:val="21"/>
                      <w:highlight w:val="none"/>
                      <w:lang w:eastAsia="zh-CN"/>
                    </w:rPr>
                    <w:t>建设。</w:t>
                  </w:r>
                </w:p>
              </w:tc>
              <w:tc>
                <w:tcPr>
                  <w:tcW w:w="476" w:type="pct"/>
                  <w:tcBorders>
                    <w:top w:val="single" w:color="auto" w:sz="4" w:space="0"/>
                    <w:left w:val="nil"/>
                    <w:bottom w:val="single" w:color="auto" w:sz="4" w:space="0"/>
                    <w:right w:val="nil"/>
                  </w:tcBorders>
                  <w:noWrap w:val="0"/>
                  <w:vAlign w:val="center"/>
                </w:tcPr>
                <w:p w14:paraId="6AD9964B">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7393A47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09EC7B8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5F95174D">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cs="Times New Roman"/>
                      <w:b/>
                      <w:bCs/>
                      <w:color w:val="auto"/>
                      <w:kern w:val="0"/>
                      <w:sz w:val="21"/>
                      <w:szCs w:val="21"/>
                      <w:lang w:val="en-US" w:eastAsia="zh-CN" w:bidi="ar"/>
                    </w:rPr>
                  </w:pPr>
                  <w:r>
                    <w:rPr>
                      <w:rFonts w:hint="eastAsia" w:ascii="Times New Roman" w:hAnsi="Times New Roman" w:cs="Times New Roman"/>
                      <w:b w:val="0"/>
                      <w:bCs w:val="0"/>
                      <w:color w:val="auto"/>
                      <w:kern w:val="0"/>
                      <w:sz w:val="21"/>
                      <w:szCs w:val="21"/>
                      <w:lang w:val="en-US" w:eastAsia="zh-CN" w:bidi="ar"/>
                    </w:rPr>
                    <w:t>17、实施VOCs综合治理。按照“可替尽替、应代尽代”原则，加大工业涂装、包装印刷、家具制造、电子制造等重点行业VOCs含量原辅材料替代力度，采用符合有关VOCs含量限值标准的涂料、油墨、胶粘剂、清洗剂。完善活性炭“码上换”管理制度，高标准完成活性炭更换工作。持续开展VOCs治理突出问题排查整治，加强污染治理设施运行维护，强化无组织和非正常工况废气排放管控，提高废气收集效率。焦化、化工、医药等重点行业企业按规范开展泄漏检测与修复(LDAR)。2026年9月底前，废水逸散的高浓度VOCs废气实现单独收集治理，挥发性有机液体储罐使用低泄漏的储罐呼吸阀、紧急泄压阀，汽车罐车使用自封式快速接头。</w:t>
                  </w:r>
                </w:p>
              </w:tc>
              <w:tc>
                <w:tcPr>
                  <w:tcW w:w="1788" w:type="dxa"/>
                  <w:tcBorders>
                    <w:top w:val="single" w:color="auto" w:sz="4" w:space="0"/>
                    <w:left w:val="nil"/>
                    <w:bottom w:val="single" w:color="auto" w:sz="4" w:space="0"/>
                    <w:right w:val="single" w:color="auto" w:sz="4" w:space="0"/>
                  </w:tcBorders>
                  <w:noWrap w:val="0"/>
                  <w:vAlign w:val="center"/>
                </w:tcPr>
                <w:p w14:paraId="13CA488A">
                  <w:pPr>
                    <w:pStyle w:val="94"/>
                    <w:keepNext w:val="0"/>
                    <w:keepLines w:val="0"/>
                    <w:suppressLineNumbers w:val="0"/>
                    <w:bidi w:val="0"/>
                    <w:spacing w:before="0" w:beforeAutospacing="0" w:after="0" w:afterAutospacing="0"/>
                    <w:ind w:left="0" w:right="0" w:firstLine="0" w:firstLineChars="0"/>
                    <w:jc w:val="both"/>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本项目在挤出工序</w:t>
                  </w:r>
                  <w:r>
                    <w:rPr>
                      <w:rFonts w:hint="eastAsia" w:cs="Times New Roman"/>
                      <w:color w:val="auto"/>
                      <w:kern w:val="0"/>
                      <w:sz w:val="21"/>
                      <w:szCs w:val="21"/>
                      <w:lang w:val="en-US" w:eastAsia="zh-CN" w:bidi="ar"/>
                    </w:rPr>
                    <w:t>、喷码工序、高压复合工序、粘合工序</w:t>
                  </w:r>
                  <w:r>
                    <w:rPr>
                      <w:rFonts w:hint="eastAsia" w:ascii="Times New Roman" w:hAnsi="Times New Roman" w:eastAsia="宋体" w:cs="Times New Roman"/>
                      <w:color w:val="auto"/>
                      <w:kern w:val="0"/>
                      <w:sz w:val="21"/>
                      <w:szCs w:val="21"/>
                      <w:lang w:val="en-US" w:eastAsia="zh-CN" w:bidi="ar"/>
                    </w:rPr>
                    <w:t>上方设置集气设施，产生的VOCs通过“活性炭吸附、脱附+催化燃烧”处理后通过15m高排气筒排放，使用的油墨符合《油墨中可挥发性有机物（VOCs）含量的限值》（GB38507-2027）中要求。</w:t>
                  </w:r>
                </w:p>
              </w:tc>
              <w:tc>
                <w:tcPr>
                  <w:tcW w:w="631" w:type="dxa"/>
                  <w:tcBorders>
                    <w:top w:val="single" w:color="auto" w:sz="4" w:space="0"/>
                    <w:left w:val="nil"/>
                    <w:bottom w:val="single" w:color="auto" w:sz="4" w:space="0"/>
                    <w:right w:val="nil"/>
                  </w:tcBorders>
                  <w:noWrap w:val="0"/>
                  <w:vAlign w:val="center"/>
                </w:tcPr>
                <w:p w14:paraId="6F173965">
                  <w:pPr>
                    <w:pStyle w:val="94"/>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lang w:val="en-US" w:eastAsia="zh-CN" w:bidi="ar"/>
                    </w:rPr>
                  </w:pPr>
                  <w:r>
                    <w:rPr>
                      <w:rFonts w:hint="eastAsia"/>
                      <w:color w:val="auto"/>
                      <w:lang w:val="en-US" w:eastAsia="zh-CN"/>
                    </w:rPr>
                    <w:t>相符</w:t>
                  </w:r>
                </w:p>
              </w:tc>
            </w:tr>
            <w:tr w14:paraId="044C7DA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02488A4E">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13F8D725">
                  <w:pPr>
                    <w:pStyle w:val="78"/>
                    <w:keepNext w:val="0"/>
                    <w:keepLines w:val="0"/>
                    <w:numPr>
                      <w:ilvl w:val="0"/>
                      <w:numId w:val="5"/>
                    </w:numPr>
                    <w:suppressLineNumbers w:val="0"/>
                    <w:tabs>
                      <w:tab w:val="right" w:leader="dot" w:pos="8296"/>
                    </w:tabs>
                    <w:bidi w:val="0"/>
                    <w:spacing w:before="0" w:beforeAutospacing="0" w:after="0" w:afterAutospacing="0"/>
                    <w:ind w:right="0"/>
                    <w:jc w:val="distribute"/>
                    <w:rPr>
                      <w:rFonts w:hint="eastAsia"/>
                      <w:color w:val="auto"/>
                      <w:lang w:val="en-US" w:eastAsia="zh-CN"/>
                    </w:rPr>
                  </w:pPr>
                  <w:r>
                    <w:rPr>
                      <w:rFonts w:hint="eastAsia" w:ascii="Times New Roman" w:hAnsi="Times New Roman" w:cs="Times New Roman"/>
                      <w:b w:val="0"/>
                      <w:bCs w:val="0"/>
                      <w:color w:val="auto"/>
                      <w:kern w:val="0"/>
                      <w:szCs w:val="21"/>
                      <w:lang w:val="en-US" w:eastAsia="zh-CN" w:bidi="ar"/>
                    </w:rPr>
                    <w:t>深化扬尘污染综合治理。全面落实施工扬尘防治“六个百分百”标准规定，持续提升扬尘治理精细化水平，重点区域1公里范围施工项目建成扬尘治理差异化评价 A 级工地，否则不得施工。城区施工工地推广基坑气膜、装配式建筑、</w:t>
                  </w:r>
                  <w:r>
                    <w:rPr>
                      <w:rFonts w:hint="eastAsia"/>
                      <w:color w:val="auto"/>
                      <w:lang w:val="en-US" w:eastAsia="zh-CN"/>
                    </w:rPr>
                    <w:t>全封闭钢板网等新技术。</w:t>
                  </w:r>
                </w:p>
                <w:p w14:paraId="0CFA21A7">
                  <w:pPr>
                    <w:pStyle w:val="78"/>
                    <w:keepNext w:val="0"/>
                    <w:keepLines w:val="0"/>
                    <w:numPr>
                      <w:ilvl w:val="0"/>
                      <w:numId w:val="0"/>
                    </w:numPr>
                    <w:suppressLineNumbers w:val="0"/>
                    <w:tabs>
                      <w:tab w:val="right" w:leader="dot" w:pos="8296"/>
                    </w:tabs>
                    <w:bidi w:val="0"/>
                    <w:spacing w:before="0" w:beforeAutospacing="0" w:after="0" w:afterAutospacing="0"/>
                    <w:ind w:leftChars="0" w:right="0"/>
                    <w:jc w:val="distribute"/>
                    <w:rPr>
                      <w:rFonts w:hint="eastAsia" w:ascii="Times New Roman" w:hAnsi="Times New Roman" w:cs="Times New Roman"/>
                      <w:b w:val="0"/>
                      <w:bCs w:val="0"/>
                      <w:color w:val="auto"/>
                      <w:kern w:val="0"/>
                      <w:szCs w:val="21"/>
                      <w:lang w:val="en-US" w:eastAsia="zh-CN" w:bidi="ar"/>
                    </w:rPr>
                  </w:pPr>
                  <w:r>
                    <w:rPr>
                      <w:rFonts w:hint="eastAsia"/>
                      <w:color w:val="auto"/>
                      <w:lang w:val="en-US" w:eastAsia="zh-CN"/>
                    </w:rPr>
                    <w:t>全市规模以上房屋市政建筑工地全部接入扬尘污染防治智慧化监控平台，实现线上监管全覆盖。</w:t>
                  </w:r>
                </w:p>
              </w:tc>
              <w:tc>
                <w:tcPr>
                  <w:tcW w:w="1349" w:type="pct"/>
                  <w:tcBorders>
                    <w:top w:val="single" w:color="auto" w:sz="4" w:space="0"/>
                    <w:left w:val="nil"/>
                    <w:bottom w:val="single" w:color="auto" w:sz="4" w:space="0"/>
                    <w:right w:val="single" w:color="auto" w:sz="4" w:space="0"/>
                  </w:tcBorders>
                  <w:noWrap w:val="0"/>
                  <w:vAlign w:val="center"/>
                </w:tcPr>
                <w:p w14:paraId="07ECCD18">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本项目租赁已经建好的厂房，不涉及施工扬尘。</w:t>
                  </w:r>
                </w:p>
              </w:tc>
              <w:tc>
                <w:tcPr>
                  <w:tcW w:w="476" w:type="pct"/>
                  <w:tcBorders>
                    <w:top w:val="single" w:color="auto" w:sz="4" w:space="0"/>
                    <w:left w:val="nil"/>
                    <w:bottom w:val="single" w:color="auto" w:sz="4" w:space="0"/>
                    <w:right w:val="nil"/>
                  </w:tcBorders>
                  <w:noWrap w:val="0"/>
                  <w:vAlign w:val="center"/>
                </w:tcPr>
                <w:p w14:paraId="593C72E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不涉及</w:t>
                  </w:r>
                </w:p>
              </w:tc>
            </w:tr>
            <w:tr w14:paraId="2DA4F46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top w:val="nil"/>
                    <w:left w:val="nil"/>
                    <w:bottom w:val="single" w:color="auto" w:sz="4" w:space="0"/>
                    <w:right w:val="single" w:color="auto" w:sz="4" w:space="0"/>
                  </w:tcBorders>
                  <w:noWrap w:val="0"/>
                  <w:vAlign w:val="center"/>
                </w:tcPr>
                <w:p w14:paraId="30921AC8">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00D910B2">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cs="Times New Roman"/>
                      <w:b/>
                      <w:bCs/>
                      <w:color w:val="auto"/>
                      <w:kern w:val="0"/>
                      <w:sz w:val="21"/>
                      <w:szCs w:val="21"/>
                      <w:lang w:val="en-US" w:eastAsia="zh-CN" w:bidi="ar"/>
                    </w:rPr>
                  </w:pPr>
                  <w:r>
                    <w:rPr>
                      <w:rFonts w:hint="eastAsia" w:ascii="Times New Roman" w:hAnsi="Times New Roman" w:cs="Times New Roman"/>
                      <w:b w:val="0"/>
                      <w:bCs w:val="0"/>
                      <w:color w:val="auto"/>
                      <w:kern w:val="0"/>
                      <w:sz w:val="21"/>
                      <w:szCs w:val="21"/>
                      <w:lang w:val="en-US" w:eastAsia="zh-CN" w:bidi="ar"/>
                    </w:rPr>
                    <w:t>23、有效应对重污染天气。完善应急减排清单与排污许可等数据对接机制，动态调整应急减排清单，实现涉气企业全覆盖。强化区域联防联控，综合运用卫星遥感、用电监管、自动监控、门禁系统、视频监控、AI识别等科技手段，建立健全快速响应、排查、整改、反馈的闭环管理机制，及时清除高值热点，全面提升重污染天气应对管控成效。</w:t>
                  </w:r>
                </w:p>
              </w:tc>
              <w:tc>
                <w:tcPr>
                  <w:tcW w:w="1349" w:type="pct"/>
                  <w:tcBorders>
                    <w:top w:val="single" w:color="auto" w:sz="4" w:space="0"/>
                    <w:left w:val="nil"/>
                    <w:bottom w:val="single" w:color="auto" w:sz="4" w:space="0"/>
                    <w:right w:val="single" w:color="auto" w:sz="4" w:space="0"/>
                  </w:tcBorders>
                  <w:noWrap w:val="0"/>
                  <w:vAlign w:val="center"/>
                </w:tcPr>
                <w:p w14:paraId="14CAA727">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本项目建成后将完善应急减排清单和排污许可等数据对接机制。</w:t>
                  </w:r>
                </w:p>
              </w:tc>
              <w:tc>
                <w:tcPr>
                  <w:tcW w:w="476" w:type="pct"/>
                  <w:tcBorders>
                    <w:top w:val="single" w:color="auto" w:sz="4" w:space="0"/>
                    <w:left w:val="nil"/>
                    <w:bottom w:val="single" w:color="auto" w:sz="4" w:space="0"/>
                    <w:right w:val="nil"/>
                  </w:tcBorders>
                  <w:noWrap w:val="0"/>
                  <w:vAlign w:val="center"/>
                </w:tcPr>
                <w:p w14:paraId="0F342752">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不涉及</w:t>
                  </w:r>
                </w:p>
              </w:tc>
            </w:tr>
            <w:tr w14:paraId="0AC39D9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restart"/>
                  <w:tcBorders>
                    <w:top w:val="nil"/>
                    <w:left w:val="nil"/>
                    <w:right w:val="single" w:color="auto" w:sz="4" w:space="0"/>
                  </w:tcBorders>
                  <w:noWrap w:val="0"/>
                  <w:vAlign w:val="center"/>
                </w:tcPr>
                <w:p w14:paraId="015A0E7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年碧水保卫战实施方案</w:t>
                  </w:r>
                </w:p>
              </w:tc>
              <w:tc>
                <w:tcPr>
                  <w:tcW w:w="2446" w:type="pct"/>
                  <w:tcBorders>
                    <w:top w:val="single" w:color="auto" w:sz="4" w:space="0"/>
                    <w:left w:val="nil"/>
                    <w:bottom w:val="single" w:color="auto" w:sz="4" w:space="0"/>
                    <w:right w:val="single" w:color="auto" w:sz="4" w:space="0"/>
                  </w:tcBorders>
                  <w:noWrap w:val="0"/>
                  <w:vAlign w:val="center"/>
                </w:tcPr>
                <w:p w14:paraId="46B910A5">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val="0"/>
                      <w:bCs w:val="0"/>
                      <w:color w:val="auto"/>
                      <w:kern w:val="0"/>
                      <w:sz w:val="21"/>
                      <w:szCs w:val="21"/>
                      <w:lang w:val="en-US" w:eastAsia="zh-CN" w:bidi="ar"/>
                    </w:rPr>
                    <w:t>5</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持续加强饮用水水源地保护。依法科学划定、调整、取消饮用水水源保护区</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范围</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9月底前完成乡镇级及以下水源地基础信息调查和农村重点集中式饮用水水源地水质专项调查</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持续推进饮用水水源地规范化建设，深入开展饮用水水源地保护区内环境风险排查整治，巩固水源地整治效果，切实保障饮水安全。</w:t>
                  </w:r>
                </w:p>
              </w:tc>
              <w:tc>
                <w:tcPr>
                  <w:tcW w:w="1349" w:type="pct"/>
                  <w:tcBorders>
                    <w:top w:val="single" w:color="auto" w:sz="4" w:space="0"/>
                    <w:left w:val="nil"/>
                    <w:bottom w:val="single" w:color="auto" w:sz="4" w:space="0"/>
                    <w:right w:val="single" w:color="auto" w:sz="4" w:space="0"/>
                  </w:tcBorders>
                  <w:noWrap w:val="0"/>
                  <w:vAlign w:val="center"/>
                </w:tcPr>
                <w:p w14:paraId="7DF378EF">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本项目距离古贤水源保护地1188m，未在饮用水水源一级、二级保护区及准保护区范围内。</w:t>
                  </w:r>
                </w:p>
              </w:tc>
              <w:tc>
                <w:tcPr>
                  <w:tcW w:w="476" w:type="pct"/>
                  <w:tcBorders>
                    <w:top w:val="single" w:color="auto" w:sz="4" w:space="0"/>
                    <w:left w:val="nil"/>
                    <w:bottom w:val="single" w:color="auto" w:sz="4" w:space="0"/>
                    <w:right w:val="nil"/>
                  </w:tcBorders>
                  <w:noWrap w:val="0"/>
                  <w:vAlign w:val="center"/>
                </w:tcPr>
                <w:p w14:paraId="37BA5EB8">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48C282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left w:val="nil"/>
                    <w:right w:val="single" w:color="auto" w:sz="4" w:space="0"/>
                  </w:tcBorders>
                  <w:noWrap w:val="0"/>
                  <w:vAlign w:val="center"/>
                </w:tcPr>
                <w:p w14:paraId="30DABDAB">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15490A1F">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val="0"/>
                      <w:bCs w:val="0"/>
                      <w:color w:val="auto"/>
                      <w:kern w:val="0"/>
                      <w:sz w:val="21"/>
                      <w:szCs w:val="21"/>
                      <w:lang w:val="en-US" w:eastAsia="zh-CN" w:bidi="ar"/>
                    </w:rPr>
                    <w:t>7</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强力推进重点涉水企业深度治理和工业园区污水收集处理能力提升。组织对城镇污水处理厂和重点涉水工业企业开展“一厂一策”排查诊治，指导其开展深度治理，确保废水处理设施正常稳定运行，依法打击环境违法行为，有效提升治污水平和精细化管理水平。深入开展工业园区和化工园区水污染问题排查整治，12月底前，完成安阳新型化工产业园区铜冶片区污水处理厂深度处理项目建设和汤阴县工业废水处理减污降碳协同增效省级试点建设，积极推进汤阴县天雨污水处理厂提标改造。</w:t>
                  </w:r>
                </w:p>
              </w:tc>
              <w:tc>
                <w:tcPr>
                  <w:tcW w:w="1349" w:type="pct"/>
                  <w:tcBorders>
                    <w:top w:val="single" w:color="auto" w:sz="4" w:space="0"/>
                    <w:left w:val="nil"/>
                    <w:bottom w:val="single" w:color="auto" w:sz="4" w:space="0"/>
                    <w:right w:val="single" w:color="auto" w:sz="4" w:space="0"/>
                  </w:tcBorders>
                  <w:noWrap w:val="0"/>
                  <w:vAlign w:val="center"/>
                </w:tcPr>
                <w:p w14:paraId="5175492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本项目废水收集后进入厂区污水处理站处理后经市政管网排入汤阴固现污水处理有限公司深度处理后达标排放。</w:t>
                  </w:r>
                </w:p>
              </w:tc>
              <w:tc>
                <w:tcPr>
                  <w:tcW w:w="476" w:type="pct"/>
                  <w:tcBorders>
                    <w:top w:val="single" w:color="auto" w:sz="4" w:space="0"/>
                    <w:left w:val="nil"/>
                    <w:bottom w:val="single" w:color="auto" w:sz="4" w:space="0"/>
                    <w:right w:val="nil"/>
                  </w:tcBorders>
                  <w:noWrap w:val="0"/>
                  <w:vAlign w:val="center"/>
                </w:tcPr>
                <w:p w14:paraId="7D3D0D58">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4340D99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vMerge w:val="continue"/>
                  <w:tcBorders>
                    <w:left w:val="nil"/>
                    <w:bottom w:val="single" w:color="auto" w:sz="4" w:space="0"/>
                    <w:right w:val="single" w:color="auto" w:sz="4" w:space="0"/>
                  </w:tcBorders>
                  <w:noWrap w:val="0"/>
                  <w:vAlign w:val="center"/>
                </w:tcPr>
                <w:p w14:paraId="56D2A9C2">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39EAC2A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left"/>
                    <w:textAlignment w:val="auto"/>
                    <w:rPr>
                      <w:rFonts w:hint="default" w:ascii="Times New Roman" w:hAnsi="Times New Roman" w:eastAsia="宋体" w:cs="Times New Roman"/>
                      <w:b w:val="0"/>
                      <w:bCs w:val="0"/>
                      <w:color w:val="auto"/>
                      <w:kern w:val="0"/>
                      <w:sz w:val="21"/>
                      <w:szCs w:val="21"/>
                      <w:lang w:val="en-US" w:eastAsia="zh-CN" w:bidi="ar"/>
                    </w:rPr>
                  </w:pPr>
                  <w:r>
                    <w:rPr>
                      <w:rFonts w:hint="default" w:ascii="Times New Roman" w:hAnsi="Times New Roman" w:eastAsia="宋体" w:cs="Times New Roman"/>
                      <w:b w:val="0"/>
                      <w:bCs w:val="0"/>
                      <w:color w:val="auto"/>
                      <w:kern w:val="0"/>
                      <w:sz w:val="21"/>
                      <w:szCs w:val="21"/>
                      <w:lang w:val="en-US" w:eastAsia="zh-CN" w:bidi="ar"/>
                    </w:rPr>
                    <w:t>13</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 w:val="0"/>
                      <w:bCs w:val="0"/>
                      <w:color w:val="auto"/>
                      <w:kern w:val="0"/>
                      <w:sz w:val="21"/>
                      <w:szCs w:val="21"/>
                      <w:lang w:val="en-US" w:eastAsia="zh-CN" w:bidi="ar"/>
                    </w:rPr>
                    <w:t>强化水资源节约集约利用。推动落实水资源刚性约束制度，严格用水总量与强度双控管理，分解下达区域年度用水计划并严格执行;推进农业节水增效，持续加强高标准农田建设及管护运行。加快再生水利用城市建设，确保按期实现再生水利用目标;拓展再生水利用途径与模式创新，推进资源能源标杆再生水厂建设，推广再生水厂余热用于集中供冷供热。持续开展水效“领跑者”遴选工作和水效对标达标活动，进一步推动工业企业参加工业废水循环利用标杆企业和园区遴选，提升我市工业领域水资源节约集约利用水平。</w:t>
                  </w:r>
                </w:p>
              </w:tc>
              <w:tc>
                <w:tcPr>
                  <w:tcW w:w="1349" w:type="pct"/>
                  <w:tcBorders>
                    <w:top w:val="single" w:color="auto" w:sz="4" w:space="0"/>
                    <w:left w:val="nil"/>
                    <w:bottom w:val="single" w:color="auto" w:sz="4" w:space="0"/>
                    <w:right w:val="single" w:color="auto" w:sz="4" w:space="0"/>
                  </w:tcBorders>
                  <w:noWrap w:val="0"/>
                  <w:vAlign w:val="center"/>
                </w:tcPr>
                <w:p w14:paraId="506E2A35">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eastAsia="zh-CN"/>
                    </w:rPr>
                    <w:t>本项目用水量为</w:t>
                  </w:r>
                  <w:r>
                    <w:rPr>
                      <w:rFonts w:hint="eastAsia" w:ascii="Times New Roman" w:hAnsi="Times New Roman" w:cs="Times New Roman"/>
                      <w:color w:val="auto"/>
                      <w:kern w:val="0"/>
                      <w:sz w:val="21"/>
                      <w:szCs w:val="21"/>
                      <w:lang w:val="en-US" w:eastAsia="zh-CN"/>
                    </w:rPr>
                    <w:t>858m</w:t>
                  </w:r>
                  <w:r>
                    <w:rPr>
                      <w:rFonts w:hint="eastAsia" w:ascii="Times New Roman" w:hAnsi="Times New Roman" w:cs="Times New Roman"/>
                      <w:color w:val="auto"/>
                      <w:kern w:val="0"/>
                      <w:sz w:val="21"/>
                      <w:szCs w:val="21"/>
                      <w:vertAlign w:val="superscript"/>
                      <w:lang w:val="en-US" w:eastAsia="zh-CN"/>
                    </w:rPr>
                    <w:t>3</w:t>
                  </w:r>
                  <w:r>
                    <w:rPr>
                      <w:rFonts w:hint="eastAsia" w:ascii="Times New Roman" w:hAnsi="Times New Roman" w:cs="Times New Roman"/>
                      <w:color w:val="auto"/>
                      <w:kern w:val="0"/>
                      <w:sz w:val="21"/>
                      <w:szCs w:val="21"/>
                      <w:lang w:val="en-US" w:eastAsia="zh-CN"/>
                    </w:rPr>
                    <w:t>/a，用水量很小。</w:t>
                  </w:r>
                </w:p>
              </w:tc>
              <w:tc>
                <w:tcPr>
                  <w:tcW w:w="476" w:type="pct"/>
                  <w:tcBorders>
                    <w:top w:val="single" w:color="auto" w:sz="4" w:space="0"/>
                    <w:left w:val="nil"/>
                    <w:bottom w:val="single" w:color="auto" w:sz="4" w:space="0"/>
                    <w:right w:val="nil"/>
                  </w:tcBorders>
                  <w:noWrap w:val="0"/>
                  <w:vAlign w:val="center"/>
                </w:tcPr>
                <w:p w14:paraId="11DA0201">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相符</w:t>
                  </w:r>
                </w:p>
              </w:tc>
            </w:tr>
            <w:tr w14:paraId="4F6AE4C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jc w:val="center"/>
              </w:trPr>
              <w:tc>
                <w:tcPr>
                  <w:tcW w:w="728" w:type="pct"/>
                  <w:tcBorders>
                    <w:top w:val="single" w:color="auto" w:sz="4" w:space="0"/>
                    <w:left w:val="nil"/>
                    <w:bottom w:val="single" w:color="auto" w:sz="4" w:space="0"/>
                    <w:right w:val="single" w:color="auto" w:sz="4" w:space="0"/>
                  </w:tcBorders>
                  <w:noWrap w:val="0"/>
                  <w:vAlign w:val="center"/>
                </w:tcPr>
                <w:p w14:paraId="125F09E7">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年净土保卫战实施方案</w:t>
                  </w:r>
                </w:p>
              </w:tc>
              <w:tc>
                <w:tcPr>
                  <w:tcW w:w="2446" w:type="pct"/>
                  <w:tcBorders>
                    <w:top w:val="single" w:color="auto" w:sz="4" w:space="0"/>
                    <w:left w:val="nil"/>
                    <w:bottom w:val="single" w:color="auto" w:sz="4" w:space="0"/>
                    <w:right w:val="single" w:color="auto" w:sz="4" w:space="0"/>
                  </w:tcBorders>
                  <w:noWrap w:val="0"/>
                  <w:vAlign w:val="center"/>
                </w:tcPr>
                <w:p w14:paraId="4889E9AA">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强化土壤污染源头防控。持续落实《安阳土壤污染源头防控行动实施方案》，严格保护未污染土壤，推动污染防治关口前移。开展土壤污染重点监管单位隐患排查抽查整治行动，强化对重点监管单位监督管理，督促指导其按照排污许可证规定和标准规范落实控制有毒有害物质排放、土壤污染隐患排查、自行监测等要求，将隐患排查报告及相关材料上传至重点监管单位土壤和地下水环境管理信息系统，推动突出环境问题整改;完成土壤污染重点监管单位名录更新，并向社会公开。依法督促涉镉等重金属的大气、水环境重点排污单位对排放口和周边环境进行定期监测，评估对周边农用地土壤重金属累积性风险，并采取有效措施防范环境风险。</w:t>
                  </w:r>
                </w:p>
              </w:tc>
              <w:tc>
                <w:tcPr>
                  <w:tcW w:w="1349" w:type="pct"/>
                  <w:tcBorders>
                    <w:top w:val="single" w:color="auto" w:sz="4" w:space="0"/>
                    <w:left w:val="nil"/>
                    <w:bottom w:val="single" w:color="auto" w:sz="4" w:space="0"/>
                    <w:right w:val="single" w:color="auto" w:sz="4" w:space="0"/>
                  </w:tcBorders>
                  <w:noWrap w:val="0"/>
                  <w:vAlign w:val="center"/>
                </w:tcPr>
                <w:p w14:paraId="0DB7EC04">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安阳市雨露节水灌溉科技有限公司未列入土壤污染重点监管单位名录，生产车间地面进行防渗硬化，生产过程对土壤的影响很小。</w:t>
                  </w:r>
                </w:p>
              </w:tc>
              <w:tc>
                <w:tcPr>
                  <w:tcW w:w="476" w:type="pct"/>
                  <w:tcBorders>
                    <w:top w:val="single" w:color="auto" w:sz="4" w:space="0"/>
                    <w:left w:val="nil"/>
                    <w:bottom w:val="single" w:color="auto" w:sz="4" w:space="0"/>
                    <w:right w:val="nil"/>
                  </w:tcBorders>
                  <w:noWrap w:val="0"/>
                  <w:vAlign w:val="center"/>
                </w:tcPr>
                <w:p w14:paraId="33BE7959">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06BF874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1361" w:hRule="atLeast"/>
                <w:jc w:val="center"/>
              </w:trPr>
              <w:tc>
                <w:tcPr>
                  <w:tcW w:w="728" w:type="pct"/>
                  <w:vMerge w:val="restart"/>
                  <w:tcBorders>
                    <w:top w:val="nil"/>
                    <w:left w:val="nil"/>
                    <w:right w:val="single" w:color="auto" w:sz="4" w:space="0"/>
                  </w:tcBorders>
                  <w:noWrap w:val="0"/>
                  <w:vAlign w:val="center"/>
                </w:tcPr>
                <w:p w14:paraId="505415F5">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安阳市202</w:t>
                  </w:r>
                  <w:r>
                    <w:rPr>
                      <w:rFonts w:hint="eastAsia" w:ascii="Times New Roman" w:hAnsi="Times New Roman"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年柴油货车污染治理攻坚战实施方案</w:t>
                  </w:r>
                </w:p>
              </w:tc>
              <w:tc>
                <w:tcPr>
                  <w:tcW w:w="2446" w:type="pct"/>
                  <w:tcBorders>
                    <w:top w:val="single" w:color="auto" w:sz="4" w:space="0"/>
                    <w:left w:val="nil"/>
                    <w:bottom w:val="single" w:color="auto" w:sz="4" w:space="0"/>
                    <w:right w:val="single" w:color="auto" w:sz="4" w:space="0"/>
                  </w:tcBorders>
                  <w:noWrap w:val="0"/>
                  <w:vAlign w:val="center"/>
                </w:tcPr>
                <w:p w14:paraId="6207B59B">
                  <w:pPr>
                    <w:pStyle w:val="78"/>
                    <w:keepNext w:val="0"/>
                    <w:keepLines w:val="0"/>
                    <w:suppressLineNumbers w:val="0"/>
                    <w:tabs>
                      <w:tab w:val="right" w:leader="dot" w:pos="8296"/>
                    </w:tabs>
                    <w:bidi w:val="0"/>
                    <w:spacing w:before="0" w:beforeAutospacing="0" w:after="0" w:afterAutospacing="0"/>
                    <w:ind w:right="0"/>
                    <w:jc w:val="left"/>
                    <w:rPr>
                      <w:rFonts w:hint="eastAsia" w:eastAsia="宋体"/>
                      <w:color w:val="auto"/>
                      <w:lang w:eastAsia="zh-CN"/>
                    </w:rPr>
                  </w:pPr>
                  <w:r>
                    <w:rPr>
                      <w:rFonts w:hint="default"/>
                      <w:color w:val="auto"/>
                    </w:rPr>
                    <w:t>2.提升重点行业清洁运输比例。推动重点行业大宗货物长距离运输优先使用铁路、管道，短距离运输使用封闭皮带通廊、新能源车等清洁运输方式；新、改、扩建项目原则上采用清洁运输方式。建立重点行业企业清洁运输比例提升清单台账</w:t>
                  </w:r>
                  <w:r>
                    <w:rPr>
                      <w:rFonts w:hint="eastAsia"/>
                      <w:color w:val="auto"/>
                      <w:lang w:eastAsia="zh-CN"/>
                    </w:rPr>
                    <w:t>。</w:t>
                  </w:r>
                </w:p>
              </w:tc>
              <w:tc>
                <w:tcPr>
                  <w:tcW w:w="1349" w:type="pct"/>
                  <w:tcBorders>
                    <w:top w:val="single" w:color="auto" w:sz="4" w:space="0"/>
                    <w:left w:val="nil"/>
                    <w:bottom w:val="single" w:color="auto" w:sz="4" w:space="0"/>
                    <w:right w:val="single" w:color="auto" w:sz="4" w:space="0"/>
                  </w:tcBorders>
                  <w:noWrap w:val="0"/>
                  <w:vAlign w:val="center"/>
                </w:tcPr>
                <w:p w14:paraId="12E1B277">
                  <w:pPr>
                    <w:pStyle w:val="78"/>
                    <w:keepNext w:val="0"/>
                    <w:keepLines w:val="0"/>
                    <w:suppressLineNumbers w:val="0"/>
                    <w:tabs>
                      <w:tab w:val="right" w:leader="dot" w:pos="8296"/>
                    </w:tabs>
                    <w:bidi w:val="0"/>
                    <w:spacing w:before="0" w:beforeAutospacing="0" w:after="0" w:afterAutospacing="0"/>
                    <w:ind w:right="0"/>
                    <w:rPr>
                      <w:rFonts w:hint="default" w:eastAsia="宋体"/>
                      <w:color w:val="auto"/>
                      <w:lang w:val="en-US" w:eastAsia="zh-CN"/>
                    </w:rPr>
                  </w:pPr>
                  <w:r>
                    <w:rPr>
                      <w:rFonts w:hint="eastAsia"/>
                      <w:color w:val="auto"/>
                      <w:lang w:val="en-US" w:eastAsia="zh-CN"/>
                    </w:rPr>
                    <w:t>本项目不属于重点行业，短距离运输采用新能源车的运输方式。</w:t>
                  </w:r>
                </w:p>
              </w:tc>
              <w:tc>
                <w:tcPr>
                  <w:tcW w:w="476" w:type="pct"/>
                  <w:tcBorders>
                    <w:top w:val="single" w:color="auto" w:sz="4" w:space="0"/>
                    <w:left w:val="nil"/>
                    <w:bottom w:val="single" w:color="auto" w:sz="4" w:space="0"/>
                    <w:right w:val="nil"/>
                  </w:tcBorders>
                  <w:noWrap w:val="0"/>
                  <w:vAlign w:val="center"/>
                </w:tcPr>
                <w:p w14:paraId="14A8700C">
                  <w:pPr>
                    <w:pStyle w:val="78"/>
                    <w:keepNext w:val="0"/>
                    <w:keepLines w:val="0"/>
                    <w:suppressLineNumbers w:val="0"/>
                    <w:tabs>
                      <w:tab w:val="right" w:leader="dot" w:pos="8296"/>
                    </w:tabs>
                    <w:bidi w:val="0"/>
                    <w:spacing w:before="0" w:beforeAutospacing="0" w:after="0" w:afterAutospacing="0"/>
                    <w:ind w:right="0"/>
                    <w:rPr>
                      <w:rFonts w:hint="eastAsia" w:eastAsia="宋体"/>
                      <w:color w:val="auto"/>
                      <w:lang w:val="en-US" w:eastAsia="zh-CN"/>
                    </w:rPr>
                  </w:pPr>
                  <w:r>
                    <w:rPr>
                      <w:rFonts w:hint="eastAsia"/>
                      <w:color w:val="auto"/>
                      <w:lang w:val="en-US" w:eastAsia="zh-CN"/>
                    </w:rPr>
                    <w:t>相符</w:t>
                  </w:r>
                </w:p>
              </w:tc>
            </w:tr>
            <w:tr w14:paraId="5A89CED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1361" w:hRule="atLeast"/>
                <w:jc w:val="center"/>
              </w:trPr>
              <w:tc>
                <w:tcPr>
                  <w:tcW w:w="728" w:type="pct"/>
                  <w:vMerge w:val="continue"/>
                  <w:tcBorders>
                    <w:left w:val="nil"/>
                    <w:bottom w:val="single" w:color="auto" w:sz="4" w:space="0"/>
                    <w:right w:val="single" w:color="auto" w:sz="4" w:space="0"/>
                  </w:tcBorders>
                  <w:noWrap w:val="0"/>
                  <w:vAlign w:val="center"/>
                </w:tcPr>
                <w:p w14:paraId="7D51975E">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center"/>
                    <w:textAlignment w:val="auto"/>
                    <w:rPr>
                      <w:rFonts w:hint="default"/>
                      <w:color w:val="auto"/>
                    </w:rPr>
                  </w:pPr>
                </w:p>
              </w:tc>
              <w:tc>
                <w:tcPr>
                  <w:tcW w:w="3241" w:type="dxa"/>
                  <w:tcBorders>
                    <w:top w:val="single" w:color="auto" w:sz="4" w:space="0"/>
                    <w:left w:val="nil"/>
                    <w:bottom w:val="single" w:color="auto" w:sz="4" w:space="0"/>
                    <w:right w:val="single" w:color="auto" w:sz="4" w:space="0"/>
                  </w:tcBorders>
                  <w:noWrap w:val="0"/>
                  <w:vAlign w:val="center"/>
                </w:tcPr>
                <w:p w14:paraId="14FD293B">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rightChars="0" w:firstLine="0" w:firstLineChars="0"/>
                    <w:jc w:val="both"/>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11</w:t>
                  </w:r>
                  <w:r>
                    <w:rPr>
                      <w:rFonts w:hint="eastAsia" w:ascii="Times New Roman" w:hAnsi="Times New Roman"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强化高排放非道路移动机械禁用区监管。根据国家、省最新政策要求，更新划定高排放非道路移动机械禁用区，2026年5月底前发布公告，全域禁止使用国一及以下排放标准的非道路移动机械。高排放非道路移动机械禁用区内禁止使用未挂牌、国二及以下排放标准、尾气排放不达标、定位失效的机械。市区高排放非道路移动机械核心禁用区内叉车、铲车应全部使用新能源，其他非道路移动机械应为新能源或国四排放标准机械。加大执法检查力度，依法查处违反禁用区规定的行为并公开处罚信息。</w:t>
                  </w:r>
                </w:p>
              </w:tc>
              <w:tc>
                <w:tcPr>
                  <w:tcW w:w="1788" w:type="dxa"/>
                  <w:tcBorders>
                    <w:top w:val="single" w:color="auto" w:sz="4" w:space="0"/>
                    <w:left w:val="nil"/>
                    <w:bottom w:val="single" w:color="auto" w:sz="4" w:space="0"/>
                    <w:right w:val="single" w:color="auto" w:sz="4" w:space="0"/>
                  </w:tcBorders>
                  <w:noWrap w:val="0"/>
                  <w:vAlign w:val="center"/>
                </w:tcPr>
                <w:p w14:paraId="419035B0">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rightChars="0" w:firstLine="0" w:firstLineChars="0"/>
                    <w:jc w:val="both"/>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color w:val="auto"/>
                      <w:kern w:val="0"/>
                      <w:sz w:val="21"/>
                      <w:szCs w:val="21"/>
                      <w:lang w:val="en-US" w:eastAsia="zh-CN" w:bidi="ar"/>
                    </w:rPr>
                    <w:t>厂内非道路移动机械使用国三及以上排放标准，新增或更新的非道路移动机械全部采用新能源，并按照要求规范非道路移动机械编码登记。</w:t>
                  </w:r>
                </w:p>
              </w:tc>
              <w:tc>
                <w:tcPr>
                  <w:tcW w:w="631" w:type="dxa"/>
                  <w:tcBorders>
                    <w:top w:val="single" w:color="auto" w:sz="4" w:space="0"/>
                    <w:left w:val="nil"/>
                    <w:bottom w:val="single" w:color="auto" w:sz="4" w:space="0"/>
                    <w:right w:val="nil"/>
                  </w:tcBorders>
                  <w:noWrap w:val="0"/>
                  <w:vAlign w:val="center"/>
                </w:tcPr>
                <w:p w14:paraId="3B053058">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12993D8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0" w:hRule="atLeast"/>
                <w:jc w:val="center"/>
              </w:trPr>
              <w:tc>
                <w:tcPr>
                  <w:tcW w:w="728" w:type="pct"/>
                  <w:vMerge w:val="continue"/>
                  <w:tcBorders>
                    <w:top w:val="nil"/>
                    <w:left w:val="nil"/>
                    <w:bottom w:val="nil"/>
                    <w:right w:val="single" w:color="auto" w:sz="4" w:space="0"/>
                  </w:tcBorders>
                  <w:noWrap w:val="0"/>
                  <w:vAlign w:val="center"/>
                </w:tcPr>
                <w:p w14:paraId="05A3DE16">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4" w:space="0"/>
                    <w:right w:val="single" w:color="auto" w:sz="4" w:space="0"/>
                  </w:tcBorders>
                  <w:noWrap w:val="0"/>
                  <w:vAlign w:val="center"/>
                </w:tcPr>
                <w:p w14:paraId="2223D17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17</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强化门禁系统监管。持续推动门禁及视频监控系统建设联网，年度日均载货车辆进出20辆次及日运输量150吨以上的用车单位，以及环境绩效A级、B级、绩效引领企业做到应装尽装、应联尽联。规范门禁系统管理，完善运输车辆、厂内车辆及非道路移动机械电子台账，严查长期抬杆、违规手工抬杆、旁门豁口、异常离线等行为</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对不规范使用门禁、达不到运输监管要求的绩效企业，实施动态管理。</w:t>
                  </w:r>
                </w:p>
              </w:tc>
              <w:tc>
                <w:tcPr>
                  <w:tcW w:w="1349" w:type="pct"/>
                  <w:tcBorders>
                    <w:top w:val="single" w:color="auto" w:sz="4" w:space="0"/>
                    <w:left w:val="nil"/>
                    <w:bottom w:val="single" w:color="auto" w:sz="4" w:space="0"/>
                    <w:right w:val="single" w:color="auto" w:sz="4" w:space="0"/>
                  </w:tcBorders>
                  <w:noWrap w:val="0"/>
                  <w:vAlign w:val="center"/>
                </w:tcPr>
                <w:p w14:paraId="5CF69D8A">
                  <w:pPr>
                    <w:pStyle w:val="23"/>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240" w:lineRule="auto"/>
                    <w:ind w:left="0" w:leftChars="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厂区</w:t>
                  </w:r>
                  <w:r>
                    <w:rPr>
                      <w:rFonts w:hint="eastAsia" w:ascii="Times New Roman" w:hAnsi="Times New Roman" w:eastAsia="宋体" w:cs="Times New Roman"/>
                      <w:color w:val="auto"/>
                      <w:kern w:val="0"/>
                      <w:sz w:val="21"/>
                      <w:szCs w:val="21"/>
                      <w:lang w:eastAsia="zh-CN"/>
                    </w:rPr>
                    <w:t>按要求</w:t>
                  </w:r>
                  <w:r>
                    <w:rPr>
                      <w:rFonts w:hint="default" w:ascii="Times New Roman" w:hAnsi="Times New Roman" w:eastAsia="宋体" w:cs="Times New Roman"/>
                      <w:color w:val="auto"/>
                      <w:kern w:val="0"/>
                      <w:sz w:val="21"/>
                      <w:szCs w:val="21"/>
                    </w:rPr>
                    <w:t>规范门禁系统管理，完善运输车辆、厂内车辆及非道路移动机械电子台账</w:t>
                  </w:r>
                  <w:r>
                    <w:rPr>
                      <w:rFonts w:hint="eastAsia" w:ascii="Times New Roman" w:hAnsi="Times New Roman" w:eastAsia="宋体" w:cs="Times New Roman"/>
                      <w:color w:val="auto"/>
                      <w:kern w:val="0"/>
                      <w:sz w:val="21"/>
                      <w:szCs w:val="21"/>
                      <w:lang w:eastAsia="zh-CN"/>
                    </w:rPr>
                    <w:t>。</w:t>
                  </w:r>
                </w:p>
              </w:tc>
              <w:tc>
                <w:tcPr>
                  <w:tcW w:w="476" w:type="pct"/>
                  <w:tcBorders>
                    <w:top w:val="single" w:color="auto" w:sz="4" w:space="0"/>
                    <w:left w:val="nil"/>
                    <w:bottom w:val="single" w:color="auto" w:sz="4" w:space="0"/>
                    <w:right w:val="nil"/>
                  </w:tcBorders>
                  <w:noWrap w:val="0"/>
                  <w:vAlign w:val="center"/>
                </w:tcPr>
                <w:p w14:paraId="13DF393C">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相符</w:t>
                  </w:r>
                </w:p>
              </w:tc>
            </w:tr>
            <w:tr w14:paraId="46850D2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68" w:type="dxa"/>
                  <w:bottom w:w="0" w:type="dxa"/>
                  <w:right w:w="68" w:type="dxa"/>
                </w:tblCellMar>
              </w:tblPrEx>
              <w:trPr>
                <w:trHeight w:val="664" w:hRule="atLeast"/>
                <w:jc w:val="center"/>
              </w:trPr>
              <w:tc>
                <w:tcPr>
                  <w:tcW w:w="728" w:type="pct"/>
                  <w:tcBorders>
                    <w:top w:val="nil"/>
                    <w:left w:val="nil"/>
                    <w:bottom w:val="single" w:color="auto" w:sz="4" w:space="0"/>
                    <w:right w:val="single" w:color="auto" w:sz="4" w:space="0"/>
                  </w:tcBorders>
                  <w:noWrap w:val="0"/>
                  <w:vAlign w:val="center"/>
                </w:tcPr>
                <w:p w14:paraId="442C841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ascii="Times New Roman" w:hAnsi="Times New Roman" w:eastAsia="宋体" w:cs="Times New Roman"/>
                      <w:color w:val="auto"/>
                      <w:kern w:val="2"/>
                      <w:sz w:val="21"/>
                      <w:szCs w:val="21"/>
                    </w:rPr>
                  </w:pPr>
                </w:p>
              </w:tc>
              <w:tc>
                <w:tcPr>
                  <w:tcW w:w="2446" w:type="pct"/>
                  <w:tcBorders>
                    <w:top w:val="single" w:color="auto" w:sz="4" w:space="0"/>
                    <w:left w:val="nil"/>
                    <w:bottom w:val="single" w:color="auto" w:sz="12" w:space="0"/>
                    <w:right w:val="single" w:color="auto" w:sz="4" w:space="0"/>
                  </w:tcBorders>
                  <w:noWrap w:val="0"/>
                  <w:vAlign w:val="center"/>
                </w:tcPr>
                <w:p w14:paraId="240230CE">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right="0" w:firstLine="0" w:firstLineChars="0"/>
                    <w:jc w:val="both"/>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18</w:t>
                  </w:r>
                  <w:r>
                    <w:rPr>
                      <w:rFonts w:hint="eastAsia" w:ascii="Times New Roman" w:hAnsi="Times New Roman" w:cs="Times New Roman"/>
                      <w:color w:val="auto"/>
                      <w:kern w:val="0"/>
                      <w:sz w:val="21"/>
                      <w:szCs w:val="21"/>
                      <w:lang w:eastAsia="zh-CN"/>
                    </w:rPr>
                    <w:t>、</w:t>
                  </w:r>
                  <w:r>
                    <w:rPr>
                      <w:rFonts w:hint="default" w:ascii="Times New Roman" w:hAnsi="Times New Roman" w:eastAsia="宋体" w:cs="Times New Roman"/>
                      <w:color w:val="auto"/>
                      <w:kern w:val="0"/>
                      <w:sz w:val="21"/>
                      <w:szCs w:val="21"/>
                    </w:rPr>
                    <w:t>严格落实重污染天气移动源管控。2026年9月底前，更新完善用车大户清单和货车白名单，实现动态管理。重污染天气预警期间，停止使用国五及以下重型货车和国三及以下非道路移动机械，纳入重点民生保障的建设项目应使用新能源运输车辆和机械。指导大宗物料运输企业合理安排运力，提前做好生产物资储备。</w:t>
                  </w:r>
                </w:p>
              </w:tc>
              <w:tc>
                <w:tcPr>
                  <w:tcW w:w="1349" w:type="pct"/>
                  <w:tcBorders>
                    <w:top w:val="single" w:color="auto" w:sz="4" w:space="0"/>
                    <w:left w:val="nil"/>
                    <w:bottom w:val="single" w:color="auto" w:sz="12" w:space="0"/>
                    <w:right w:val="single" w:color="auto" w:sz="4" w:space="0"/>
                  </w:tcBorders>
                  <w:noWrap w:val="0"/>
                  <w:vAlign w:val="center"/>
                </w:tcPr>
                <w:p w14:paraId="37138811">
                  <w:pPr>
                    <w:pStyle w:val="23"/>
                    <w:keepNext w:val="0"/>
                    <w:keepLines w:val="0"/>
                    <w:pageBreakBefore w:val="0"/>
                    <w:widowControl w:val="0"/>
                    <w:suppressLineNumbers w:val="0"/>
                    <w:kinsoku/>
                    <w:wordWrap w:val="0"/>
                    <w:overflowPunct/>
                    <w:topLinePunct w:val="0"/>
                    <w:autoSpaceDE/>
                    <w:autoSpaceDN/>
                    <w:bidi w:val="0"/>
                    <w:adjustRightInd/>
                    <w:snapToGrid/>
                    <w:spacing w:before="100" w:beforeAutospacing="1" w:after="100" w:afterAutospacing="1" w:line="240" w:lineRule="auto"/>
                    <w:ind w:left="0" w:leftChars="0" w:right="0" w:firstLine="0" w:firstLineChars="0"/>
                    <w:jc w:val="both"/>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本项目不使用</w:t>
                  </w:r>
                  <w:r>
                    <w:rPr>
                      <w:rFonts w:hint="default" w:ascii="Times New Roman" w:hAnsi="Times New Roman" w:eastAsia="宋体" w:cs="Times New Roman"/>
                      <w:color w:val="auto"/>
                      <w:kern w:val="0"/>
                      <w:sz w:val="21"/>
                      <w:szCs w:val="21"/>
                    </w:rPr>
                    <w:t>国五及以下重型货车和国三及以下非道路移动机械</w:t>
                  </w:r>
                  <w:r>
                    <w:rPr>
                      <w:rFonts w:hint="eastAsia" w:ascii="Times New Roman" w:hAnsi="Times New Roman" w:eastAsia="宋体" w:cs="Times New Roman"/>
                      <w:color w:val="auto"/>
                      <w:kern w:val="0"/>
                      <w:sz w:val="21"/>
                      <w:szCs w:val="21"/>
                      <w:lang w:eastAsia="zh-CN"/>
                    </w:rPr>
                    <w:t>。</w:t>
                  </w:r>
                </w:p>
              </w:tc>
              <w:tc>
                <w:tcPr>
                  <w:tcW w:w="476" w:type="pct"/>
                  <w:tcBorders>
                    <w:top w:val="single" w:color="auto" w:sz="4" w:space="0"/>
                    <w:left w:val="nil"/>
                    <w:bottom w:val="single" w:color="auto" w:sz="12" w:space="0"/>
                    <w:right w:val="nil"/>
                  </w:tcBorders>
                  <w:noWrap w:val="0"/>
                  <w:vAlign w:val="center"/>
                </w:tcPr>
                <w:p w14:paraId="082233A3">
                  <w:pPr>
                    <w:pStyle w:val="23"/>
                    <w:keepNext w:val="0"/>
                    <w:keepLines w:val="0"/>
                    <w:pageBreakBefore w:val="0"/>
                    <w:widowControl w:val="0"/>
                    <w:suppressLineNumbers w:val="0"/>
                    <w:kinsoku/>
                    <w:wordWrap/>
                    <w:overflowPunct/>
                    <w:topLinePunct w:val="0"/>
                    <w:bidi w:val="0"/>
                    <w:spacing w:before="100" w:beforeAutospacing="1" w:after="100" w:afterAutospacing="1"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相符</w:t>
                  </w:r>
                </w:p>
              </w:tc>
            </w:tr>
          </w:tbl>
          <w:p w14:paraId="5FF9D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val="0"/>
                <w:bCs w:val="0"/>
                <w:color w:val="auto"/>
                <w:kern w:val="2"/>
                <w:sz w:val="24"/>
                <w:szCs w:val="24"/>
                <w:highlight w:val="none"/>
                <w:lang w:val="en-US" w:eastAsia="zh-CN" w:bidi="ar"/>
              </w:rPr>
              <w:t>由上表可知，项目符合</w:t>
            </w:r>
            <w:r>
              <w:rPr>
                <w:rFonts w:hint="default" w:ascii="Times New Roman" w:hAnsi="Times New Roman" w:eastAsia="宋体" w:cs="Times New Roman"/>
                <w:b w:val="0"/>
                <w:bCs w:val="0"/>
                <w:color w:val="auto"/>
                <w:kern w:val="2"/>
                <w:sz w:val="24"/>
                <w:szCs w:val="24"/>
                <w:highlight w:val="none"/>
                <w:lang w:val="en-US" w:eastAsia="zh-CN" w:bidi="ar"/>
              </w:rPr>
              <w:t>安环委〔202</w:t>
            </w:r>
            <w:r>
              <w:rPr>
                <w:rFonts w:hint="eastAsia" w:ascii="Times New Roman" w:hAnsi="Times New Roman" w:eastAsia="宋体" w:cs="Times New Roman"/>
                <w:b w:val="0"/>
                <w:bCs w:val="0"/>
                <w:color w:val="auto"/>
                <w:kern w:val="2"/>
                <w:sz w:val="24"/>
                <w:szCs w:val="24"/>
                <w:highlight w:val="none"/>
                <w:lang w:val="en-US" w:eastAsia="zh-CN" w:bidi="ar"/>
              </w:rPr>
              <w:t>6</w:t>
            </w:r>
            <w:r>
              <w:rPr>
                <w:rFonts w:hint="default" w:ascii="Times New Roman" w:hAnsi="Times New Roman" w:eastAsia="宋体" w:cs="Times New Roman"/>
                <w:b w:val="0"/>
                <w:bCs w:val="0"/>
                <w:color w:val="auto"/>
                <w:kern w:val="2"/>
                <w:sz w:val="24"/>
                <w:szCs w:val="24"/>
                <w:highlight w:val="none"/>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
              </w:rPr>
              <w:t>1</w:t>
            </w:r>
            <w:r>
              <w:rPr>
                <w:rFonts w:hint="default" w:ascii="Times New Roman" w:hAnsi="Times New Roman" w:eastAsia="宋体" w:cs="Times New Roman"/>
                <w:b w:val="0"/>
                <w:bCs w:val="0"/>
                <w:color w:val="auto"/>
                <w:kern w:val="2"/>
                <w:sz w:val="24"/>
                <w:szCs w:val="24"/>
                <w:highlight w:val="none"/>
                <w:lang w:val="en-US" w:eastAsia="zh-CN" w:bidi="ar"/>
              </w:rPr>
              <w:t>号</w:t>
            </w:r>
            <w:r>
              <w:rPr>
                <w:rFonts w:hint="eastAsia" w:ascii="Times New Roman" w:hAnsi="Times New Roman" w:eastAsia="宋体" w:cs="Times New Roman"/>
                <w:b w:val="0"/>
                <w:bCs w:val="0"/>
                <w:color w:val="auto"/>
                <w:kern w:val="2"/>
                <w:sz w:val="24"/>
                <w:szCs w:val="24"/>
                <w:highlight w:val="none"/>
                <w:lang w:val="en-US" w:eastAsia="zh-CN" w:bidi="ar"/>
              </w:rPr>
              <w:t>中相关要求。</w:t>
            </w:r>
          </w:p>
          <w:p w14:paraId="54C1A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b/>
                <w:bCs/>
                <w:color w:val="auto"/>
                <w:kern w:val="0"/>
                <w:sz w:val="24"/>
                <w:szCs w:val="24"/>
                <w:highlight w:val="none"/>
                <w:u w:val="none"/>
                <w:lang w:val="en-US" w:eastAsia="zh-CN" w:bidi="ar"/>
              </w:rPr>
              <w:t>10.</w:t>
            </w:r>
            <w:r>
              <w:rPr>
                <w:rFonts w:hint="default" w:ascii="Times New Roman" w:hAnsi="Times New Roman" w:eastAsia="宋体" w:cs="Times New Roman"/>
                <w:b/>
                <w:bCs/>
                <w:color w:val="auto"/>
                <w:kern w:val="0"/>
                <w:sz w:val="24"/>
                <w:szCs w:val="24"/>
                <w:highlight w:val="none"/>
                <w:u w:val="none"/>
                <w:lang w:val="en-US" w:eastAsia="zh-CN" w:bidi="ar"/>
              </w:rPr>
              <w:t>本项目与备案证明相符性分析见下表</w:t>
            </w:r>
            <w:r>
              <w:rPr>
                <w:rFonts w:hint="default" w:ascii="Times New Roman" w:hAnsi="Times New Roman" w:eastAsia="Times New Roman" w:cs="Times New Roman"/>
                <w:color w:val="auto"/>
                <w:sz w:val="24"/>
                <w:szCs w:val="24"/>
                <w:highlight w:val="none"/>
              </w:rPr>
              <w:t>。</w:t>
            </w:r>
          </w:p>
          <w:p w14:paraId="68CF6307">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项目与备案证明相符性分析</w:t>
            </w:r>
          </w:p>
          <w:tbl>
            <w:tblPr>
              <w:tblStyle w:val="2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714"/>
              <w:gridCol w:w="2994"/>
              <w:gridCol w:w="2973"/>
              <w:gridCol w:w="681"/>
            </w:tblGrid>
            <w:tr w14:paraId="37748C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tcBorders>
                    <w:top w:val="single" w:color="auto" w:sz="4" w:space="0"/>
                    <w:left w:val="nil"/>
                    <w:bottom w:val="single" w:color="auto" w:sz="4" w:space="0"/>
                    <w:right w:val="single" w:color="auto" w:sz="4" w:space="0"/>
                  </w:tcBorders>
                  <w:noWrap w:val="0"/>
                  <w:vAlign w:val="center"/>
                </w:tcPr>
                <w:p w14:paraId="3610D7B8">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序号</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CF0EC64">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类别</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5438C64">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备案内容</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091260C2">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拟建内容</w:t>
                  </w:r>
                </w:p>
              </w:tc>
              <w:tc>
                <w:tcPr>
                  <w:tcW w:w="434" w:type="pct"/>
                  <w:tcBorders>
                    <w:top w:val="single" w:color="auto" w:sz="4" w:space="0"/>
                    <w:left w:val="single" w:color="auto" w:sz="4" w:space="0"/>
                    <w:bottom w:val="single" w:color="auto" w:sz="4" w:space="0"/>
                    <w:right w:val="nil"/>
                  </w:tcBorders>
                  <w:noWrap w:val="0"/>
                  <w:vAlign w:val="center"/>
                </w:tcPr>
                <w:p w14:paraId="74D98B4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相符性</w:t>
                  </w:r>
                </w:p>
              </w:tc>
            </w:tr>
            <w:tr w14:paraId="003585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tcBorders>
                    <w:top w:val="single" w:color="auto" w:sz="4" w:space="0"/>
                    <w:left w:val="nil"/>
                    <w:bottom w:val="single" w:color="auto" w:sz="4" w:space="0"/>
                    <w:right w:val="single" w:color="auto" w:sz="4" w:space="0"/>
                  </w:tcBorders>
                  <w:noWrap w:val="0"/>
                  <w:vAlign w:val="center"/>
                </w:tcPr>
                <w:p w14:paraId="28AACE93">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1</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4ACB9F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lang w:val="en-US" w:eastAsia="zh-CN"/>
                    </w:rPr>
                    <w:t>项目名称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D7BB696">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eastAsia="zh-CN"/>
                    </w:rPr>
                    <w:t>年产4500万米高分子物理合成编织水带项目</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78CBBDFF">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eastAsia="zh-CN"/>
                    </w:rPr>
                    <w:t>年产4500万米高分子物理合成编织水带项目</w:t>
                  </w:r>
                </w:p>
              </w:tc>
              <w:tc>
                <w:tcPr>
                  <w:tcW w:w="434" w:type="pct"/>
                  <w:tcBorders>
                    <w:top w:val="single" w:color="auto" w:sz="4" w:space="0"/>
                    <w:left w:val="single" w:color="auto" w:sz="4" w:space="0"/>
                    <w:bottom w:val="single" w:color="auto" w:sz="4" w:space="0"/>
                    <w:right w:val="nil"/>
                  </w:tcBorders>
                  <w:noWrap w:val="0"/>
                  <w:vAlign w:val="center"/>
                </w:tcPr>
                <w:p w14:paraId="4E2A601C">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Times New Roman" w:cs="Times New Roman"/>
                      <w:color w:val="auto"/>
                      <w:sz w:val="21"/>
                      <w:szCs w:val="21"/>
                      <w:highlight w:val="none"/>
                    </w:rPr>
                    <w:t>相符</w:t>
                  </w:r>
                </w:p>
              </w:tc>
            </w:tr>
            <w:tr w14:paraId="537E46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302" w:type="pct"/>
                  <w:tcBorders>
                    <w:top w:val="single" w:color="auto" w:sz="4" w:space="0"/>
                    <w:left w:val="nil"/>
                    <w:bottom w:val="single" w:color="auto" w:sz="4" w:space="0"/>
                    <w:right w:val="single" w:color="auto" w:sz="4" w:space="0"/>
                  </w:tcBorders>
                  <w:noWrap w:val="0"/>
                  <w:vAlign w:val="center"/>
                </w:tcPr>
                <w:p w14:paraId="5A736E08">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2</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821678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lang w:val="en-US" w:eastAsia="zh-CN"/>
                    </w:rPr>
                    <w:t>企业名称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252F2B97">
                  <w:pPr>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sz w:val="21"/>
                      <w:szCs w:val="21"/>
                      <w:highlight w:val="none"/>
                      <w:lang w:eastAsia="zh-CN"/>
                    </w:rPr>
                  </w:pPr>
                  <w:r>
                    <w:rPr>
                      <w:rFonts w:hint="eastAsia" w:eastAsia="Times New Roman" w:cs="Times New Roman"/>
                      <w:bCs/>
                      <w:color w:val="auto"/>
                      <w:sz w:val="21"/>
                      <w:szCs w:val="21"/>
                      <w:highlight w:val="none"/>
                      <w:lang w:eastAsia="zh-CN"/>
                    </w:rPr>
                    <w:t>安阳市雨露节水灌溉科技有限公司</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3578C94A">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eastAsia" w:eastAsia="Times New Roman" w:cs="Times New Roman"/>
                      <w:bCs/>
                      <w:color w:val="auto"/>
                      <w:sz w:val="21"/>
                      <w:szCs w:val="21"/>
                      <w:highlight w:val="none"/>
                      <w:lang w:eastAsia="zh-CN"/>
                    </w:rPr>
                    <w:t>安阳市雨露节水灌溉科技有限公司</w:t>
                  </w:r>
                </w:p>
              </w:tc>
              <w:tc>
                <w:tcPr>
                  <w:tcW w:w="434" w:type="pct"/>
                  <w:tcBorders>
                    <w:top w:val="single" w:color="auto" w:sz="4" w:space="0"/>
                    <w:left w:val="single" w:color="auto" w:sz="4" w:space="0"/>
                    <w:bottom w:val="single" w:color="auto" w:sz="4" w:space="0"/>
                    <w:right w:val="nil"/>
                  </w:tcBorders>
                  <w:noWrap w:val="0"/>
                  <w:vAlign w:val="center"/>
                </w:tcPr>
                <w:p w14:paraId="54A72D68">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color w:val="auto"/>
                      <w:sz w:val="21"/>
                      <w:szCs w:val="21"/>
                      <w:highlight w:val="none"/>
                    </w:rPr>
                    <w:t>相符</w:t>
                  </w:r>
                </w:p>
              </w:tc>
            </w:tr>
            <w:tr w14:paraId="638279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02" w:type="pct"/>
                  <w:tcBorders>
                    <w:top w:val="single" w:color="auto" w:sz="4" w:space="0"/>
                    <w:left w:val="nil"/>
                    <w:bottom w:val="single" w:color="auto" w:sz="4" w:space="0"/>
                    <w:right w:val="single" w:color="auto" w:sz="4" w:space="0"/>
                  </w:tcBorders>
                  <w:noWrap w:val="0"/>
                  <w:vAlign w:val="center"/>
                </w:tcPr>
                <w:p w14:paraId="6DCE200D">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3</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BEA5729">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建设</w:t>
                  </w:r>
                </w:p>
                <w:p w14:paraId="15D823F4">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kern w:val="2"/>
                      <w:sz w:val="21"/>
                      <w:szCs w:val="21"/>
                      <w:highlight w:val="none"/>
                      <w:lang w:val="en-US" w:eastAsia="zh-CN" w:bidi="ar-SA"/>
                    </w:rPr>
                  </w:pPr>
                  <w:r>
                    <w:rPr>
                      <w:rFonts w:hint="default" w:ascii="Times New Roman" w:hAnsi="Times New Roman" w:eastAsia="Times New Roman" w:cs="Times New Roman"/>
                      <w:bCs/>
                      <w:color w:val="auto"/>
                      <w:sz w:val="21"/>
                      <w:szCs w:val="21"/>
                      <w:highlight w:val="none"/>
                    </w:rPr>
                    <w:t>地点</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C87CF65">
                  <w:pPr>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eastAsia="宋体" w:cs="Times New Roman"/>
                      <w:bCs/>
                      <w:color w:val="auto"/>
                      <w:sz w:val="21"/>
                      <w:szCs w:val="21"/>
                      <w:highlight w:val="none"/>
                      <w:lang w:eastAsia="zh-CN"/>
                    </w:rPr>
                    <w:t>安阳市汤阴县古贤镇中西路、工业三路与工业四路交叉口西北角9号</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51E8A160">
                  <w:pPr>
                    <w:keepNext w:val="0"/>
                    <w:keepLines w:val="0"/>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eastAsia="宋体" w:cs="Times New Roman"/>
                      <w:bCs/>
                      <w:color w:val="auto"/>
                      <w:sz w:val="21"/>
                      <w:szCs w:val="21"/>
                      <w:highlight w:val="none"/>
                      <w:lang w:eastAsia="zh-CN"/>
                    </w:rPr>
                    <w:t>安阳市汤阴县古贤镇中西路、工业三路与工业四路交叉口西北角9号</w:t>
                  </w:r>
                </w:p>
              </w:tc>
              <w:tc>
                <w:tcPr>
                  <w:tcW w:w="434" w:type="pct"/>
                  <w:tcBorders>
                    <w:top w:val="single" w:color="auto" w:sz="4" w:space="0"/>
                    <w:left w:val="single" w:color="auto" w:sz="4" w:space="0"/>
                    <w:bottom w:val="single" w:color="auto" w:sz="4" w:space="0"/>
                    <w:right w:val="nil"/>
                  </w:tcBorders>
                  <w:noWrap w:val="0"/>
                  <w:vAlign w:val="center"/>
                </w:tcPr>
                <w:p w14:paraId="7F3A9949">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
                      <w:bCs/>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rPr>
                    <w:t>相符</w:t>
                  </w:r>
                </w:p>
              </w:tc>
            </w:tr>
            <w:tr w14:paraId="6B337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2" w:type="pct"/>
                  <w:tcBorders>
                    <w:top w:val="single" w:color="auto" w:sz="4" w:space="0"/>
                    <w:left w:val="nil"/>
                    <w:bottom w:val="single" w:color="auto" w:sz="4" w:space="0"/>
                    <w:right w:val="single" w:color="auto" w:sz="4" w:space="0"/>
                  </w:tcBorders>
                  <w:noWrap w:val="0"/>
                  <w:vAlign w:val="center"/>
                </w:tcPr>
                <w:p w14:paraId="2CCDC613">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lang w:val="en-US" w:eastAsia="zh-CN"/>
                    </w:rPr>
                    <w:t>4</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0F71B82">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建设</w:t>
                  </w:r>
                </w:p>
                <w:p w14:paraId="4B5891E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性质</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240DD293">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迁建</w:t>
                  </w:r>
                </w:p>
              </w:tc>
              <w:tc>
                <w:tcPr>
                  <w:tcW w:w="1896" w:type="pct"/>
                  <w:tcBorders>
                    <w:top w:val="single" w:color="auto" w:sz="4" w:space="0"/>
                    <w:left w:val="single" w:color="auto" w:sz="4" w:space="0"/>
                    <w:bottom w:val="single" w:color="auto" w:sz="4" w:space="0"/>
                    <w:right w:val="single" w:color="auto" w:sz="4" w:space="0"/>
                  </w:tcBorders>
                  <w:noWrap w:val="0"/>
                  <w:vAlign w:val="center"/>
                </w:tcPr>
                <w:p w14:paraId="452931C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迁建</w:t>
                  </w:r>
                </w:p>
              </w:tc>
              <w:tc>
                <w:tcPr>
                  <w:tcW w:w="434" w:type="pct"/>
                  <w:tcBorders>
                    <w:top w:val="single" w:color="auto" w:sz="4" w:space="0"/>
                    <w:left w:val="single" w:color="auto" w:sz="4" w:space="0"/>
                    <w:bottom w:val="single" w:color="auto" w:sz="4" w:space="0"/>
                    <w:right w:val="nil"/>
                  </w:tcBorders>
                  <w:noWrap w:val="0"/>
                  <w:vAlign w:val="center"/>
                </w:tcPr>
                <w:p w14:paraId="3D1F814F">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color w:val="auto"/>
                      <w:sz w:val="21"/>
                      <w:szCs w:val="21"/>
                      <w:highlight w:val="none"/>
                    </w:rPr>
                    <w:t>相符</w:t>
                  </w:r>
                </w:p>
              </w:tc>
            </w:tr>
            <w:tr w14:paraId="7A3E5D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02" w:type="pct"/>
                  <w:tcBorders>
                    <w:top w:val="single" w:color="auto" w:sz="4" w:space="0"/>
                    <w:left w:val="nil"/>
                    <w:bottom w:val="single" w:color="auto" w:sz="4" w:space="0"/>
                    <w:right w:val="single" w:color="auto" w:sz="4" w:space="0"/>
                  </w:tcBorders>
                  <w:noWrap w:val="0"/>
                  <w:vAlign w:val="center"/>
                </w:tcPr>
                <w:p w14:paraId="1F008679">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bCs/>
                      <w:color w:val="auto"/>
                      <w:sz w:val="21"/>
                      <w:szCs w:val="21"/>
                      <w:highlight w:val="none"/>
                      <w:lang w:val="en-US" w:eastAsia="zh-CN"/>
                    </w:rPr>
                    <w:t>5</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B7FFDCC">
                  <w:pPr>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建设</w:t>
                  </w:r>
                </w:p>
                <w:p w14:paraId="1698F0D4">
                  <w:pPr>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内容</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3292FDD2">
                  <w:pPr>
                    <w:keepNext w:val="0"/>
                    <w:keepLines w:val="0"/>
                    <w:suppressLineNumbers w:val="0"/>
                    <w:spacing w:before="0" w:beforeAutospacing="0" w:after="0" w:afterAutospacing="0" w:line="240" w:lineRule="auto"/>
                    <w:ind w:left="0" w:right="0"/>
                    <w:jc w:val="both"/>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项目拟投资3000万元，建设规模为年产量</w:t>
                  </w:r>
                  <w:r>
                    <w:rPr>
                      <w:rFonts w:hint="eastAsia" w:eastAsia="Times New Roman" w:cs="Times New Roman"/>
                      <w:color w:val="auto"/>
                      <w:sz w:val="21"/>
                      <w:szCs w:val="21"/>
                      <w:highlight w:val="none"/>
                      <w:lang w:val="en-US" w:eastAsia="zh-CN"/>
                    </w:rPr>
                    <w:t>4500万米</w:t>
                  </w:r>
                  <w:r>
                    <w:rPr>
                      <w:rFonts w:hint="default" w:ascii="Times New Roman" w:hAnsi="Times New Roman" w:eastAsia="Times New Roman" w:cs="Times New Roman"/>
                      <w:color w:val="auto"/>
                      <w:sz w:val="21"/>
                      <w:szCs w:val="21"/>
                      <w:highlight w:val="none"/>
                      <w:lang w:val="en-US" w:eastAsia="zh-CN"/>
                    </w:rPr>
                    <w:t>高分子物理合成编织水带，项目采用物理合成工艺，流程为：原料-吹膜-编织-高频物理合成-收卷-覆膜-包装-成品。主要设备有挤出（吹膜）机、编织机、高频复合机、覆膜机、收卷机、水带粘合机等。主要产品为2cm-48cm编织水带，产品主要用于农田节水灌溉、市政绿化、工程建设等。</w:t>
                  </w:r>
                </w:p>
              </w:tc>
              <w:tc>
                <w:tcPr>
                  <w:tcW w:w="1896" w:type="pct"/>
                  <w:tcBorders>
                    <w:top w:val="single" w:color="auto" w:sz="4" w:space="0"/>
                    <w:left w:val="single" w:color="auto" w:sz="4" w:space="0"/>
                    <w:right w:val="single" w:color="auto" w:sz="4" w:space="0"/>
                  </w:tcBorders>
                  <w:noWrap w:val="0"/>
                  <w:vAlign w:val="center"/>
                </w:tcPr>
                <w:p w14:paraId="2A2C86FE">
                  <w:pPr>
                    <w:keepNext w:val="0"/>
                    <w:keepLines w:val="0"/>
                    <w:suppressLineNumbers w:val="0"/>
                    <w:spacing w:before="0" w:beforeAutospacing="0" w:after="0" w:afterAutospacing="0" w:line="240" w:lineRule="auto"/>
                    <w:ind w:left="0" w:right="0"/>
                    <w:jc w:val="both"/>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lang w:val="en-US" w:eastAsia="zh-CN"/>
                    </w:rPr>
                    <w:t>项目拟投资3000万元，建设规模为年产量</w:t>
                  </w:r>
                  <w:r>
                    <w:rPr>
                      <w:rFonts w:hint="eastAsia" w:eastAsia="Times New Roman" w:cs="Times New Roman"/>
                      <w:color w:val="auto"/>
                      <w:sz w:val="21"/>
                      <w:szCs w:val="21"/>
                      <w:highlight w:val="none"/>
                      <w:lang w:val="en-US" w:eastAsia="zh-CN"/>
                    </w:rPr>
                    <w:t>4500万米</w:t>
                  </w:r>
                  <w:r>
                    <w:rPr>
                      <w:rFonts w:hint="default" w:ascii="Times New Roman" w:hAnsi="Times New Roman" w:eastAsia="Times New Roman" w:cs="Times New Roman"/>
                      <w:color w:val="auto"/>
                      <w:sz w:val="21"/>
                      <w:szCs w:val="21"/>
                      <w:highlight w:val="none"/>
                      <w:lang w:val="en-US" w:eastAsia="zh-CN"/>
                    </w:rPr>
                    <w:t>高分子物理合成编织水带，项目采用物理合成工艺，流程为：原料-吹膜-编织-高频物理合成-收卷-覆膜-包装-成品。主要设备有挤出（吹膜）机、编织机、高频复合机、覆膜机、收卷机、水带粘合机等。主要产品为2cm-48cm编织水带，产品主要用于农田节水灌溉、市政绿化、工程建设等。</w:t>
                  </w:r>
                </w:p>
              </w:tc>
              <w:tc>
                <w:tcPr>
                  <w:tcW w:w="434" w:type="pct"/>
                  <w:tcBorders>
                    <w:top w:val="single" w:color="auto" w:sz="4" w:space="0"/>
                    <w:left w:val="single" w:color="auto" w:sz="4" w:space="0"/>
                    <w:bottom w:val="single" w:color="auto" w:sz="4" w:space="0"/>
                    <w:right w:val="nil"/>
                  </w:tcBorders>
                  <w:noWrap w:val="0"/>
                  <w:vAlign w:val="center"/>
                </w:tcPr>
                <w:p w14:paraId="29F02A10">
                  <w:pPr>
                    <w:keepNext w:val="0"/>
                    <w:keepLines w:val="0"/>
                    <w:suppressLineNumbers w:val="0"/>
                    <w:adjustRightInd w:val="0"/>
                    <w:spacing w:before="0" w:beforeAutospacing="0" w:after="0" w:afterAutospacing="0" w:line="240" w:lineRule="auto"/>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相符</w:t>
                  </w:r>
                </w:p>
              </w:tc>
            </w:tr>
          </w:tbl>
          <w:p w14:paraId="015D66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yellow"/>
                <w:lang w:eastAsia="zh-CN"/>
              </w:rPr>
            </w:pPr>
            <w:r>
              <w:rPr>
                <w:rFonts w:hint="default" w:ascii="Times New Roman" w:hAnsi="Times New Roman" w:eastAsia="Times New Roman" w:cs="Times New Roman"/>
                <w:color w:val="auto"/>
                <w:sz w:val="24"/>
                <w:szCs w:val="24"/>
                <w:highlight w:val="none"/>
              </w:rPr>
              <w:t>由</w:t>
            </w:r>
            <w:r>
              <w:rPr>
                <w:rFonts w:hint="default" w:ascii="Times New Roman" w:hAnsi="Times New Roman" w:eastAsia="Times New Roman" w:cs="Times New Roman"/>
                <w:color w:val="auto"/>
                <w:sz w:val="24"/>
                <w:szCs w:val="24"/>
                <w:highlight w:val="none"/>
                <w:lang w:val="en-US" w:eastAsia="zh-CN"/>
              </w:rPr>
              <w:t>上</w:t>
            </w:r>
            <w:r>
              <w:rPr>
                <w:rFonts w:hint="default" w:ascii="Times New Roman" w:hAnsi="Times New Roman" w:eastAsia="Times New Roman" w:cs="Times New Roman"/>
                <w:color w:val="auto"/>
                <w:sz w:val="24"/>
                <w:szCs w:val="24"/>
                <w:highlight w:val="none"/>
              </w:rPr>
              <w:t>表可知，</w:t>
            </w:r>
            <w:r>
              <w:rPr>
                <w:rFonts w:hint="eastAsia" w:eastAsia="宋体" w:cs="Times New Roman"/>
                <w:color w:val="auto"/>
                <w:sz w:val="24"/>
                <w:szCs w:val="24"/>
                <w:highlight w:val="none"/>
                <w:lang w:eastAsia="zh-CN"/>
              </w:rPr>
              <w:t>本项目建设内容与备案一致。</w:t>
            </w:r>
          </w:p>
          <w:p w14:paraId="723DE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p w14:paraId="3D91FD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宋体" w:cs="Times New Roman"/>
                <w:color w:val="auto"/>
                <w:kern w:val="2"/>
                <w:sz w:val="24"/>
                <w:szCs w:val="24"/>
                <w:lang w:val="en-US" w:eastAsia="zh-CN" w:bidi="ar"/>
              </w:rPr>
            </w:pPr>
          </w:p>
        </w:tc>
      </w:tr>
    </w:tbl>
    <w:p w14:paraId="148002A9">
      <w:pPr>
        <w:spacing w:line="360" w:lineRule="auto"/>
        <w:outlineLvl w:val="0"/>
        <w:rPr>
          <w:rFonts w:hint="default" w:ascii="Times New Roman" w:hAnsi="Times New Roman" w:eastAsia="黑体" w:cs="Times New Roman"/>
          <w:color w:val="auto"/>
          <w:sz w:val="30"/>
          <w:highlight w:val="none"/>
        </w:rPr>
        <w:sectPr>
          <w:footerReference r:id="rId7" w:type="first"/>
          <w:footerReference r:id="rId6"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start="1"/>
          <w:cols w:space="720" w:num="1"/>
          <w:titlePg/>
          <w:rtlGutter w:val="0"/>
          <w:docGrid w:linePitch="312" w:charSpace="0"/>
        </w:sectPr>
      </w:pPr>
    </w:p>
    <w:p w14:paraId="493808AF">
      <w:pPr>
        <w:pStyle w:val="23"/>
        <w:spacing w:before="0" w:beforeAutospacing="0" w:after="0" w:afterAutospacing="0"/>
        <w:jc w:val="center"/>
        <w:outlineLvl w:val="0"/>
        <w:rPr>
          <w:rFonts w:hint="default" w:ascii="Times New Roman" w:hAnsi="Times New Roman" w:cs="Times New Roman"/>
          <w:color w:val="auto"/>
          <w:highlight w:val="none"/>
        </w:rPr>
      </w:pPr>
      <w:bookmarkStart w:id="4" w:name="_Toc11615"/>
      <w:r>
        <w:rPr>
          <w:rFonts w:hint="default" w:ascii="Times New Roman" w:hAnsi="Times New Roman" w:eastAsia="黑体" w:cs="Times New Roman"/>
          <w:snapToGrid w:val="0"/>
          <w:color w:val="auto"/>
          <w:sz w:val="30"/>
          <w:szCs w:val="30"/>
          <w:highlight w:val="none"/>
        </w:rPr>
        <w:t>二、建设项目工程分析</w:t>
      </w:r>
      <w:bookmarkEnd w:id="4"/>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8348"/>
      </w:tblGrid>
      <w:tr w14:paraId="74EFF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655" w:type="dxa"/>
            <w:noWrap w:val="0"/>
            <w:vAlign w:val="center"/>
          </w:tcPr>
          <w:p w14:paraId="48490E46">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4"/>
                <w:highlight w:val="none"/>
              </w:rPr>
            </w:pPr>
            <w:r>
              <w:rPr>
                <w:rFonts w:hint="default" w:ascii="Times New Roman" w:hAnsi="Times New Roman" w:eastAsia="Times New Roman" w:cs="Times New Roman"/>
                <w:color w:val="auto"/>
                <w:szCs w:val="24"/>
                <w:highlight w:val="none"/>
              </w:rPr>
              <w:t>建设内容</w:t>
            </w:r>
          </w:p>
        </w:tc>
        <w:tc>
          <w:tcPr>
            <w:tcW w:w="8348" w:type="dxa"/>
            <w:noWrap w:val="0"/>
            <w:vAlign w:val="top"/>
          </w:tcPr>
          <w:p w14:paraId="09BCAB03">
            <w:pPr>
              <w:keepNext w:val="0"/>
              <w:keepLines w:val="0"/>
              <w:suppressLineNumbers w:val="0"/>
              <w:adjustRightInd w:val="0"/>
              <w:snapToGrid w:val="0"/>
              <w:spacing w:before="120" w:beforeLines="50" w:beforeAutospacing="0" w:after="0" w:afterAutospacing="0" w:line="360" w:lineRule="auto"/>
              <w:ind w:left="0" w:right="0"/>
              <w:rPr>
                <w:rFonts w:hint="default" w:ascii="Times New Roman" w:hAnsi="Times New Roman" w:eastAsia="Times New Roman" w:cs="Times New Roman"/>
                <w:b/>
                <w:color w:val="auto"/>
                <w:sz w:val="24"/>
                <w:szCs w:val="24"/>
                <w:highlight w:val="none"/>
                <w:lang w:val="en-US" w:eastAsia="zh-CN"/>
              </w:rPr>
            </w:pPr>
            <w:r>
              <w:rPr>
                <w:rFonts w:hint="default" w:ascii="Times New Roman" w:hAnsi="Times New Roman" w:eastAsia="Times New Roman" w:cs="Times New Roman"/>
                <w:b/>
                <w:color w:val="auto"/>
                <w:sz w:val="24"/>
                <w:szCs w:val="24"/>
                <w:highlight w:val="none"/>
              </w:rPr>
              <w:t>1.</w:t>
            </w:r>
            <w:r>
              <w:rPr>
                <w:rFonts w:hint="default" w:ascii="Times New Roman" w:hAnsi="Times New Roman" w:eastAsia="Times New Roman" w:cs="Times New Roman"/>
                <w:b/>
                <w:color w:val="auto"/>
                <w:sz w:val="24"/>
                <w:szCs w:val="24"/>
                <w:highlight w:val="none"/>
                <w:lang w:val="en-US" w:eastAsia="zh-CN"/>
              </w:rPr>
              <w:t>项目由来</w:t>
            </w:r>
          </w:p>
          <w:p w14:paraId="39BC95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安阳市雨露节水灌溉科技有限公司</w:t>
            </w:r>
            <w:r>
              <w:rPr>
                <w:rFonts w:hint="eastAsia" w:cs="Times New Roman"/>
                <w:color w:val="auto"/>
                <w:sz w:val="24"/>
                <w:szCs w:val="24"/>
                <w:highlight w:val="none"/>
                <w:lang w:val="en-US" w:eastAsia="zh-CN"/>
              </w:rPr>
              <w:t>现有厂房</w:t>
            </w:r>
            <w:r>
              <w:rPr>
                <w:rFonts w:hint="default" w:ascii="Times New Roman" w:hAnsi="Times New Roman" w:eastAsia="宋体" w:cs="Times New Roman"/>
                <w:color w:val="auto"/>
                <w:sz w:val="24"/>
                <w:szCs w:val="24"/>
                <w:highlight w:val="none"/>
                <w:lang w:val="en-US" w:eastAsia="zh-CN"/>
              </w:rPr>
              <w:t>位于</w:t>
            </w:r>
            <w:r>
              <w:rPr>
                <w:rFonts w:hint="eastAsia" w:ascii="宋体" w:hAnsi="宋体" w:eastAsia="宋体" w:cs="宋体"/>
                <w:color w:val="auto"/>
                <w:kern w:val="0"/>
                <w:sz w:val="24"/>
                <w:szCs w:val="24"/>
                <w:lang w:val="en-US" w:eastAsia="zh-CN"/>
              </w:rPr>
              <w:t>安阳市</w:t>
            </w:r>
            <w:r>
              <w:rPr>
                <w:rFonts w:hint="eastAsia" w:ascii="宋体" w:hAnsi="宋体" w:cs="宋体"/>
                <w:color w:val="auto"/>
                <w:kern w:val="0"/>
                <w:sz w:val="24"/>
                <w:szCs w:val="24"/>
                <w:lang w:val="en-US" w:eastAsia="zh-CN"/>
              </w:rPr>
              <w:t>汤阴县宜沟镇</w:t>
            </w:r>
            <w:r>
              <w:rPr>
                <w:rFonts w:hint="eastAsia" w:ascii="宋体" w:hAnsi="宋体" w:eastAsia="宋体" w:cs="宋体"/>
                <w:color w:val="auto"/>
                <w:kern w:val="0"/>
                <w:sz w:val="24"/>
                <w:szCs w:val="24"/>
                <w:lang w:val="en-US" w:eastAsia="zh-CN"/>
              </w:rPr>
              <w:t>新型制造业产业园区内</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建设有</w:t>
            </w:r>
            <w:r>
              <w:rPr>
                <w:rFonts w:hint="eastAsia" w:ascii="Times New Roman" w:hAnsi="Times New Roman" w:eastAsia="宋体" w:cs="Times New Roman"/>
                <w:color w:val="auto"/>
                <w:sz w:val="24"/>
                <w:szCs w:val="24"/>
                <w:highlight w:val="none"/>
                <w:lang w:eastAsia="zh-CN"/>
              </w:rPr>
              <w:t>年</w:t>
            </w:r>
            <w:r>
              <w:rPr>
                <w:rFonts w:hint="default" w:ascii="Times New Roman" w:hAnsi="Times New Roman" w:eastAsia="宋体" w:cs="Times New Roman"/>
                <w:color w:val="auto"/>
                <w:sz w:val="24"/>
                <w:szCs w:val="24"/>
                <w:highlight w:val="none"/>
              </w:rPr>
              <w:t>产量3000万米高分子物理合成编织水带项目</w:t>
            </w:r>
            <w:r>
              <w:rPr>
                <w:rFonts w:hint="eastAsia" w:cs="Times New Roman"/>
                <w:color w:val="auto"/>
                <w:sz w:val="24"/>
                <w:szCs w:val="24"/>
                <w:highlight w:val="none"/>
                <w:lang w:eastAsia="zh-CN"/>
              </w:rPr>
              <w:t>，其环境影响评价报告</w:t>
            </w:r>
            <w:r>
              <w:rPr>
                <w:rFonts w:hint="eastAsia" w:ascii="Times New Roman" w:hAnsi="Times New Roman" w:eastAsia="宋体" w:cs="Times New Roman"/>
                <w:color w:val="auto"/>
                <w:sz w:val="24"/>
                <w:szCs w:val="24"/>
                <w:highlight w:val="none"/>
                <w:lang w:eastAsia="zh-CN"/>
              </w:rPr>
              <w:t>于</w:t>
            </w:r>
            <w:r>
              <w:rPr>
                <w:rFonts w:hint="eastAsia" w:ascii="Times New Roman" w:hAnsi="Times New Roman" w:eastAsia="宋体" w:cs="Times New Roman"/>
                <w:color w:val="auto"/>
                <w:sz w:val="24"/>
                <w:szCs w:val="24"/>
                <w:highlight w:val="none"/>
                <w:lang w:val="en-US" w:eastAsia="zh-CN"/>
              </w:rPr>
              <w:t>2021</w:t>
            </w:r>
            <w:r>
              <w:rPr>
                <w:rFonts w:hint="eastAsia" w:ascii="Times New Roman" w:hAnsi="Times New Roman" w:eastAsia="宋体" w:cs="Times New Roman"/>
                <w:color w:val="auto"/>
                <w:sz w:val="24"/>
                <w:szCs w:val="24"/>
                <w:highlight w:val="none"/>
                <w:lang w:val="en-US" w:eastAsia="zh-CN"/>
              </w:rPr>
              <w:t>年取得</w:t>
            </w:r>
            <w:r>
              <w:rPr>
                <w:rFonts w:hint="eastAsia" w:cs="Times New Roman"/>
                <w:color w:val="auto"/>
                <w:sz w:val="24"/>
                <w:szCs w:val="24"/>
                <w:highlight w:val="none"/>
                <w:lang w:val="en-US" w:eastAsia="zh-CN"/>
              </w:rPr>
              <w:t>安阳市生态环境局汤阴</w:t>
            </w:r>
            <w:r>
              <w:rPr>
                <w:rFonts w:hint="eastAsia" w:cs="Times New Roman"/>
                <w:color w:val="auto"/>
                <w:sz w:val="24"/>
                <w:szCs w:val="24"/>
                <w:highlight w:val="none"/>
                <w:lang w:val="en-US" w:eastAsia="zh-CN"/>
              </w:rPr>
              <w:t>分局</w:t>
            </w:r>
            <w:r>
              <w:rPr>
                <w:rFonts w:hint="eastAsia" w:ascii="Times New Roman" w:hAnsi="Times New Roman" w:eastAsia="宋体" w:cs="Times New Roman"/>
                <w:color w:val="auto"/>
                <w:sz w:val="24"/>
                <w:szCs w:val="24"/>
                <w:highlight w:val="none"/>
                <w:lang w:val="en-US" w:eastAsia="zh-CN"/>
              </w:rPr>
              <w:t>批复</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文号：汤环管字〔202</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37号。为长远发展考虑，</w:t>
            </w:r>
            <w:r>
              <w:rPr>
                <w:rFonts w:hint="default" w:ascii="Times New Roman" w:hAnsi="Times New Roman" w:eastAsia="宋体" w:cs="Times New Roman"/>
                <w:color w:val="auto"/>
                <w:sz w:val="24"/>
                <w:szCs w:val="24"/>
                <w:highlight w:val="none"/>
                <w:lang w:val="en-US" w:eastAsia="zh-CN"/>
              </w:rPr>
              <w:t>企业</w:t>
            </w:r>
            <w:r>
              <w:rPr>
                <w:rFonts w:hint="eastAsia" w:cs="Times New Roman"/>
                <w:color w:val="auto"/>
                <w:sz w:val="24"/>
                <w:szCs w:val="24"/>
                <w:highlight w:val="none"/>
                <w:lang w:val="en-US" w:eastAsia="zh-CN"/>
              </w:rPr>
              <w:t>拟将现有生产线搬迁至安阳市汤阴县古贤镇中西路、工业三路与工业四路交叉口西北角9号，调整生产制度，将年产量3000万米的产能扩大至年产量4500万米，项目已于2026年2月4日在汤阴县发展与改革委备案，备案编号：2602-410523-04-01-405708。</w:t>
            </w:r>
          </w:p>
          <w:p w14:paraId="5D268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中华人民共和国环境影响评价法》、《建设项目环境保护管理条例》、《河南省建设项目环境保护条例》等法律、法规的规定，本项目需进行环境影响评价。依据生态环境部令第16号《建设项目环境影响评价分类管理名录》</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2021年版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项目类别为</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 xml:space="preserve">二十六、橡胶和塑料制品业29 </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中第53项</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塑料制品业 292</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其他（年用非溶剂型低VOCs含量涂料10吨以下的除外）</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应编制环境影响报告表</w:t>
            </w:r>
            <w:r>
              <w:rPr>
                <w:rFonts w:hint="eastAsia" w:cs="Times New Roman"/>
                <w:color w:val="auto"/>
                <w:sz w:val="24"/>
                <w:szCs w:val="24"/>
                <w:highlight w:val="none"/>
                <w:lang w:val="en-US" w:eastAsia="zh-CN"/>
              </w:rPr>
              <w:t>。</w:t>
            </w:r>
          </w:p>
          <w:p w14:paraId="2A844B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2</w:t>
            </w:r>
            <w:r>
              <w:rPr>
                <w:rFonts w:hint="default" w:ascii="Times New Roman" w:hAnsi="Times New Roman" w:eastAsia="Times New Roman" w:cs="Times New Roman"/>
                <w:b/>
                <w:color w:val="auto"/>
                <w:sz w:val="24"/>
                <w:szCs w:val="24"/>
                <w:highlight w:val="none"/>
                <w:lang w:val="en-US" w:eastAsia="zh-CN"/>
              </w:rPr>
              <w:t>.</w:t>
            </w:r>
            <w:r>
              <w:rPr>
                <w:rFonts w:hint="default" w:ascii="Times New Roman" w:hAnsi="Times New Roman" w:eastAsia="Times New Roman" w:cs="Times New Roman"/>
                <w:b/>
                <w:color w:val="auto"/>
                <w:sz w:val="24"/>
                <w:szCs w:val="24"/>
                <w:highlight w:val="none"/>
              </w:rPr>
              <w:t>建设内容</w:t>
            </w:r>
          </w:p>
          <w:p w14:paraId="2F43132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本项目</w:t>
            </w:r>
            <w:r>
              <w:rPr>
                <w:rFonts w:hint="eastAsia" w:ascii="Times New Roman" w:hAnsi="Times New Roman" w:eastAsia="Times New Roman" w:cs="Times New Roman"/>
                <w:color w:val="auto"/>
                <w:sz w:val="24"/>
                <w:szCs w:val="24"/>
                <w:highlight w:val="none"/>
                <w:lang w:eastAsia="zh-CN"/>
              </w:rPr>
              <w:t>在</w:t>
            </w:r>
            <w:r>
              <w:rPr>
                <w:rFonts w:hint="default" w:ascii="Times New Roman" w:hAnsi="Times New Roman" w:eastAsia="Times New Roman" w:cs="Times New Roman"/>
                <w:color w:val="auto"/>
                <w:sz w:val="24"/>
                <w:szCs w:val="24"/>
                <w:highlight w:val="none"/>
                <w:lang w:val="en-US" w:eastAsia="zh-CN"/>
              </w:rPr>
              <w:t>租赁</w:t>
            </w:r>
            <w:r>
              <w:rPr>
                <w:rFonts w:hint="eastAsia" w:ascii="Times New Roman" w:hAnsi="Times New Roman" w:eastAsia="Times New Roman" w:cs="Times New Roman"/>
                <w:color w:val="auto"/>
                <w:sz w:val="24"/>
                <w:szCs w:val="24"/>
                <w:highlight w:val="none"/>
                <w:lang w:val="en-US" w:eastAsia="zh-CN"/>
              </w:rPr>
              <w:t>的</w:t>
            </w:r>
            <w:r>
              <w:rPr>
                <w:rFonts w:hint="default" w:ascii="Times New Roman" w:hAnsi="Times New Roman" w:eastAsia="Times New Roman" w:cs="Times New Roman"/>
                <w:color w:val="auto"/>
                <w:sz w:val="24"/>
                <w:szCs w:val="24"/>
                <w:highlight w:val="none"/>
              </w:rPr>
              <w:t>现有</w:t>
            </w:r>
            <w:r>
              <w:rPr>
                <w:rFonts w:hint="default" w:ascii="Times New Roman" w:hAnsi="Times New Roman" w:eastAsia="Times New Roman" w:cs="Times New Roman"/>
                <w:color w:val="auto"/>
                <w:sz w:val="24"/>
                <w:szCs w:val="24"/>
                <w:highlight w:val="none"/>
                <w:lang w:val="en-US" w:eastAsia="zh-CN"/>
              </w:rPr>
              <w:t>厂房</w:t>
            </w:r>
            <w:r>
              <w:rPr>
                <w:rFonts w:hint="eastAsia" w:ascii="Times New Roman" w:hAnsi="Times New Roman" w:eastAsia="Times New Roman" w:cs="Times New Roman"/>
                <w:color w:val="auto"/>
                <w:sz w:val="24"/>
                <w:szCs w:val="24"/>
                <w:highlight w:val="none"/>
                <w:lang w:val="en-US" w:eastAsia="zh-CN"/>
              </w:rPr>
              <w:t>内</w:t>
            </w:r>
            <w:r>
              <w:rPr>
                <w:rFonts w:hint="default" w:ascii="Times New Roman" w:hAnsi="Times New Roman" w:eastAsia="Times New Roman" w:cs="Times New Roman"/>
                <w:color w:val="auto"/>
                <w:sz w:val="24"/>
                <w:szCs w:val="24"/>
                <w:highlight w:val="none"/>
              </w:rPr>
              <w:t>进行建设</w:t>
            </w:r>
            <w:r>
              <w:rPr>
                <w:rFonts w:hint="default" w:ascii="Times New Roman" w:hAnsi="Times New Roman" w:eastAsia="Times New Roman" w:cs="Times New Roman"/>
                <w:color w:val="auto"/>
                <w:sz w:val="24"/>
                <w:szCs w:val="24"/>
                <w:highlight w:val="none"/>
                <w:lang w:eastAsia="zh-CN"/>
              </w:rPr>
              <w:t>。</w:t>
            </w:r>
            <w:r>
              <w:rPr>
                <w:rFonts w:hint="default" w:ascii="Times New Roman" w:hAnsi="Times New Roman" w:eastAsia="Times New Roman" w:cs="Times New Roman"/>
                <w:color w:val="auto"/>
                <w:sz w:val="24"/>
                <w:szCs w:val="24"/>
                <w:highlight w:val="none"/>
                <w:lang w:val="en-US" w:eastAsia="zh-CN"/>
              </w:rPr>
              <w:t>项目</w:t>
            </w:r>
            <w:r>
              <w:rPr>
                <w:rFonts w:hint="default" w:ascii="Times New Roman" w:hAnsi="Times New Roman" w:eastAsia="Times New Roman" w:cs="Times New Roman"/>
                <w:color w:val="auto"/>
                <w:sz w:val="24"/>
                <w:szCs w:val="24"/>
                <w:highlight w:val="none"/>
              </w:rPr>
              <w:t>基础设施包括主体工程、公用工程、储运工程、环保工程，详见</w:t>
            </w:r>
            <w:r>
              <w:rPr>
                <w:rFonts w:hint="default" w:ascii="Times New Roman" w:hAnsi="Times New Roman" w:eastAsia="Times New Roman" w:cs="Times New Roman"/>
                <w:color w:val="auto"/>
                <w:sz w:val="24"/>
                <w:szCs w:val="24"/>
                <w:highlight w:val="none"/>
                <w:lang w:val="en-US" w:eastAsia="zh-CN"/>
              </w:rPr>
              <w:t>下</w:t>
            </w:r>
            <w:r>
              <w:rPr>
                <w:rFonts w:hint="default" w:ascii="Times New Roman" w:hAnsi="Times New Roman" w:eastAsia="Times New Roman" w:cs="Times New Roman"/>
                <w:color w:val="auto"/>
                <w:sz w:val="24"/>
                <w:szCs w:val="24"/>
                <w:highlight w:val="none"/>
              </w:rPr>
              <w:t>表。</w:t>
            </w:r>
          </w:p>
          <w:p w14:paraId="05C0E3E3">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基础设施一览表</w:t>
            </w:r>
          </w:p>
          <w:tbl>
            <w:tblPr>
              <w:tblStyle w:val="26"/>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530"/>
              <w:gridCol w:w="1540"/>
              <w:gridCol w:w="576"/>
              <w:gridCol w:w="2008"/>
              <w:gridCol w:w="1304"/>
            </w:tblGrid>
            <w:tr w14:paraId="309788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21" w:type="pct"/>
                  <w:tcBorders>
                    <w:top w:val="single" w:color="auto" w:sz="4" w:space="0"/>
                    <w:left w:val="nil"/>
                    <w:bottom w:val="single" w:color="auto" w:sz="4" w:space="0"/>
                    <w:right w:val="single" w:color="auto" w:sz="4" w:space="0"/>
                  </w:tcBorders>
                  <w:noWrap w:val="0"/>
                  <w:vAlign w:val="center"/>
                </w:tcPr>
                <w:p w14:paraId="19F1EE4D">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项目组成</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4E9A06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主项名称</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6EE437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工程内容</w:t>
                  </w:r>
                </w:p>
              </w:tc>
              <w:tc>
                <w:tcPr>
                  <w:tcW w:w="800" w:type="pct"/>
                  <w:tcBorders>
                    <w:top w:val="single" w:color="auto" w:sz="4" w:space="0"/>
                    <w:left w:val="single" w:color="auto" w:sz="4" w:space="0"/>
                    <w:bottom w:val="single" w:color="auto" w:sz="4" w:space="0"/>
                    <w:right w:val="nil"/>
                  </w:tcBorders>
                  <w:noWrap w:val="0"/>
                  <w:vAlign w:val="center"/>
                </w:tcPr>
                <w:p w14:paraId="70B747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szCs w:val="21"/>
                      <w:highlight w:val="none"/>
                    </w:rPr>
                    <w:t>备注</w:t>
                  </w:r>
                </w:p>
              </w:tc>
            </w:tr>
            <w:tr w14:paraId="47A5AB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21" w:type="pct"/>
                  <w:tcBorders>
                    <w:top w:val="single" w:color="auto" w:sz="4" w:space="0"/>
                    <w:left w:val="nil"/>
                    <w:right w:val="single" w:color="auto" w:sz="4" w:space="0"/>
                  </w:tcBorders>
                  <w:noWrap w:val="0"/>
                  <w:vAlign w:val="center"/>
                </w:tcPr>
                <w:p w14:paraId="73C99932">
                  <w:pPr>
                    <w:keepNext w:val="0"/>
                    <w:keepLines w:val="0"/>
                    <w:suppressLineNumbers w:val="0"/>
                    <w:adjustRightInd w:val="0"/>
                    <w:snapToGrid w:val="0"/>
                    <w:spacing w:before="0" w:beforeAutospacing="0" w:after="0" w:afterAutospacing="0" w:line="240" w:lineRule="exac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主体工程</w:t>
                  </w:r>
                </w:p>
              </w:tc>
              <w:tc>
                <w:tcPr>
                  <w:tcW w:w="941" w:type="pct"/>
                  <w:tcBorders>
                    <w:top w:val="single" w:color="auto" w:sz="4" w:space="0"/>
                    <w:left w:val="single" w:color="auto" w:sz="4" w:space="0"/>
                    <w:right w:val="single" w:color="auto" w:sz="4" w:space="0"/>
                  </w:tcBorders>
                  <w:noWrap w:val="0"/>
                  <w:vAlign w:val="center"/>
                </w:tcPr>
                <w:p w14:paraId="1163C5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ascii="Times New Roman" w:hAnsi="Times New Roman" w:eastAsia="Times New Roman" w:cs="Times New Roman"/>
                      <w:color w:val="auto"/>
                      <w:szCs w:val="21"/>
                      <w:highlight w:val="none"/>
                      <w:lang w:val="en-US" w:eastAsia="zh-CN"/>
                    </w:rPr>
                    <w:t>生产车间</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7142EEE4">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Times New Roman" w:cs="Times New Roman"/>
                      <w:color w:val="auto"/>
                      <w:szCs w:val="21"/>
                      <w:highlight w:val="none"/>
                      <w:lang w:val="en-US" w:eastAsia="zh-CN"/>
                    </w:rPr>
                    <w:t>钢构+砖混</w:t>
                  </w:r>
                  <w:r>
                    <w:rPr>
                      <w:rFonts w:hint="default" w:ascii="Times New Roman" w:hAnsi="Times New Roman" w:eastAsia="Times New Roman" w:cs="Times New Roman"/>
                      <w:color w:val="auto"/>
                      <w:szCs w:val="21"/>
                      <w:highlight w:val="none"/>
                    </w:rPr>
                    <w:t>结构，</w:t>
                  </w:r>
                  <w:r>
                    <w:rPr>
                      <w:rFonts w:hint="eastAsia" w:eastAsia="宋体" w:cs="Times New Roman"/>
                      <w:color w:val="auto"/>
                      <w:szCs w:val="21"/>
                      <w:highlight w:val="none"/>
                      <w:lang w:val="en-US" w:eastAsia="zh-CN"/>
                    </w:rPr>
                    <w:t>4560m</w:t>
                  </w:r>
                  <w:r>
                    <w:rPr>
                      <w:rFonts w:hint="eastAsia" w:eastAsia="宋体" w:cs="Times New Roman"/>
                      <w:color w:val="auto"/>
                      <w:szCs w:val="21"/>
                      <w:highlight w:val="none"/>
                      <w:vertAlign w:val="superscript"/>
                      <w:lang w:val="en-US" w:eastAsia="zh-CN"/>
                    </w:rPr>
                    <w:t>2</w:t>
                  </w:r>
                </w:p>
              </w:tc>
              <w:tc>
                <w:tcPr>
                  <w:tcW w:w="800" w:type="pct"/>
                  <w:tcBorders>
                    <w:top w:val="single" w:color="auto" w:sz="4" w:space="0"/>
                    <w:left w:val="single" w:color="auto" w:sz="4" w:space="0"/>
                    <w:right w:val="nil"/>
                  </w:tcBorders>
                  <w:noWrap w:val="0"/>
                  <w:vAlign w:val="center"/>
                </w:tcPr>
                <w:p w14:paraId="251297C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租赁现有</w:t>
                  </w:r>
                </w:p>
              </w:tc>
            </w:tr>
            <w:tr w14:paraId="5D1C72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nil"/>
                    <w:right w:val="single" w:color="auto" w:sz="4" w:space="0"/>
                  </w:tcBorders>
                  <w:noWrap w:val="0"/>
                  <w:vAlign w:val="center"/>
                </w:tcPr>
                <w:p w14:paraId="0D5984E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宋体" w:cs="Times New Roman"/>
                      <w:color w:val="auto"/>
                      <w:szCs w:val="21"/>
                      <w:highlight w:val="none"/>
                      <w:lang w:eastAsia="zh-CN"/>
                    </w:rPr>
                    <w:t>辅助工程</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1071B6D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办公室</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5FD355BE">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依托园区内办公室</w:t>
                  </w:r>
                </w:p>
              </w:tc>
              <w:tc>
                <w:tcPr>
                  <w:tcW w:w="800" w:type="pct"/>
                  <w:tcBorders>
                    <w:left w:val="single" w:color="auto" w:sz="4" w:space="0"/>
                    <w:right w:val="nil"/>
                  </w:tcBorders>
                  <w:noWrap w:val="0"/>
                  <w:vAlign w:val="center"/>
                </w:tcPr>
                <w:p w14:paraId="6C1CDFC1">
                  <w:pPr>
                    <w:keepNext w:val="0"/>
                    <w:keepLines w:val="0"/>
                    <w:suppressLineNumbers w:val="0"/>
                    <w:adjustRightInd w:val="0"/>
                    <w:snapToGrid w:val="0"/>
                    <w:spacing w:before="0" w:beforeAutospacing="0" w:after="0" w:afterAutospacing="0"/>
                    <w:ind w:left="0" w:right="0"/>
                    <w:jc w:val="center"/>
                    <w:rPr>
                      <w:rFonts w:hint="eastAsia" w:eastAsia="Times New Roman" w:cs="Times New Roman"/>
                      <w:color w:val="auto"/>
                      <w:szCs w:val="21"/>
                      <w:highlight w:val="none"/>
                      <w:lang w:eastAsia="zh-CN"/>
                    </w:rPr>
                  </w:pPr>
                  <w:r>
                    <w:rPr>
                      <w:rFonts w:hint="eastAsia" w:cs="Times New Roman"/>
                      <w:color w:val="auto"/>
                      <w:szCs w:val="21"/>
                      <w:highlight w:val="none"/>
                      <w:lang w:eastAsia="zh-CN"/>
                    </w:rPr>
                    <w:t>租赁现有</w:t>
                  </w:r>
                </w:p>
              </w:tc>
            </w:tr>
            <w:tr w14:paraId="27FD68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nil"/>
                    <w:right w:val="single" w:color="auto" w:sz="4" w:space="0"/>
                  </w:tcBorders>
                  <w:noWrap w:val="0"/>
                  <w:vAlign w:val="center"/>
                </w:tcPr>
                <w:p w14:paraId="43A64D7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储运工程</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3623051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原料</w:t>
                  </w:r>
                  <w:r>
                    <w:rPr>
                      <w:rFonts w:hint="eastAsia" w:eastAsia="Times New Roman" w:cs="Times New Roman"/>
                      <w:color w:val="auto"/>
                      <w:szCs w:val="21"/>
                      <w:highlight w:val="none"/>
                      <w:lang w:val="en-US" w:eastAsia="zh-CN"/>
                    </w:rPr>
                    <w:t>、成品</w:t>
                  </w:r>
                  <w:r>
                    <w:rPr>
                      <w:rFonts w:hint="default" w:ascii="Times New Roman" w:hAnsi="Times New Roman" w:eastAsia="Times New Roman" w:cs="Times New Roman"/>
                      <w:color w:val="auto"/>
                      <w:szCs w:val="21"/>
                      <w:highlight w:val="none"/>
                      <w:lang w:val="en-US" w:eastAsia="zh-CN"/>
                    </w:rPr>
                    <w:t>仓库</w:t>
                  </w:r>
                  <w:r>
                    <w:rPr>
                      <w:rFonts w:hint="eastAsia" w:eastAsia="Times New Roman" w:cs="Times New Roman"/>
                      <w:color w:val="auto"/>
                      <w:szCs w:val="21"/>
                      <w:highlight w:val="none"/>
                      <w:lang w:val="en-US" w:eastAsia="zh-CN"/>
                    </w:rPr>
                    <w:t>*</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418DB459">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yellow"/>
                      <w:lang w:val="en-US" w:eastAsia="zh-CN"/>
                    </w:rPr>
                  </w:pPr>
                  <w:r>
                    <w:rPr>
                      <w:rFonts w:hint="default" w:ascii="Times New Roman" w:hAnsi="Times New Roman" w:eastAsia="Times New Roman" w:cs="Times New Roman"/>
                      <w:color w:val="auto"/>
                      <w:szCs w:val="21"/>
                      <w:highlight w:val="none"/>
                      <w:lang w:val="en-US" w:eastAsia="zh-CN"/>
                    </w:rPr>
                    <w:t>钢构+砖混</w:t>
                  </w:r>
                  <w:r>
                    <w:rPr>
                      <w:rFonts w:hint="default" w:ascii="Times New Roman" w:hAnsi="Times New Roman" w:eastAsia="Times New Roman" w:cs="Times New Roman"/>
                      <w:color w:val="auto"/>
                      <w:szCs w:val="21"/>
                      <w:highlight w:val="none"/>
                    </w:rPr>
                    <w:t>结构，</w:t>
                  </w:r>
                  <w:r>
                    <w:rPr>
                      <w:rFonts w:hint="eastAsia" w:ascii="Times New Roman" w:hAnsi="Times New Roman" w:eastAsia="宋体" w:cs="Times New Roman"/>
                      <w:color w:val="auto"/>
                      <w:szCs w:val="21"/>
                      <w:highlight w:val="none"/>
                      <w:lang w:val="en-US" w:eastAsia="zh-CN"/>
                    </w:rPr>
                    <w:t>1900</w:t>
                  </w:r>
                  <w:r>
                    <w:rPr>
                      <w:rFonts w:hint="eastAsia" w:eastAsia="宋体" w:cs="Times New Roman"/>
                      <w:color w:val="auto"/>
                      <w:szCs w:val="21"/>
                      <w:highlight w:val="none"/>
                      <w:lang w:val="en-US" w:eastAsia="zh-CN"/>
                    </w:rPr>
                    <w:t>m</w:t>
                  </w:r>
                  <w:r>
                    <w:rPr>
                      <w:rFonts w:hint="eastAsia" w:eastAsia="宋体" w:cs="Times New Roman"/>
                      <w:color w:val="auto"/>
                      <w:szCs w:val="21"/>
                      <w:highlight w:val="none"/>
                      <w:vertAlign w:val="superscript"/>
                      <w:lang w:val="en-US" w:eastAsia="zh-CN"/>
                    </w:rPr>
                    <w:t>2</w:t>
                  </w:r>
                </w:p>
              </w:tc>
              <w:tc>
                <w:tcPr>
                  <w:tcW w:w="800" w:type="pct"/>
                  <w:tcBorders>
                    <w:left w:val="single" w:color="auto" w:sz="4" w:space="0"/>
                    <w:right w:val="nil"/>
                  </w:tcBorders>
                  <w:noWrap w:val="0"/>
                  <w:vAlign w:val="center"/>
                </w:tcPr>
                <w:p w14:paraId="1E4234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eastAsia" w:cs="Times New Roman"/>
                      <w:color w:val="auto"/>
                      <w:szCs w:val="21"/>
                      <w:highlight w:val="none"/>
                      <w:lang w:eastAsia="zh-CN"/>
                    </w:rPr>
                    <w:t>租赁现有</w:t>
                  </w:r>
                </w:p>
              </w:tc>
            </w:tr>
            <w:tr w14:paraId="0D0879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21" w:type="pct"/>
                  <w:vMerge w:val="restart"/>
                  <w:tcBorders>
                    <w:left w:val="nil"/>
                    <w:right w:val="single" w:color="auto" w:sz="4" w:space="0"/>
                  </w:tcBorders>
                  <w:noWrap w:val="0"/>
                  <w:vAlign w:val="center"/>
                </w:tcPr>
                <w:p w14:paraId="7B47CD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公用工程</w:t>
                  </w:r>
                </w:p>
              </w:tc>
              <w:tc>
                <w:tcPr>
                  <w:tcW w:w="941" w:type="pct"/>
                  <w:tcBorders>
                    <w:top w:val="single" w:color="auto" w:sz="4" w:space="0"/>
                    <w:left w:val="single" w:color="auto" w:sz="4" w:space="0"/>
                    <w:right w:val="single" w:color="auto" w:sz="4" w:space="0"/>
                  </w:tcBorders>
                  <w:noWrap w:val="0"/>
                  <w:vAlign w:val="center"/>
                </w:tcPr>
                <w:p w14:paraId="4DC869C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供水</w:t>
                  </w:r>
                </w:p>
              </w:tc>
              <w:tc>
                <w:tcPr>
                  <w:tcW w:w="2536" w:type="pct"/>
                  <w:gridSpan w:val="3"/>
                  <w:tcBorders>
                    <w:top w:val="single" w:color="auto" w:sz="4" w:space="0"/>
                    <w:left w:val="single" w:color="auto" w:sz="4" w:space="0"/>
                    <w:right w:val="single" w:color="auto" w:sz="4" w:space="0"/>
                  </w:tcBorders>
                  <w:noWrap w:val="0"/>
                  <w:vAlign w:val="center"/>
                </w:tcPr>
                <w:p w14:paraId="6286E03F">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由产业园区内供水管网供水</w:t>
                  </w:r>
                </w:p>
              </w:tc>
              <w:tc>
                <w:tcPr>
                  <w:tcW w:w="800" w:type="pct"/>
                  <w:tcBorders>
                    <w:top w:val="single" w:color="auto" w:sz="4" w:space="0"/>
                    <w:left w:val="single" w:color="auto" w:sz="4" w:space="0"/>
                    <w:right w:val="nil"/>
                  </w:tcBorders>
                  <w:noWrap w:val="0"/>
                  <w:vAlign w:val="center"/>
                </w:tcPr>
                <w:p w14:paraId="1F0425B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租赁现有</w:t>
                  </w:r>
                </w:p>
              </w:tc>
            </w:tr>
            <w:tr w14:paraId="2782A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21" w:type="pct"/>
                  <w:vMerge w:val="continue"/>
                  <w:tcBorders>
                    <w:left w:val="nil"/>
                    <w:right w:val="single" w:color="auto" w:sz="4" w:space="0"/>
                  </w:tcBorders>
                  <w:noWrap w:val="0"/>
                  <w:vAlign w:val="center"/>
                </w:tcPr>
                <w:p w14:paraId="2E48E0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noWrap w:val="0"/>
                  <w:vAlign w:val="center"/>
                </w:tcPr>
                <w:p w14:paraId="76DDB0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供电</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62657313">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lang w:eastAsia="zh-CN"/>
                    </w:rPr>
                  </w:pPr>
                  <w:r>
                    <w:rPr>
                      <w:rFonts w:hint="eastAsia" w:cs="Times New Roman"/>
                      <w:color w:val="auto"/>
                      <w:szCs w:val="21"/>
                      <w:highlight w:val="none"/>
                      <w:lang w:eastAsia="zh-CN"/>
                    </w:rPr>
                    <w:t>由产业园区内电网供电</w:t>
                  </w:r>
                </w:p>
              </w:tc>
              <w:tc>
                <w:tcPr>
                  <w:tcW w:w="800" w:type="pct"/>
                  <w:tcBorders>
                    <w:left w:val="single" w:color="auto" w:sz="4" w:space="0"/>
                    <w:bottom w:val="single" w:color="auto" w:sz="4" w:space="0"/>
                    <w:right w:val="nil"/>
                  </w:tcBorders>
                  <w:noWrap w:val="0"/>
                  <w:vAlign w:val="center"/>
                </w:tcPr>
                <w:p w14:paraId="69BA76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w:t>
                  </w:r>
                </w:p>
              </w:tc>
            </w:tr>
            <w:tr w14:paraId="535C39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21" w:type="pct"/>
                  <w:vMerge w:val="continue"/>
                  <w:tcBorders>
                    <w:left w:val="nil"/>
                    <w:bottom w:val="single" w:color="auto" w:sz="4" w:space="0"/>
                    <w:right w:val="single" w:color="auto" w:sz="4" w:space="0"/>
                  </w:tcBorders>
                  <w:noWrap w:val="0"/>
                  <w:vAlign w:val="center"/>
                </w:tcPr>
                <w:p w14:paraId="79EA592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vMerge w:val="restart"/>
                  <w:tcBorders>
                    <w:top w:val="single" w:color="auto" w:sz="4" w:space="0"/>
                    <w:left w:val="single" w:color="auto" w:sz="4" w:space="0"/>
                    <w:right w:val="single" w:color="auto" w:sz="4" w:space="0"/>
                  </w:tcBorders>
                  <w:noWrap w:val="0"/>
                  <w:vAlign w:val="center"/>
                </w:tcPr>
                <w:p w14:paraId="442B61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排水</w:t>
                  </w:r>
                </w:p>
              </w:tc>
              <w:tc>
                <w:tcPr>
                  <w:tcW w:w="947" w:type="pct"/>
                  <w:tcBorders>
                    <w:top w:val="single" w:color="auto" w:sz="4" w:space="0"/>
                    <w:left w:val="single" w:color="auto" w:sz="4" w:space="0"/>
                    <w:bottom w:val="single" w:color="auto" w:sz="4" w:space="0"/>
                    <w:right w:val="single" w:color="auto" w:sz="4" w:space="0"/>
                  </w:tcBorders>
                  <w:noWrap w:val="0"/>
                  <w:vAlign w:val="center"/>
                </w:tcPr>
                <w:p w14:paraId="25C6C381">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生活污水</w:t>
                  </w:r>
                </w:p>
              </w:tc>
              <w:tc>
                <w:tcPr>
                  <w:tcW w:w="1589" w:type="pct"/>
                  <w:gridSpan w:val="2"/>
                  <w:tcBorders>
                    <w:top w:val="single" w:color="auto" w:sz="4" w:space="0"/>
                    <w:left w:val="single" w:color="auto" w:sz="4" w:space="0"/>
                    <w:bottom w:val="single" w:color="auto" w:sz="4" w:space="0"/>
                    <w:right w:val="single" w:color="auto" w:sz="4" w:space="0"/>
                  </w:tcBorders>
                  <w:noWrap w:val="0"/>
                  <w:vAlign w:val="center"/>
                </w:tcPr>
                <w:p w14:paraId="1B02CFB2">
                  <w:pPr>
                    <w:keepNext w:val="0"/>
                    <w:keepLines w:val="0"/>
                    <w:suppressLineNumbers w:val="0"/>
                    <w:adjustRightInd w:val="0"/>
                    <w:snapToGrid w:val="0"/>
                    <w:spacing w:before="0" w:beforeAutospacing="0" w:after="0" w:afterAutospacing="0"/>
                    <w:ind w:left="0" w:right="0"/>
                    <w:rPr>
                      <w:rFonts w:hint="eastAsia" w:eastAsia="宋体" w:cs="Times New Roman"/>
                      <w:color w:val="auto"/>
                      <w:kern w:val="0"/>
                      <w:szCs w:val="21"/>
                      <w:highlight w:val="none"/>
                      <w:lang w:eastAsia="zh-CN"/>
                    </w:rPr>
                  </w:pPr>
                  <w:r>
                    <w:rPr>
                      <w:rFonts w:hint="eastAsia" w:eastAsia="宋体" w:cs="Times New Roman"/>
                      <w:color w:val="auto"/>
                      <w:kern w:val="0"/>
                      <w:szCs w:val="21"/>
                      <w:highlight w:val="none"/>
                      <w:lang w:eastAsia="zh-CN"/>
                    </w:rPr>
                    <w:t>生活污水</w:t>
                  </w:r>
                  <w:r>
                    <w:rPr>
                      <w:rFonts w:hint="default" w:ascii="Times New Roman" w:hAnsi="Times New Roman" w:eastAsia="Times New Roman" w:cs="Times New Roman"/>
                      <w:color w:val="auto"/>
                      <w:kern w:val="0"/>
                      <w:szCs w:val="21"/>
                      <w:highlight w:val="none"/>
                    </w:rPr>
                    <w:t>经</w:t>
                  </w:r>
                  <w:r>
                    <w:rPr>
                      <w:rFonts w:hint="default" w:ascii="Times New Roman" w:hAnsi="Times New Roman" w:eastAsia="Times New Roman" w:cs="Times New Roman"/>
                      <w:color w:val="auto"/>
                      <w:kern w:val="0"/>
                      <w:szCs w:val="21"/>
                      <w:highlight w:val="none"/>
                      <w:lang w:eastAsia="zh-CN"/>
                    </w:rPr>
                    <w:t>厂区现有</w:t>
                  </w:r>
                  <w:r>
                    <w:rPr>
                      <w:rFonts w:hint="default" w:ascii="Times New Roman" w:hAnsi="Times New Roman" w:eastAsia="Times New Roman" w:cs="Times New Roman"/>
                      <w:color w:val="auto"/>
                      <w:kern w:val="0"/>
                      <w:szCs w:val="21"/>
                      <w:highlight w:val="none"/>
                    </w:rPr>
                    <w:t>化粪池</w:t>
                  </w:r>
                  <w:r>
                    <w:rPr>
                      <w:rFonts w:hint="default" w:ascii="Times New Roman" w:hAnsi="Times New Roman" w:eastAsia="Times New Roman" w:cs="Times New Roman"/>
                      <w:color w:val="auto"/>
                      <w:kern w:val="0"/>
                      <w:szCs w:val="21"/>
                      <w:highlight w:val="none"/>
                      <w:lang w:eastAsia="zh-CN"/>
                    </w:rPr>
                    <w:t>（</w:t>
                  </w:r>
                  <w:r>
                    <w:rPr>
                      <w:rFonts w:hint="eastAsia" w:eastAsia="Times New Roman" w:cs="Times New Roman"/>
                      <w:color w:val="auto"/>
                      <w:kern w:val="0"/>
                      <w:szCs w:val="21"/>
                      <w:highlight w:val="none"/>
                      <w:lang w:val="en-US" w:eastAsia="zh-CN"/>
                    </w:rPr>
                    <w:t>10</w:t>
                  </w:r>
                  <w:r>
                    <w:rPr>
                      <w:rFonts w:hint="default" w:ascii="Times New Roman" w:hAnsi="Times New Roman" w:eastAsia="Times New Roman" w:cs="Times New Roman"/>
                      <w:color w:val="auto"/>
                      <w:kern w:val="0"/>
                      <w:szCs w:val="21"/>
                      <w:highlight w:val="none"/>
                      <w:lang w:val="en-US" w:eastAsia="zh-CN"/>
                    </w:rPr>
                    <w:t>m</w:t>
                  </w:r>
                  <w:r>
                    <w:rPr>
                      <w:rFonts w:hint="default" w:ascii="Times New Roman" w:hAnsi="Times New Roman" w:eastAsia="Times New Roman" w:cs="Times New Roman"/>
                      <w:color w:val="auto"/>
                      <w:kern w:val="0"/>
                      <w:szCs w:val="21"/>
                      <w:highlight w:val="none"/>
                      <w:vertAlign w:val="superscript"/>
                      <w:lang w:val="en-US" w:eastAsia="zh-CN"/>
                    </w:rPr>
                    <w:t>3</w:t>
                  </w:r>
                  <w:r>
                    <w:rPr>
                      <w:rFonts w:hint="default" w:ascii="Times New Roman" w:hAnsi="Times New Roman" w:eastAsia="Times New Roman" w:cs="Times New Roman"/>
                      <w:color w:val="auto"/>
                      <w:kern w:val="0"/>
                      <w:szCs w:val="21"/>
                      <w:highlight w:val="none"/>
                      <w:lang w:eastAsia="zh-CN"/>
                    </w:rPr>
                    <w:t>）</w:t>
                  </w:r>
                  <w:r>
                    <w:rPr>
                      <w:rFonts w:hint="default" w:ascii="Times New Roman" w:hAnsi="Times New Roman" w:eastAsia="Times New Roman" w:cs="Times New Roman"/>
                      <w:color w:val="auto"/>
                      <w:kern w:val="0"/>
                      <w:szCs w:val="21"/>
                      <w:highlight w:val="none"/>
                    </w:rPr>
                    <w:t>预处理后，由园区</w:t>
                  </w:r>
                  <w:r>
                    <w:rPr>
                      <w:rFonts w:hint="default" w:ascii="Times New Roman" w:hAnsi="Times New Roman" w:eastAsia="Times New Roman" w:cs="Times New Roman"/>
                      <w:color w:val="auto"/>
                      <w:kern w:val="0"/>
                      <w:szCs w:val="21"/>
                      <w:highlight w:val="none"/>
                      <w:lang w:val="en-US" w:eastAsia="zh-CN"/>
                    </w:rPr>
                    <w:t>污水</w:t>
                  </w:r>
                  <w:r>
                    <w:rPr>
                      <w:rFonts w:hint="default" w:ascii="Times New Roman" w:hAnsi="Times New Roman" w:eastAsia="Times New Roman" w:cs="Times New Roman"/>
                      <w:color w:val="auto"/>
                      <w:kern w:val="0"/>
                      <w:szCs w:val="21"/>
                      <w:highlight w:val="none"/>
                    </w:rPr>
                    <w:t>管网进入</w:t>
                  </w:r>
                  <w:r>
                    <w:rPr>
                      <w:rFonts w:hint="eastAsia" w:ascii="Times New Roman" w:hAnsi="Times New Roman" w:eastAsia="Times New Roman" w:cs="Times New Roman"/>
                      <w:color w:val="auto"/>
                      <w:kern w:val="0"/>
                      <w:szCs w:val="21"/>
                      <w:highlight w:val="none"/>
                      <w:lang w:eastAsia="zh-CN"/>
                    </w:rPr>
                    <w:t>汤阴固现污水处理有限公司</w:t>
                  </w:r>
                  <w:r>
                    <w:rPr>
                      <w:rFonts w:hint="default" w:ascii="Times New Roman" w:hAnsi="Times New Roman" w:eastAsia="Times New Roman" w:cs="Times New Roman"/>
                      <w:color w:val="auto"/>
                      <w:kern w:val="0"/>
                      <w:szCs w:val="21"/>
                      <w:highlight w:val="none"/>
                    </w:rPr>
                    <w:t>。</w:t>
                  </w:r>
                </w:p>
              </w:tc>
              <w:tc>
                <w:tcPr>
                  <w:tcW w:w="800" w:type="pct"/>
                  <w:tcBorders>
                    <w:left w:val="single" w:color="auto" w:sz="4" w:space="0"/>
                    <w:right w:val="nil"/>
                  </w:tcBorders>
                  <w:noWrap w:val="0"/>
                  <w:vAlign w:val="center"/>
                </w:tcPr>
                <w:p w14:paraId="2392EA7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Times New Roman" w:cs="Times New Roman"/>
                      <w:color w:val="auto"/>
                      <w:szCs w:val="21"/>
                      <w:highlight w:val="none"/>
                      <w:lang w:eastAsia="zh-CN"/>
                    </w:rPr>
                    <w:t>租赁现有</w:t>
                  </w:r>
                </w:p>
              </w:tc>
            </w:tr>
            <w:tr w14:paraId="37B428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21" w:type="pct"/>
                  <w:vMerge w:val="continue"/>
                  <w:tcBorders>
                    <w:left w:val="nil"/>
                    <w:bottom w:val="single" w:color="auto" w:sz="4" w:space="0"/>
                    <w:right w:val="single" w:color="auto" w:sz="4" w:space="0"/>
                  </w:tcBorders>
                  <w:noWrap w:val="0"/>
                  <w:vAlign w:val="center"/>
                </w:tcPr>
                <w:p w14:paraId="6F680140">
                  <w:pPr>
                    <w:keepNext w:val="0"/>
                    <w:keepLines w:val="0"/>
                    <w:suppressLineNumbers w:val="0"/>
                    <w:adjustRightInd w:val="0"/>
                    <w:snapToGrid w:val="0"/>
                    <w:spacing w:before="0" w:beforeAutospacing="0" w:after="0" w:afterAutospacing="0"/>
                    <w:ind w:left="0" w:right="0"/>
                    <w:rPr>
                      <w:rFonts w:hint="default"/>
                      <w:color w:val="auto"/>
                    </w:rPr>
                  </w:pPr>
                </w:p>
              </w:tc>
              <w:tc>
                <w:tcPr>
                  <w:tcW w:w="941" w:type="pct"/>
                  <w:vMerge w:val="continue"/>
                  <w:tcBorders>
                    <w:left w:val="single" w:color="auto" w:sz="4" w:space="0"/>
                    <w:bottom w:val="single" w:color="auto" w:sz="4" w:space="0"/>
                    <w:right w:val="single" w:color="auto" w:sz="4" w:space="0"/>
                  </w:tcBorders>
                  <w:noWrap w:val="0"/>
                  <w:vAlign w:val="center"/>
                </w:tcPr>
                <w:p w14:paraId="4FE0DF2B">
                  <w:pPr>
                    <w:keepNext w:val="0"/>
                    <w:keepLines w:val="0"/>
                    <w:suppressLineNumbers w:val="0"/>
                    <w:adjustRightInd w:val="0"/>
                    <w:snapToGrid w:val="0"/>
                    <w:spacing w:before="0" w:beforeAutospacing="0" w:after="0" w:afterAutospacing="0"/>
                    <w:ind w:left="0" w:right="0"/>
                    <w:rPr>
                      <w:rFonts w:hint="default"/>
                      <w:color w:val="auto"/>
                    </w:rPr>
                  </w:pPr>
                </w:p>
              </w:tc>
              <w:tc>
                <w:tcPr>
                  <w:tcW w:w="947" w:type="pct"/>
                  <w:tcBorders>
                    <w:top w:val="single" w:color="auto" w:sz="4" w:space="0"/>
                    <w:left w:val="single" w:color="auto" w:sz="4" w:space="0"/>
                    <w:bottom w:val="single" w:color="auto" w:sz="4" w:space="0"/>
                    <w:right w:val="single" w:color="auto" w:sz="4" w:space="0"/>
                  </w:tcBorders>
                  <w:noWrap w:val="0"/>
                  <w:vAlign w:val="center"/>
                </w:tcPr>
                <w:p w14:paraId="24B95D1F">
                  <w:pPr>
                    <w:keepNext w:val="0"/>
                    <w:keepLines w:val="0"/>
                    <w:suppressLineNumbers w:val="0"/>
                    <w:adjustRightInd w:val="0"/>
                    <w:snapToGrid w:val="0"/>
                    <w:spacing w:before="0" w:beforeAutospacing="0" w:after="0" w:afterAutospacing="0"/>
                    <w:ind w:left="0" w:right="0"/>
                    <w:rPr>
                      <w:rFonts w:hint="eastAsia" w:eastAsia="宋体"/>
                      <w:color w:val="auto"/>
                      <w:lang w:eastAsia="zh-CN"/>
                    </w:rPr>
                  </w:pPr>
                  <w:r>
                    <w:rPr>
                      <w:rFonts w:hint="eastAsia"/>
                      <w:color w:val="auto"/>
                      <w:lang w:eastAsia="zh-CN"/>
                    </w:rPr>
                    <w:t>生产废水</w:t>
                  </w:r>
                </w:p>
              </w:tc>
              <w:tc>
                <w:tcPr>
                  <w:tcW w:w="1589" w:type="pct"/>
                  <w:gridSpan w:val="2"/>
                  <w:tcBorders>
                    <w:top w:val="single" w:color="auto" w:sz="4" w:space="0"/>
                    <w:left w:val="single" w:color="auto" w:sz="4" w:space="0"/>
                    <w:bottom w:val="single" w:color="auto" w:sz="4" w:space="0"/>
                    <w:right w:val="single" w:color="auto" w:sz="4" w:space="0"/>
                  </w:tcBorders>
                  <w:noWrap w:val="0"/>
                  <w:vAlign w:val="center"/>
                </w:tcPr>
                <w:p w14:paraId="79071051">
                  <w:pPr>
                    <w:keepNext w:val="0"/>
                    <w:keepLines w:val="0"/>
                    <w:suppressLineNumbers w:val="0"/>
                    <w:adjustRightInd w:val="0"/>
                    <w:snapToGrid w:val="0"/>
                    <w:spacing w:before="0" w:beforeAutospacing="0" w:after="0" w:afterAutospacing="0"/>
                    <w:ind w:left="0" w:right="0"/>
                    <w:rPr>
                      <w:rFonts w:hint="default"/>
                      <w:color w:val="auto"/>
                    </w:rPr>
                  </w:pPr>
                  <w:r>
                    <w:rPr>
                      <w:rFonts w:hint="eastAsia" w:eastAsia="宋体" w:cs="Times New Roman"/>
                      <w:color w:val="auto"/>
                      <w:kern w:val="0"/>
                      <w:szCs w:val="21"/>
                      <w:highlight w:val="none"/>
                      <w:lang w:eastAsia="zh-CN"/>
                    </w:rPr>
                    <w:t>挤出（吹膜）工序</w:t>
                  </w:r>
                  <w:r>
                    <w:rPr>
                      <w:rFonts w:hint="eastAsia" w:cs="Times New Roman"/>
                      <w:color w:val="auto"/>
                      <w:kern w:val="0"/>
                      <w:szCs w:val="21"/>
                      <w:highlight w:val="none"/>
                      <w:lang w:eastAsia="zh-CN"/>
                    </w:rPr>
                    <w:t>、高频复合工序</w:t>
                  </w:r>
                  <w:r>
                    <w:rPr>
                      <w:rFonts w:hint="eastAsia" w:eastAsia="宋体" w:cs="Times New Roman"/>
                      <w:color w:val="auto"/>
                      <w:kern w:val="0"/>
                      <w:szCs w:val="21"/>
                      <w:highlight w:val="none"/>
                      <w:lang w:eastAsia="zh-CN"/>
                    </w:rPr>
                    <w:t>冷却水循环使用，不外排。</w:t>
                  </w:r>
                </w:p>
              </w:tc>
              <w:tc>
                <w:tcPr>
                  <w:tcW w:w="800" w:type="pct"/>
                  <w:tcBorders>
                    <w:left w:val="single" w:color="auto" w:sz="4" w:space="0"/>
                    <w:bottom w:val="single" w:color="auto" w:sz="4" w:space="0"/>
                    <w:right w:val="nil"/>
                  </w:tcBorders>
                  <w:noWrap w:val="0"/>
                  <w:vAlign w:val="center"/>
                </w:tcPr>
                <w:p w14:paraId="36D48933">
                  <w:pPr>
                    <w:keepNext w:val="0"/>
                    <w:keepLines w:val="0"/>
                    <w:suppressLineNumbers w:val="0"/>
                    <w:adjustRightInd w:val="0"/>
                    <w:snapToGrid w:val="0"/>
                    <w:spacing w:before="0" w:beforeAutospacing="0" w:after="0" w:afterAutospacing="0"/>
                    <w:ind w:left="0" w:right="0"/>
                    <w:jc w:val="center"/>
                    <w:rPr>
                      <w:rFonts w:hint="eastAsia" w:eastAsia="宋体"/>
                      <w:color w:val="auto"/>
                      <w:lang w:eastAsia="zh-CN"/>
                    </w:rPr>
                  </w:pPr>
                  <w:r>
                    <w:rPr>
                      <w:rFonts w:hint="eastAsia"/>
                      <w:color w:val="auto"/>
                      <w:lang w:eastAsia="zh-CN"/>
                    </w:rPr>
                    <w:t>新建</w:t>
                  </w:r>
                </w:p>
              </w:tc>
            </w:tr>
            <w:tr w14:paraId="58B6E4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pct"/>
                  <w:vMerge w:val="restart"/>
                  <w:tcBorders>
                    <w:top w:val="single" w:color="auto" w:sz="4" w:space="0"/>
                    <w:left w:val="nil"/>
                    <w:right w:val="single" w:color="auto" w:sz="4" w:space="0"/>
                  </w:tcBorders>
                  <w:noWrap w:val="0"/>
                  <w:vAlign w:val="center"/>
                </w:tcPr>
                <w:p w14:paraId="670C5E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环保工程</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1D11D0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噪声治理</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60D71399">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eastAsia="zh-CN"/>
                    </w:rPr>
                  </w:pPr>
                  <w:r>
                    <w:rPr>
                      <w:rFonts w:hint="eastAsia" w:eastAsia="宋体" w:cs="Times New Roman"/>
                      <w:color w:val="auto"/>
                      <w:szCs w:val="21"/>
                      <w:highlight w:val="none"/>
                      <w:lang w:eastAsia="zh-CN"/>
                    </w:rPr>
                    <w:t>选用低噪声设备、</w:t>
                  </w:r>
                  <w:r>
                    <w:rPr>
                      <w:rFonts w:hint="default" w:ascii="Times New Roman" w:hAnsi="Times New Roman" w:eastAsia="Times New Roman" w:cs="Times New Roman"/>
                      <w:color w:val="auto"/>
                      <w:szCs w:val="21"/>
                      <w:highlight w:val="none"/>
                    </w:rPr>
                    <w:t>基础减振+厂房隔声</w:t>
                  </w:r>
                  <w:r>
                    <w:rPr>
                      <w:rFonts w:hint="default" w:ascii="Times New Roman" w:hAnsi="Times New Roman" w:eastAsia="Times New Roman" w:cs="Times New Roman"/>
                      <w:color w:val="auto"/>
                      <w:szCs w:val="21"/>
                      <w:highlight w:val="none"/>
                      <w:lang w:eastAsia="zh-CN"/>
                    </w:rPr>
                    <w:t>。</w:t>
                  </w:r>
                </w:p>
              </w:tc>
              <w:tc>
                <w:tcPr>
                  <w:tcW w:w="800" w:type="pct"/>
                  <w:tcBorders>
                    <w:top w:val="single" w:color="auto" w:sz="4" w:space="0"/>
                    <w:left w:val="single" w:color="auto" w:sz="4" w:space="0"/>
                    <w:right w:val="nil"/>
                  </w:tcBorders>
                  <w:noWrap w:val="0"/>
                  <w:vAlign w:val="center"/>
                </w:tcPr>
                <w:p w14:paraId="71DBC4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eastAsia" w:ascii="Times New Roman" w:hAnsi="Times New Roman" w:eastAsia="Times New Roman" w:cs="Times New Roman"/>
                      <w:color w:val="auto"/>
                      <w:szCs w:val="21"/>
                      <w:highlight w:val="none"/>
                      <w:lang w:eastAsia="zh-CN"/>
                    </w:rPr>
                    <w:t>新建</w:t>
                  </w:r>
                </w:p>
              </w:tc>
            </w:tr>
            <w:tr w14:paraId="289276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pct"/>
                  <w:vMerge w:val="continue"/>
                  <w:tcBorders>
                    <w:left w:val="nil"/>
                    <w:right w:val="single" w:color="auto" w:sz="4" w:space="0"/>
                  </w:tcBorders>
                  <w:noWrap w:val="0"/>
                  <w:vAlign w:val="center"/>
                </w:tcPr>
                <w:p w14:paraId="1109881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tcBorders>
                    <w:top w:val="single" w:color="auto" w:sz="4" w:space="0"/>
                    <w:left w:val="single" w:color="auto" w:sz="4" w:space="0"/>
                    <w:right w:val="single" w:color="auto" w:sz="4" w:space="0"/>
                  </w:tcBorders>
                  <w:noWrap w:val="0"/>
                  <w:vAlign w:val="center"/>
                </w:tcPr>
                <w:p w14:paraId="63FA31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废气治理</w:t>
                  </w:r>
                </w:p>
              </w:tc>
              <w:tc>
                <w:tcPr>
                  <w:tcW w:w="2536" w:type="pct"/>
                  <w:gridSpan w:val="3"/>
                  <w:tcBorders>
                    <w:top w:val="single" w:color="auto" w:sz="4" w:space="0"/>
                    <w:left w:val="single" w:color="auto" w:sz="4" w:space="0"/>
                    <w:right w:val="single" w:color="auto" w:sz="4" w:space="0"/>
                  </w:tcBorders>
                  <w:noWrap w:val="0"/>
                  <w:vAlign w:val="center"/>
                </w:tcPr>
                <w:p w14:paraId="4E18F7E8">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0"/>
                      <w:szCs w:val="21"/>
                      <w:highlight w:val="none"/>
                      <w:lang w:eastAsia="zh-CN"/>
                    </w:rPr>
                    <w:t>挤出（吹膜）</w:t>
                  </w:r>
                  <w:r>
                    <w:rPr>
                      <w:rFonts w:hint="default" w:ascii="Times New Roman" w:hAnsi="Times New Roman" w:eastAsia="Times New Roman" w:cs="Times New Roman"/>
                      <w:color w:val="auto"/>
                      <w:szCs w:val="21"/>
                      <w:highlight w:val="none"/>
                      <w:lang w:val="en-US" w:eastAsia="zh-CN"/>
                    </w:rPr>
                    <w:t>废气</w:t>
                  </w:r>
                  <w:r>
                    <w:rPr>
                      <w:rFonts w:hint="eastAsia" w:eastAsia="Times New Roman" w:cs="Times New Roman"/>
                      <w:color w:val="auto"/>
                      <w:szCs w:val="21"/>
                      <w:highlight w:val="none"/>
                      <w:lang w:val="en-US" w:eastAsia="zh-CN"/>
                    </w:rPr>
                    <w:t>、高频复合废气、粘合废气、喷码废气由集气罩收集后经过</w:t>
                  </w:r>
                  <w:r>
                    <w:rPr>
                      <w:rFonts w:hint="eastAsia" w:ascii="Times New Roman" w:hAnsi="Times New Roman" w:eastAsia="Times New Roman" w:cs="Times New Roman"/>
                      <w:color w:val="auto"/>
                      <w:szCs w:val="21"/>
                      <w:highlight w:val="none"/>
                      <w:lang w:val="en-US" w:eastAsia="zh-CN"/>
                    </w:rPr>
                    <w:t>吸附、脱附+催化燃烧</w:t>
                  </w:r>
                  <w:r>
                    <w:rPr>
                      <w:rFonts w:hint="default" w:ascii="Times New Roman" w:hAnsi="Times New Roman" w:eastAsia="Times New Roman" w:cs="Times New Roman"/>
                      <w:color w:val="auto"/>
                      <w:szCs w:val="21"/>
                      <w:highlight w:val="none"/>
                      <w:lang w:val="en-US" w:eastAsia="zh-CN"/>
                    </w:rPr>
                    <w:t>处理后，</w:t>
                  </w:r>
                  <w:r>
                    <w:rPr>
                      <w:rFonts w:hint="eastAsia" w:eastAsia="Times New Roman" w:cs="Times New Roman"/>
                      <w:color w:val="auto"/>
                      <w:szCs w:val="21"/>
                      <w:highlight w:val="none"/>
                      <w:lang w:val="en-US" w:eastAsia="zh-CN"/>
                    </w:rPr>
                    <w:t>通过1根不低于15m高</w:t>
                  </w:r>
                  <w:r>
                    <w:rPr>
                      <w:rFonts w:hint="default" w:ascii="Times New Roman" w:hAnsi="Times New Roman" w:eastAsia="Times New Roman" w:cs="Times New Roman"/>
                      <w:color w:val="auto"/>
                      <w:szCs w:val="21"/>
                      <w:highlight w:val="none"/>
                      <w:lang w:val="en-US" w:eastAsia="zh-CN"/>
                    </w:rPr>
                    <w:t>排气筒排放。</w:t>
                  </w:r>
                  <w:r>
                    <w:rPr>
                      <w:rFonts w:hint="eastAsia" w:eastAsia="Times New Roman" w:cs="Times New Roman"/>
                      <w:color w:val="auto"/>
                      <w:szCs w:val="21"/>
                      <w:highlight w:val="none"/>
                      <w:lang w:val="en-US" w:eastAsia="zh-CN"/>
                    </w:rPr>
                    <w:t>危废间废气事故状态下引入</w:t>
                  </w:r>
                  <w:r>
                    <w:rPr>
                      <w:rFonts w:hint="eastAsia" w:ascii="Times New Roman" w:hAnsi="Times New Roman" w:eastAsia="Times New Roman" w:cs="Times New Roman"/>
                      <w:color w:val="auto"/>
                      <w:szCs w:val="21"/>
                      <w:highlight w:val="none"/>
                      <w:lang w:val="en-US" w:eastAsia="zh-CN"/>
                    </w:rPr>
                    <w:t>吸附、脱附+催化燃烧治理设施。</w:t>
                  </w:r>
                </w:p>
              </w:tc>
              <w:tc>
                <w:tcPr>
                  <w:tcW w:w="800" w:type="pct"/>
                  <w:tcBorders>
                    <w:top w:val="single" w:color="auto" w:sz="4" w:space="0"/>
                    <w:left w:val="single" w:color="auto" w:sz="4" w:space="0"/>
                    <w:right w:val="nil"/>
                  </w:tcBorders>
                  <w:noWrap w:val="0"/>
                  <w:vAlign w:val="center"/>
                </w:tcPr>
                <w:p w14:paraId="62B78C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ascii="Times New Roman" w:hAnsi="Times New Roman" w:eastAsia="Times New Roman" w:cs="Times New Roman"/>
                      <w:color w:val="auto"/>
                      <w:szCs w:val="21"/>
                      <w:highlight w:val="none"/>
                      <w:lang w:eastAsia="zh-CN"/>
                    </w:rPr>
                    <w:t>新建</w:t>
                  </w:r>
                </w:p>
              </w:tc>
            </w:tr>
            <w:tr w14:paraId="669DB1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21" w:type="pct"/>
                  <w:vMerge w:val="continue"/>
                  <w:tcBorders>
                    <w:left w:val="nil"/>
                    <w:right w:val="single" w:color="auto" w:sz="4" w:space="0"/>
                  </w:tcBorders>
                  <w:noWrap w:val="0"/>
                  <w:vAlign w:val="center"/>
                </w:tcPr>
                <w:p w14:paraId="3B6176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vMerge w:val="restart"/>
                  <w:tcBorders>
                    <w:top w:val="single" w:color="auto" w:sz="4" w:space="0"/>
                    <w:left w:val="single" w:color="auto" w:sz="4" w:space="0"/>
                    <w:right w:val="single" w:color="auto" w:sz="4" w:space="0"/>
                  </w:tcBorders>
                  <w:noWrap w:val="0"/>
                  <w:vAlign w:val="center"/>
                </w:tcPr>
                <w:p w14:paraId="1A70BE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废水治理</w:t>
                  </w: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1DF510FF">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rPr>
                  </w:pPr>
                  <w:r>
                    <w:rPr>
                      <w:rFonts w:hint="eastAsia" w:eastAsia="宋体" w:cs="Times New Roman"/>
                      <w:color w:val="auto"/>
                      <w:szCs w:val="21"/>
                      <w:highlight w:val="none"/>
                      <w:lang w:eastAsia="zh-CN"/>
                    </w:rPr>
                    <w:t>生活污水</w:t>
                  </w:r>
                  <w:r>
                    <w:rPr>
                      <w:rFonts w:hint="default" w:ascii="Times New Roman" w:hAnsi="Times New Roman" w:eastAsia="Times New Roman" w:cs="Times New Roman"/>
                      <w:color w:val="auto"/>
                      <w:szCs w:val="21"/>
                      <w:highlight w:val="none"/>
                      <w:lang w:val="en-US" w:eastAsia="zh-CN"/>
                    </w:rPr>
                    <w:t>：化粪池</w:t>
                  </w:r>
                  <w:r>
                    <w:rPr>
                      <w:rFonts w:hint="eastAsia" w:eastAsia="Times New Roman" w:cs="Times New Roman"/>
                      <w:color w:val="auto"/>
                      <w:szCs w:val="21"/>
                      <w:highlight w:val="none"/>
                      <w:lang w:val="en-US" w:eastAsia="zh-CN"/>
                    </w:rPr>
                    <w:t>（10m</w:t>
                  </w:r>
                  <w:r>
                    <w:rPr>
                      <w:rFonts w:hint="eastAsia" w:eastAsia="Times New Roman" w:cs="Times New Roman"/>
                      <w:color w:val="auto"/>
                      <w:szCs w:val="21"/>
                      <w:highlight w:val="none"/>
                      <w:vertAlign w:val="superscript"/>
                      <w:lang w:val="en-US" w:eastAsia="zh-CN"/>
                    </w:rPr>
                    <w:t>3</w:t>
                  </w:r>
                  <w:r>
                    <w:rPr>
                      <w:rFonts w:hint="eastAsia" w:eastAsia="Times New Roman" w:cs="Times New Roman"/>
                      <w:color w:val="auto"/>
                      <w:szCs w:val="21"/>
                      <w:highlight w:val="none"/>
                      <w:lang w:val="en-US" w:eastAsia="zh-CN"/>
                    </w:rPr>
                    <w:t>）</w:t>
                  </w:r>
                  <w:r>
                    <w:rPr>
                      <w:rFonts w:hint="default" w:ascii="Times New Roman" w:hAnsi="Times New Roman" w:eastAsia="Times New Roman" w:cs="Times New Roman"/>
                      <w:color w:val="auto"/>
                      <w:szCs w:val="21"/>
                      <w:highlight w:val="none"/>
                      <w:lang w:val="en-US" w:eastAsia="zh-CN"/>
                    </w:rPr>
                    <w:t>。</w:t>
                  </w:r>
                </w:p>
              </w:tc>
              <w:tc>
                <w:tcPr>
                  <w:tcW w:w="800" w:type="pct"/>
                  <w:tcBorders>
                    <w:left w:val="single" w:color="auto" w:sz="4" w:space="0"/>
                    <w:right w:val="nil"/>
                  </w:tcBorders>
                  <w:noWrap w:val="0"/>
                  <w:vAlign w:val="center"/>
                </w:tcPr>
                <w:p w14:paraId="441D52F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Times New Roman" w:cs="Times New Roman"/>
                      <w:color w:val="auto"/>
                      <w:szCs w:val="21"/>
                      <w:highlight w:val="none"/>
                      <w:lang w:eastAsia="zh-CN"/>
                    </w:rPr>
                    <w:t>租赁现有</w:t>
                  </w:r>
                </w:p>
              </w:tc>
            </w:tr>
            <w:tr w14:paraId="5C2F1B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21" w:type="pct"/>
                  <w:vMerge w:val="continue"/>
                  <w:tcBorders>
                    <w:left w:val="nil"/>
                    <w:right w:val="single" w:color="auto" w:sz="4" w:space="0"/>
                  </w:tcBorders>
                  <w:noWrap w:val="0"/>
                  <w:vAlign w:val="center"/>
                </w:tcPr>
                <w:p w14:paraId="19FED4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vMerge w:val="continue"/>
                  <w:tcBorders>
                    <w:left w:val="single" w:color="auto" w:sz="4" w:space="0"/>
                    <w:right w:val="single" w:color="auto" w:sz="4" w:space="0"/>
                  </w:tcBorders>
                  <w:noWrap w:val="0"/>
                  <w:vAlign w:val="center"/>
                </w:tcPr>
                <w:p w14:paraId="73AFBB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2536" w:type="pct"/>
                  <w:gridSpan w:val="3"/>
                  <w:tcBorders>
                    <w:top w:val="single" w:color="auto" w:sz="4" w:space="0"/>
                    <w:left w:val="single" w:color="auto" w:sz="4" w:space="0"/>
                    <w:bottom w:val="single" w:color="auto" w:sz="4" w:space="0"/>
                    <w:right w:val="single" w:color="auto" w:sz="4" w:space="0"/>
                  </w:tcBorders>
                  <w:noWrap w:val="0"/>
                  <w:vAlign w:val="center"/>
                </w:tcPr>
                <w:p w14:paraId="4057DA82">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szCs w:val="21"/>
                      <w:highlight w:val="none"/>
                    </w:rPr>
                    <w:t>生产废水</w:t>
                  </w:r>
                  <w:r>
                    <w:rPr>
                      <w:rFonts w:hint="default" w:ascii="Times New Roman" w:hAnsi="Times New Roman" w:eastAsia="Times New Roman" w:cs="Times New Roman"/>
                      <w:color w:val="auto"/>
                      <w:szCs w:val="21"/>
                      <w:highlight w:val="none"/>
                      <w:lang w:eastAsia="zh-CN"/>
                    </w:rPr>
                    <w:t>：</w:t>
                  </w:r>
                  <w:r>
                    <w:rPr>
                      <w:rFonts w:hint="eastAsia" w:eastAsia="宋体" w:cs="Times New Roman"/>
                      <w:color w:val="auto"/>
                      <w:kern w:val="0"/>
                      <w:szCs w:val="21"/>
                      <w:highlight w:val="none"/>
                      <w:lang w:eastAsia="zh-CN"/>
                    </w:rPr>
                    <w:t>挤出（吹膜）工序</w:t>
                  </w:r>
                  <w:r>
                    <w:rPr>
                      <w:rFonts w:hint="eastAsia" w:cs="Times New Roman"/>
                      <w:color w:val="auto"/>
                      <w:kern w:val="0"/>
                      <w:szCs w:val="21"/>
                      <w:highlight w:val="none"/>
                      <w:lang w:eastAsia="zh-CN"/>
                    </w:rPr>
                    <w:t>、高频复合工序</w:t>
                  </w:r>
                  <w:r>
                    <w:rPr>
                      <w:rFonts w:hint="eastAsia" w:eastAsia="Times New Roman" w:cs="Times New Roman"/>
                      <w:color w:val="auto"/>
                      <w:szCs w:val="21"/>
                      <w:highlight w:val="none"/>
                      <w:lang w:eastAsia="zh-CN"/>
                    </w:rPr>
                    <w:t>冷却水</w:t>
                  </w:r>
                  <w:r>
                    <w:rPr>
                      <w:rFonts w:hint="default" w:ascii="Times New Roman" w:hAnsi="Times New Roman" w:eastAsia="Times New Roman" w:cs="Times New Roman"/>
                      <w:color w:val="auto"/>
                      <w:szCs w:val="21"/>
                      <w:highlight w:val="none"/>
                      <w:lang w:val="en-US" w:eastAsia="zh-CN"/>
                    </w:rPr>
                    <w:t>循环使用，不外排</w:t>
                  </w:r>
                  <w:r>
                    <w:rPr>
                      <w:rFonts w:hint="default" w:ascii="Times New Roman" w:hAnsi="Times New Roman" w:eastAsia="Times New Roman" w:cs="Times New Roman"/>
                      <w:color w:val="auto"/>
                      <w:lang w:eastAsia="zh-CN"/>
                    </w:rPr>
                    <w:t>。</w:t>
                  </w:r>
                </w:p>
              </w:tc>
              <w:tc>
                <w:tcPr>
                  <w:tcW w:w="800" w:type="pct"/>
                  <w:tcBorders>
                    <w:left w:val="single" w:color="auto" w:sz="4" w:space="0"/>
                    <w:right w:val="nil"/>
                  </w:tcBorders>
                  <w:noWrap w:val="0"/>
                  <w:vAlign w:val="center"/>
                </w:tcPr>
                <w:p w14:paraId="51DD8BF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新建</w:t>
                  </w:r>
                </w:p>
              </w:tc>
            </w:tr>
            <w:tr w14:paraId="5A352F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pct"/>
                  <w:vMerge w:val="continue"/>
                  <w:tcBorders>
                    <w:left w:val="nil"/>
                    <w:right w:val="single" w:color="auto" w:sz="4" w:space="0"/>
                  </w:tcBorders>
                  <w:noWrap w:val="0"/>
                  <w:vAlign w:val="center"/>
                </w:tcPr>
                <w:p w14:paraId="1779340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vMerge w:val="restart"/>
                  <w:tcBorders>
                    <w:top w:val="single" w:color="auto" w:sz="4" w:space="0"/>
                    <w:left w:val="single" w:color="auto" w:sz="4" w:space="0"/>
                    <w:right w:val="single" w:color="auto" w:sz="4" w:space="0"/>
                  </w:tcBorders>
                  <w:noWrap w:val="0"/>
                  <w:vAlign w:val="center"/>
                </w:tcPr>
                <w:p w14:paraId="11522C8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szCs w:val="21"/>
                      <w:highlight w:val="none"/>
                    </w:rPr>
                    <w:t>固废治理</w:t>
                  </w:r>
                </w:p>
              </w:tc>
              <w:tc>
                <w:tcPr>
                  <w:tcW w:w="1301" w:type="pct"/>
                  <w:gridSpan w:val="2"/>
                  <w:tcBorders>
                    <w:top w:val="single" w:color="auto" w:sz="4" w:space="0"/>
                    <w:left w:val="single" w:color="auto" w:sz="4" w:space="0"/>
                    <w:bottom w:val="single" w:color="auto" w:sz="4" w:space="0"/>
                    <w:right w:val="single" w:color="auto" w:sz="4" w:space="0"/>
                  </w:tcBorders>
                  <w:noWrap w:val="0"/>
                  <w:vAlign w:val="center"/>
                </w:tcPr>
                <w:p w14:paraId="311841CB">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lang w:eastAsia="zh-CN"/>
                    </w:rPr>
                  </w:pPr>
                  <w:r>
                    <w:rPr>
                      <w:rFonts w:hint="default" w:ascii="Times New Roman" w:hAnsi="Times New Roman" w:eastAsia="Times New Roman" w:cs="Times New Roman"/>
                      <w:color w:val="auto"/>
                      <w:szCs w:val="21"/>
                      <w:highlight w:val="none"/>
                      <w:lang w:val="en-US" w:eastAsia="zh-CN"/>
                    </w:rPr>
                    <w:t>生活垃圾</w:t>
                  </w:r>
                  <w:r>
                    <w:rPr>
                      <w:rFonts w:hint="eastAsia" w:eastAsia="Times New Roman" w:cs="Times New Roman"/>
                      <w:color w:val="auto"/>
                      <w:szCs w:val="21"/>
                      <w:highlight w:val="none"/>
                      <w:lang w:val="en-US" w:eastAsia="zh-CN"/>
                    </w:rPr>
                    <w:t>。</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1F58812D">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垃圾箱。</w:t>
                  </w:r>
                </w:p>
              </w:tc>
              <w:tc>
                <w:tcPr>
                  <w:tcW w:w="800" w:type="pct"/>
                  <w:tcBorders>
                    <w:left w:val="single" w:color="auto" w:sz="4" w:space="0"/>
                    <w:right w:val="nil"/>
                  </w:tcBorders>
                  <w:noWrap w:val="0"/>
                  <w:vAlign w:val="center"/>
                </w:tcPr>
                <w:p w14:paraId="6E65EE2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新建</w:t>
                  </w:r>
                </w:p>
              </w:tc>
            </w:tr>
            <w:tr w14:paraId="09F5EA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pct"/>
                  <w:vMerge w:val="continue"/>
                  <w:tcBorders>
                    <w:left w:val="nil"/>
                    <w:right w:val="single" w:color="auto" w:sz="4" w:space="0"/>
                  </w:tcBorders>
                  <w:noWrap w:val="0"/>
                  <w:vAlign w:val="center"/>
                </w:tcPr>
                <w:p w14:paraId="32482A7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vMerge w:val="continue"/>
                  <w:tcBorders>
                    <w:left w:val="single" w:color="auto" w:sz="4" w:space="0"/>
                    <w:right w:val="single" w:color="auto" w:sz="4" w:space="0"/>
                  </w:tcBorders>
                  <w:noWrap w:val="0"/>
                  <w:vAlign w:val="center"/>
                </w:tcPr>
                <w:p w14:paraId="4218C9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1301" w:type="pct"/>
                  <w:gridSpan w:val="2"/>
                  <w:tcBorders>
                    <w:top w:val="single" w:color="auto" w:sz="4" w:space="0"/>
                    <w:left w:val="single" w:color="auto" w:sz="4" w:space="0"/>
                    <w:bottom w:val="single" w:color="auto" w:sz="4" w:space="0"/>
                    <w:right w:val="single" w:color="auto" w:sz="4" w:space="0"/>
                  </w:tcBorders>
                  <w:noWrap w:val="0"/>
                  <w:vAlign w:val="center"/>
                </w:tcPr>
                <w:p w14:paraId="0F8E9D95">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一般固废：</w:t>
                  </w:r>
                  <w:r>
                    <w:rPr>
                      <w:rFonts w:hint="default" w:ascii="Times New Roman" w:hAnsi="Times New Roman" w:eastAsia="Times New Roman" w:cs="Times New Roman"/>
                      <w:color w:val="auto"/>
                      <w:szCs w:val="21"/>
                      <w:highlight w:val="none"/>
                      <w:lang w:val="en-US" w:eastAsia="zh-CN"/>
                    </w:rPr>
                    <w:t>废包装、边角料、不合格产品</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1DB297AE">
                  <w:pPr>
                    <w:keepNext w:val="0"/>
                    <w:keepLines w:val="0"/>
                    <w:suppressLineNumbers w:val="0"/>
                    <w:adjustRightInd w:val="0"/>
                    <w:snapToGrid w:val="0"/>
                    <w:spacing w:before="0" w:beforeAutospacing="0" w:after="0" w:afterAutospacing="0"/>
                    <w:ind w:left="0" w:right="0"/>
                    <w:rPr>
                      <w:rFonts w:hint="eastAsia"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一般固废间</w:t>
                  </w:r>
                  <w:r>
                    <w:rPr>
                      <w:rFonts w:hint="eastAsia" w:ascii="Times New Roman" w:hAnsi="Times New Roman" w:eastAsia="Times New Roman" w:cs="Times New Roman"/>
                      <w:color w:val="auto"/>
                      <w:szCs w:val="21"/>
                      <w:highlight w:val="none"/>
                      <w:lang w:val="en-US" w:eastAsia="zh-CN"/>
                    </w:rPr>
                    <w:t>（</w:t>
                  </w:r>
                  <w:r>
                    <w:rPr>
                      <w:rFonts w:hint="eastAsia" w:eastAsia="Times New Roman" w:cs="Times New Roman"/>
                      <w:color w:val="auto"/>
                      <w:szCs w:val="21"/>
                      <w:highlight w:val="none"/>
                      <w:lang w:val="en-US" w:eastAsia="zh-CN"/>
                    </w:rPr>
                    <w:t>5</w:t>
                  </w:r>
                  <w:r>
                    <w:rPr>
                      <w:rFonts w:hint="eastAsia" w:ascii="Times New Roman" w:hAnsi="Times New Roman" w:eastAsia="Times New Roman" w:cs="Times New Roman"/>
                      <w:color w:val="auto"/>
                      <w:szCs w:val="21"/>
                      <w:highlight w:val="none"/>
                      <w:lang w:val="en-US" w:eastAsia="zh-CN"/>
                    </w:rPr>
                    <w:t>m</w:t>
                  </w:r>
                  <w:r>
                    <w:rPr>
                      <w:rFonts w:hint="eastAsia" w:ascii="Times New Roman" w:hAnsi="Times New Roman" w:eastAsia="Times New Roman" w:cs="Times New Roman"/>
                      <w:color w:val="auto"/>
                      <w:szCs w:val="21"/>
                      <w:highlight w:val="none"/>
                      <w:vertAlign w:val="superscript"/>
                      <w:lang w:val="en-US" w:eastAsia="zh-CN"/>
                    </w:rPr>
                    <w:t>2</w:t>
                  </w:r>
                  <w:r>
                    <w:rPr>
                      <w:rFonts w:hint="eastAsia" w:ascii="Times New Roman" w:hAnsi="Times New Roman" w:eastAsia="Times New Roman" w:cs="Times New Roman"/>
                      <w:color w:val="auto"/>
                      <w:szCs w:val="21"/>
                      <w:highlight w:val="none"/>
                      <w:lang w:val="en-US" w:eastAsia="zh-CN"/>
                    </w:rPr>
                    <w:t>）</w:t>
                  </w:r>
                  <w:r>
                    <w:rPr>
                      <w:rFonts w:hint="default" w:ascii="Times New Roman" w:hAnsi="Times New Roman" w:eastAsia="Times New Roman" w:cs="Times New Roman"/>
                      <w:color w:val="auto"/>
                      <w:szCs w:val="21"/>
                      <w:highlight w:val="none"/>
                      <w:lang w:val="en-US" w:eastAsia="zh-CN"/>
                    </w:rPr>
                    <w:t>。</w:t>
                  </w:r>
                </w:p>
              </w:tc>
              <w:tc>
                <w:tcPr>
                  <w:tcW w:w="800" w:type="pct"/>
                  <w:tcBorders>
                    <w:left w:val="single" w:color="auto" w:sz="4" w:space="0"/>
                    <w:right w:val="nil"/>
                  </w:tcBorders>
                  <w:noWrap w:val="0"/>
                  <w:vAlign w:val="center"/>
                </w:tcPr>
                <w:p w14:paraId="746C943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none"/>
                      <w:lang w:eastAsia="zh-CN"/>
                    </w:rPr>
                  </w:pPr>
                  <w:r>
                    <w:rPr>
                      <w:rFonts w:hint="eastAsia" w:eastAsia="宋体" w:cs="Times New Roman"/>
                      <w:color w:val="auto"/>
                      <w:szCs w:val="21"/>
                      <w:highlight w:val="none"/>
                      <w:lang w:eastAsia="zh-CN"/>
                    </w:rPr>
                    <w:t>新建</w:t>
                  </w:r>
                </w:p>
              </w:tc>
            </w:tr>
            <w:tr w14:paraId="26C0CD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1" w:type="pct"/>
                  <w:vMerge w:val="continue"/>
                  <w:tcBorders>
                    <w:left w:val="nil"/>
                    <w:right w:val="single" w:color="auto" w:sz="4" w:space="0"/>
                  </w:tcBorders>
                  <w:noWrap w:val="0"/>
                  <w:vAlign w:val="center"/>
                </w:tcPr>
                <w:p w14:paraId="2B41F08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941" w:type="pct"/>
                  <w:vMerge w:val="continue"/>
                  <w:tcBorders>
                    <w:left w:val="single" w:color="auto" w:sz="4" w:space="0"/>
                    <w:right w:val="single" w:color="auto" w:sz="4" w:space="0"/>
                  </w:tcBorders>
                  <w:noWrap w:val="0"/>
                  <w:vAlign w:val="center"/>
                </w:tcPr>
                <w:p w14:paraId="5336BA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1"/>
                      <w:highlight w:val="none"/>
                    </w:rPr>
                  </w:pPr>
                </w:p>
              </w:tc>
              <w:tc>
                <w:tcPr>
                  <w:tcW w:w="1301" w:type="pct"/>
                  <w:gridSpan w:val="2"/>
                  <w:tcBorders>
                    <w:top w:val="single" w:color="auto" w:sz="4" w:space="0"/>
                    <w:left w:val="single" w:color="auto" w:sz="4" w:space="0"/>
                    <w:bottom w:val="single" w:color="auto" w:sz="4" w:space="0"/>
                    <w:right w:val="single" w:color="auto" w:sz="4" w:space="0"/>
                  </w:tcBorders>
                  <w:noWrap w:val="0"/>
                  <w:vAlign w:val="center"/>
                </w:tcPr>
                <w:p w14:paraId="6461993C">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color w:val="auto"/>
                      <w:szCs w:val="21"/>
                      <w:highlight w:val="none"/>
                      <w:lang w:val="en-US" w:eastAsia="zh-CN"/>
                    </w:rPr>
                  </w:pPr>
                  <w:r>
                    <w:rPr>
                      <w:rFonts w:hint="eastAsia" w:eastAsia="Times New Roman" w:cs="Times New Roman"/>
                      <w:color w:val="auto"/>
                      <w:szCs w:val="21"/>
                      <w:highlight w:val="none"/>
                      <w:lang w:val="en-US" w:eastAsia="zh-CN"/>
                    </w:rPr>
                    <w:t>危险废物：废活性炭、废润滑油桶、废催化剂。</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37C1A71D">
                  <w:pPr>
                    <w:keepNext w:val="0"/>
                    <w:keepLines w:val="0"/>
                    <w:suppressLineNumbers w:val="0"/>
                    <w:adjustRightInd w:val="0"/>
                    <w:snapToGrid w:val="0"/>
                    <w:spacing w:before="0" w:beforeAutospacing="0" w:after="0" w:afterAutospacing="0"/>
                    <w:ind w:left="0" w:right="0"/>
                    <w:rPr>
                      <w:rFonts w:hint="eastAsia" w:eastAsia="Times New Roman" w:cs="Times New Roman"/>
                      <w:color w:val="auto"/>
                      <w:szCs w:val="21"/>
                      <w:highlight w:val="none"/>
                      <w:lang w:val="en-US" w:eastAsia="zh-CN"/>
                    </w:rPr>
                  </w:pPr>
                  <w:r>
                    <w:rPr>
                      <w:rFonts w:hint="default" w:ascii="Times New Roman" w:hAnsi="Times New Roman" w:eastAsia="Times New Roman" w:cs="Times New Roman"/>
                      <w:color w:val="auto"/>
                      <w:szCs w:val="21"/>
                      <w:highlight w:val="none"/>
                      <w:lang w:val="en-US" w:eastAsia="zh-CN"/>
                    </w:rPr>
                    <w:t>危废间</w:t>
                  </w:r>
                  <w:r>
                    <w:rPr>
                      <w:rFonts w:hint="eastAsia" w:ascii="Times New Roman" w:hAnsi="Times New Roman" w:eastAsia="Times New Roman" w:cs="Times New Roman"/>
                      <w:color w:val="auto"/>
                      <w:szCs w:val="21"/>
                      <w:highlight w:val="none"/>
                      <w:lang w:val="en-US" w:eastAsia="zh-CN"/>
                    </w:rPr>
                    <w:t>（</w:t>
                  </w:r>
                  <w:r>
                    <w:rPr>
                      <w:rFonts w:hint="eastAsia" w:eastAsia="Times New Roman" w:cs="Times New Roman"/>
                      <w:color w:val="auto"/>
                      <w:szCs w:val="21"/>
                      <w:highlight w:val="none"/>
                      <w:lang w:val="en-US" w:eastAsia="zh-CN"/>
                    </w:rPr>
                    <w:t>5</w:t>
                  </w:r>
                  <w:r>
                    <w:rPr>
                      <w:rFonts w:hint="eastAsia" w:ascii="Times New Roman" w:hAnsi="Times New Roman" w:eastAsia="Times New Roman" w:cs="Times New Roman"/>
                      <w:color w:val="auto"/>
                      <w:szCs w:val="21"/>
                      <w:highlight w:val="none"/>
                      <w:lang w:val="en-US" w:eastAsia="zh-CN"/>
                    </w:rPr>
                    <w:t>m</w:t>
                  </w:r>
                  <w:r>
                    <w:rPr>
                      <w:rFonts w:hint="eastAsia" w:ascii="Times New Roman" w:hAnsi="Times New Roman" w:eastAsia="Times New Roman" w:cs="Times New Roman"/>
                      <w:color w:val="auto"/>
                      <w:szCs w:val="21"/>
                      <w:highlight w:val="none"/>
                      <w:vertAlign w:val="superscript"/>
                      <w:lang w:val="en-US" w:eastAsia="zh-CN"/>
                    </w:rPr>
                    <w:t>2</w:t>
                  </w:r>
                  <w:r>
                    <w:rPr>
                      <w:rFonts w:hint="eastAsia" w:ascii="Times New Roman" w:hAnsi="Times New Roman" w:eastAsia="Times New Roman" w:cs="Times New Roman"/>
                      <w:color w:val="auto"/>
                      <w:szCs w:val="21"/>
                      <w:highlight w:val="none"/>
                      <w:lang w:val="en-US" w:eastAsia="zh-CN"/>
                    </w:rPr>
                    <w:t>）</w:t>
                  </w:r>
                  <w:r>
                    <w:rPr>
                      <w:rFonts w:hint="eastAsia" w:eastAsia="Times New Roman" w:cs="Times New Roman"/>
                      <w:color w:val="auto"/>
                      <w:szCs w:val="21"/>
                      <w:highlight w:val="none"/>
                      <w:lang w:val="en-US" w:eastAsia="zh-CN"/>
                    </w:rPr>
                    <w:t>。</w:t>
                  </w:r>
                </w:p>
              </w:tc>
              <w:tc>
                <w:tcPr>
                  <w:tcW w:w="800" w:type="pct"/>
                  <w:tcBorders>
                    <w:left w:val="single" w:color="auto" w:sz="4" w:space="0"/>
                    <w:right w:val="nil"/>
                  </w:tcBorders>
                  <w:noWrap w:val="0"/>
                  <w:vAlign w:val="center"/>
                </w:tcPr>
                <w:p w14:paraId="2D8D69C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highlight w:val="yellow"/>
                      <w:lang w:eastAsia="zh-CN"/>
                    </w:rPr>
                  </w:pPr>
                  <w:r>
                    <w:rPr>
                      <w:rFonts w:hint="eastAsia" w:cs="Times New Roman"/>
                      <w:color w:val="auto"/>
                      <w:szCs w:val="21"/>
                      <w:highlight w:val="none"/>
                      <w:lang w:eastAsia="zh-CN"/>
                    </w:rPr>
                    <w:t>新建</w:t>
                  </w:r>
                </w:p>
              </w:tc>
            </w:tr>
            <w:tr w14:paraId="5086E6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00" w:type="pct"/>
                  <w:gridSpan w:val="6"/>
                  <w:tcBorders>
                    <w:left w:val="nil"/>
                    <w:right w:val="nil"/>
                  </w:tcBorders>
                  <w:noWrap w:val="0"/>
                  <w:vAlign w:val="center"/>
                </w:tcPr>
                <w:p w14:paraId="29D93DAE">
                  <w:pPr>
                    <w:keepNext w:val="0"/>
                    <w:keepLines w:val="0"/>
                    <w:suppressLineNumbers w:val="0"/>
                    <w:adjustRightInd w:val="0"/>
                    <w:snapToGrid w:val="0"/>
                    <w:spacing w:before="0" w:beforeAutospacing="0" w:after="0" w:afterAutospacing="0"/>
                    <w:ind w:left="0" w:right="0"/>
                    <w:jc w:val="both"/>
                    <w:rPr>
                      <w:rFonts w:hint="eastAsia" w:cs="Times New Roman"/>
                      <w:color w:val="auto"/>
                      <w:szCs w:val="21"/>
                      <w:highlight w:val="none"/>
                      <w:lang w:eastAsia="zh-CN"/>
                    </w:rPr>
                  </w:pPr>
                  <w:r>
                    <w:rPr>
                      <w:rFonts w:hint="eastAsia" w:cs="Times New Roman"/>
                      <w:color w:val="auto"/>
                      <w:szCs w:val="21"/>
                      <w:highlight w:val="none"/>
                      <w:lang w:eastAsia="zh-CN"/>
                    </w:rPr>
                    <w:t>注</w:t>
                  </w:r>
                  <w:r>
                    <w:rPr>
                      <w:rFonts w:hint="eastAsia" w:cs="Times New Roman"/>
                      <w:color w:val="auto"/>
                      <w:szCs w:val="21"/>
                      <w:highlight w:val="none"/>
                      <w:lang w:val="en-US" w:eastAsia="zh-CN"/>
                    </w:rPr>
                    <w:t>*</w:t>
                  </w:r>
                  <w:r>
                    <w:rPr>
                      <w:rFonts w:hint="eastAsia" w:cs="Times New Roman"/>
                      <w:color w:val="auto"/>
                      <w:szCs w:val="21"/>
                      <w:highlight w:val="none"/>
                      <w:lang w:eastAsia="zh-CN"/>
                    </w:rPr>
                    <w:t>：本项目原料、成品仓库目前由安阳市金石园区运营管理有限责任公司</w:t>
                  </w:r>
                  <w:r>
                    <w:rPr>
                      <w:rFonts w:hint="eastAsia" w:cs="Times New Roman"/>
                      <w:color w:val="auto"/>
                      <w:szCs w:val="21"/>
                      <w:highlight w:val="none"/>
                      <w:lang w:eastAsia="zh-CN"/>
                    </w:rPr>
                    <w:t>建设中</w:t>
                  </w:r>
                  <w:r>
                    <w:rPr>
                      <w:rFonts w:hint="eastAsia" w:cs="Times New Roman"/>
                      <w:color w:val="auto"/>
                      <w:szCs w:val="21"/>
                      <w:highlight w:val="none"/>
                      <w:lang w:eastAsia="zh-CN"/>
                    </w:rPr>
                    <w:t>，暂未</w:t>
                  </w:r>
                  <w:r>
                    <w:rPr>
                      <w:rFonts w:hint="eastAsia" w:cs="Times New Roman"/>
                      <w:color w:val="auto"/>
                      <w:szCs w:val="21"/>
                      <w:highlight w:val="none"/>
                      <w:lang w:eastAsia="zh-CN"/>
                    </w:rPr>
                    <w:t>建设</w:t>
                  </w:r>
                  <w:r>
                    <w:rPr>
                      <w:rFonts w:hint="eastAsia" w:cs="Times New Roman"/>
                      <w:color w:val="auto"/>
                      <w:szCs w:val="21"/>
                      <w:highlight w:val="none"/>
                      <w:lang w:eastAsia="zh-CN"/>
                    </w:rPr>
                    <w:t>完成。</w:t>
                  </w:r>
                </w:p>
              </w:tc>
            </w:tr>
          </w:tbl>
          <w:p w14:paraId="03C18723">
            <w:pPr>
              <w:keepNext w:val="0"/>
              <w:keepLines w:val="0"/>
              <w:suppressLineNumbers w:val="0"/>
              <w:adjustRightInd w:val="0"/>
              <w:snapToGrid w:val="0"/>
              <w:spacing w:before="120" w:beforeLines="5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3</w:t>
            </w:r>
            <w:r>
              <w:rPr>
                <w:rFonts w:hint="default" w:ascii="Times New Roman" w:hAnsi="Times New Roman" w:eastAsia="Times New Roman" w:cs="Times New Roman"/>
                <w:b/>
                <w:color w:val="auto"/>
                <w:sz w:val="24"/>
                <w:highlight w:val="none"/>
              </w:rPr>
              <w:t>.主要设备</w:t>
            </w:r>
          </w:p>
          <w:p w14:paraId="27A6CDD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项目主要生产设备见下表。</w:t>
            </w:r>
          </w:p>
          <w:p w14:paraId="6A4C78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主要生产设备一览表</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04"/>
              <w:gridCol w:w="1148"/>
              <w:gridCol w:w="480"/>
              <w:gridCol w:w="855"/>
              <w:gridCol w:w="959"/>
              <w:gridCol w:w="427"/>
              <w:gridCol w:w="864"/>
              <w:gridCol w:w="887"/>
              <w:gridCol w:w="531"/>
              <w:gridCol w:w="650"/>
            </w:tblGrid>
            <w:tr w14:paraId="13DF2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restart"/>
                  <w:vAlign w:val="center"/>
                </w:tcPr>
                <w:p w14:paraId="7D44AC1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r>
                    <w:rPr>
                      <w:rFonts w:hint="default"/>
                      <w:b/>
                      <w:bCs/>
                      <w:color w:val="auto"/>
                      <w:szCs w:val="21"/>
                    </w:rPr>
                    <w:t>序号</w:t>
                  </w:r>
                </w:p>
              </w:tc>
              <w:tc>
                <w:tcPr>
                  <w:tcW w:w="2532" w:type="dxa"/>
                  <w:gridSpan w:val="3"/>
                  <w:vAlign w:val="center"/>
                </w:tcPr>
                <w:p w14:paraId="6DF1521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b/>
                      <w:bCs/>
                      <w:color w:val="auto"/>
                      <w:szCs w:val="21"/>
                      <w:lang w:eastAsia="zh-CN"/>
                    </w:rPr>
                  </w:pPr>
                  <w:r>
                    <w:rPr>
                      <w:rFonts w:hint="eastAsia"/>
                      <w:b/>
                      <w:bCs/>
                      <w:color w:val="auto"/>
                      <w:szCs w:val="21"/>
                      <w:lang w:eastAsia="zh-CN"/>
                    </w:rPr>
                    <w:t>现有工程实际建设（宜沟镇）</w:t>
                  </w:r>
                </w:p>
              </w:tc>
              <w:tc>
                <w:tcPr>
                  <w:tcW w:w="2241" w:type="dxa"/>
                  <w:gridSpan w:val="3"/>
                  <w:vAlign w:val="center"/>
                </w:tcPr>
                <w:p w14:paraId="71D9378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b/>
                      <w:bCs/>
                      <w:color w:val="auto"/>
                      <w:szCs w:val="21"/>
                      <w:lang w:eastAsia="zh-CN"/>
                    </w:rPr>
                  </w:pPr>
                  <w:r>
                    <w:rPr>
                      <w:rFonts w:hint="eastAsia"/>
                      <w:b/>
                      <w:bCs/>
                      <w:color w:val="auto"/>
                      <w:szCs w:val="21"/>
                      <w:lang w:eastAsia="zh-CN"/>
                    </w:rPr>
                    <w:t>现有工程环评（宜沟镇）</w:t>
                  </w:r>
                </w:p>
              </w:tc>
              <w:tc>
                <w:tcPr>
                  <w:tcW w:w="2282" w:type="dxa"/>
                  <w:gridSpan w:val="3"/>
                  <w:vAlign w:val="center"/>
                </w:tcPr>
                <w:p w14:paraId="13A57B1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b/>
                      <w:bCs/>
                      <w:color w:val="auto"/>
                      <w:szCs w:val="21"/>
                      <w:lang w:eastAsia="zh-CN"/>
                    </w:rPr>
                  </w:pPr>
                  <w:r>
                    <w:rPr>
                      <w:rFonts w:hint="eastAsia"/>
                      <w:b/>
                      <w:bCs/>
                      <w:color w:val="auto"/>
                      <w:szCs w:val="21"/>
                      <w:lang w:eastAsia="zh-CN"/>
                    </w:rPr>
                    <w:t>本工程（古贤镇）</w:t>
                  </w:r>
                </w:p>
              </w:tc>
              <w:tc>
                <w:tcPr>
                  <w:tcW w:w="650" w:type="dxa"/>
                  <w:vMerge w:val="restart"/>
                  <w:vAlign w:val="center"/>
                </w:tcPr>
                <w:p w14:paraId="529BB3B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b/>
                      <w:bCs/>
                      <w:color w:val="auto"/>
                      <w:szCs w:val="21"/>
                      <w:lang w:eastAsia="zh-CN"/>
                    </w:rPr>
                  </w:pPr>
                  <w:r>
                    <w:rPr>
                      <w:rFonts w:hint="eastAsia"/>
                      <w:b/>
                      <w:bCs/>
                      <w:color w:val="auto"/>
                      <w:szCs w:val="21"/>
                      <w:lang w:eastAsia="zh-CN"/>
                    </w:rPr>
                    <w:t>备注</w:t>
                  </w:r>
                </w:p>
              </w:tc>
            </w:tr>
            <w:tr w14:paraId="1BC892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vAlign w:val="center"/>
                </w:tcPr>
                <w:p w14:paraId="670CC7C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p>
              </w:tc>
              <w:tc>
                <w:tcPr>
                  <w:tcW w:w="904" w:type="dxa"/>
                  <w:vAlign w:val="center"/>
                </w:tcPr>
                <w:p w14:paraId="254B77A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r>
                    <w:rPr>
                      <w:rFonts w:hint="default"/>
                      <w:b/>
                      <w:bCs/>
                      <w:color w:val="auto"/>
                      <w:szCs w:val="21"/>
                    </w:rPr>
                    <w:t>名称</w:t>
                  </w:r>
                </w:p>
              </w:tc>
              <w:tc>
                <w:tcPr>
                  <w:tcW w:w="1148" w:type="dxa"/>
                  <w:vAlign w:val="center"/>
                </w:tcPr>
                <w:p w14:paraId="0960278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b/>
                      <w:bCs/>
                      <w:color w:val="auto"/>
                      <w:szCs w:val="21"/>
                    </w:rPr>
                  </w:pPr>
                  <w:r>
                    <w:rPr>
                      <w:rFonts w:hint="default"/>
                      <w:b/>
                      <w:bCs/>
                      <w:color w:val="auto"/>
                      <w:szCs w:val="21"/>
                    </w:rPr>
                    <w:t>型号</w:t>
                  </w:r>
                </w:p>
              </w:tc>
              <w:tc>
                <w:tcPr>
                  <w:tcW w:w="480" w:type="dxa"/>
                  <w:vAlign w:val="center"/>
                </w:tcPr>
                <w:p w14:paraId="33ADD9E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b/>
                      <w:bCs/>
                      <w:color w:val="auto"/>
                      <w:szCs w:val="21"/>
                    </w:rPr>
                  </w:pPr>
                  <w:r>
                    <w:rPr>
                      <w:rFonts w:hint="default"/>
                      <w:b/>
                      <w:bCs/>
                      <w:color w:val="auto"/>
                      <w:szCs w:val="21"/>
                    </w:rPr>
                    <w:t>数量</w:t>
                  </w:r>
                </w:p>
              </w:tc>
              <w:tc>
                <w:tcPr>
                  <w:tcW w:w="855" w:type="dxa"/>
                  <w:vAlign w:val="center"/>
                </w:tcPr>
                <w:p w14:paraId="388AEC8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b/>
                      <w:bCs/>
                      <w:color w:val="auto"/>
                      <w:szCs w:val="21"/>
                    </w:rPr>
                  </w:pPr>
                  <w:r>
                    <w:rPr>
                      <w:rFonts w:hint="default"/>
                      <w:b/>
                      <w:bCs/>
                      <w:color w:val="auto"/>
                      <w:szCs w:val="21"/>
                    </w:rPr>
                    <w:t>名称</w:t>
                  </w:r>
                </w:p>
              </w:tc>
              <w:tc>
                <w:tcPr>
                  <w:tcW w:w="959" w:type="dxa"/>
                  <w:vAlign w:val="center"/>
                </w:tcPr>
                <w:p w14:paraId="1CBF8EF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b/>
                      <w:bCs/>
                      <w:color w:val="auto"/>
                      <w:szCs w:val="21"/>
                    </w:rPr>
                  </w:pPr>
                  <w:r>
                    <w:rPr>
                      <w:rFonts w:hint="default"/>
                      <w:b/>
                      <w:bCs/>
                      <w:color w:val="auto"/>
                      <w:szCs w:val="21"/>
                    </w:rPr>
                    <w:t>型号</w:t>
                  </w:r>
                </w:p>
              </w:tc>
              <w:tc>
                <w:tcPr>
                  <w:tcW w:w="427" w:type="dxa"/>
                  <w:vAlign w:val="center"/>
                </w:tcPr>
                <w:p w14:paraId="2D615EC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b/>
                      <w:bCs/>
                      <w:color w:val="auto"/>
                      <w:szCs w:val="21"/>
                    </w:rPr>
                  </w:pPr>
                  <w:r>
                    <w:rPr>
                      <w:rFonts w:hint="default"/>
                      <w:b/>
                      <w:bCs/>
                      <w:color w:val="auto"/>
                      <w:szCs w:val="21"/>
                    </w:rPr>
                    <w:t>数量</w:t>
                  </w:r>
                </w:p>
              </w:tc>
              <w:tc>
                <w:tcPr>
                  <w:tcW w:w="864" w:type="dxa"/>
                  <w:vAlign w:val="center"/>
                </w:tcPr>
                <w:p w14:paraId="36F143A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r>
                    <w:rPr>
                      <w:rFonts w:hint="default"/>
                      <w:b/>
                      <w:bCs/>
                      <w:color w:val="auto"/>
                      <w:szCs w:val="21"/>
                    </w:rPr>
                    <w:t>名称</w:t>
                  </w:r>
                </w:p>
              </w:tc>
              <w:tc>
                <w:tcPr>
                  <w:tcW w:w="887" w:type="dxa"/>
                  <w:vAlign w:val="center"/>
                </w:tcPr>
                <w:p w14:paraId="658BF9C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r>
                    <w:rPr>
                      <w:rFonts w:hint="default"/>
                      <w:b/>
                      <w:bCs/>
                      <w:color w:val="auto"/>
                      <w:szCs w:val="21"/>
                    </w:rPr>
                    <w:t>型号</w:t>
                  </w:r>
                </w:p>
              </w:tc>
              <w:tc>
                <w:tcPr>
                  <w:tcW w:w="531" w:type="dxa"/>
                  <w:vAlign w:val="center"/>
                </w:tcPr>
                <w:p w14:paraId="67AA3E0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r>
                    <w:rPr>
                      <w:rFonts w:hint="default"/>
                      <w:b/>
                      <w:bCs/>
                      <w:color w:val="auto"/>
                      <w:szCs w:val="21"/>
                    </w:rPr>
                    <w:t>数量</w:t>
                  </w:r>
                </w:p>
              </w:tc>
              <w:tc>
                <w:tcPr>
                  <w:tcW w:w="650" w:type="dxa"/>
                  <w:vMerge w:val="continue"/>
                  <w:vAlign w:val="center"/>
                </w:tcPr>
                <w:p w14:paraId="07C7499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b/>
                      <w:bCs/>
                      <w:color w:val="auto"/>
                      <w:szCs w:val="21"/>
                    </w:rPr>
                  </w:pPr>
                </w:p>
              </w:tc>
            </w:tr>
            <w:tr w14:paraId="49E5E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7" w:type="dxa"/>
                  <w:vAlign w:val="center"/>
                </w:tcPr>
                <w:p w14:paraId="760C20C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rPr>
                  </w:pPr>
                  <w:r>
                    <w:rPr>
                      <w:rFonts w:hint="default"/>
                      <w:color w:val="auto"/>
                      <w:szCs w:val="21"/>
                    </w:rPr>
                    <w:t>1</w:t>
                  </w:r>
                </w:p>
              </w:tc>
              <w:tc>
                <w:tcPr>
                  <w:tcW w:w="904" w:type="dxa"/>
                  <w:vAlign w:val="center"/>
                </w:tcPr>
                <w:p w14:paraId="3A3C2FC2">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color w:val="auto"/>
                      <w:sz w:val="21"/>
                      <w:szCs w:val="21"/>
                    </w:rPr>
                  </w:pPr>
                  <w:r>
                    <w:rPr>
                      <w:rFonts w:hint="eastAsia" w:ascii="Times New Roman" w:hAnsi="Times New Roman" w:eastAsia="宋体" w:cs="Times New Roman"/>
                      <w:color w:val="auto"/>
                      <w:sz w:val="21"/>
                      <w:szCs w:val="21"/>
                      <w:lang w:val="en-US" w:eastAsia="zh-CN"/>
                    </w:rPr>
                    <w:t>挤出（</w:t>
                  </w:r>
                  <w:r>
                    <w:rPr>
                      <w:rFonts w:hint="default" w:ascii="Times New Roman" w:hAnsi="Times New Roman" w:eastAsia="宋体" w:cs="Times New Roman"/>
                      <w:color w:val="auto"/>
                      <w:sz w:val="21"/>
                      <w:szCs w:val="21"/>
                      <w:lang w:val="en-US" w:eastAsia="zh-CN"/>
                    </w:rPr>
                    <w:t>吹膜</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机</w:t>
                  </w:r>
                </w:p>
              </w:tc>
              <w:tc>
                <w:tcPr>
                  <w:tcW w:w="1148" w:type="dxa"/>
                  <w:vAlign w:val="center"/>
                </w:tcPr>
                <w:p w14:paraId="230A120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default"/>
                      <w:color w:val="auto"/>
                      <w:szCs w:val="21"/>
                      <w:lang w:val="en-US" w:eastAsia="zh-CN"/>
                    </w:rPr>
                    <w:t>SJ65/30（50/30）-BX600</w:t>
                  </w:r>
                </w:p>
              </w:tc>
              <w:tc>
                <w:tcPr>
                  <w:tcW w:w="480" w:type="dxa"/>
                  <w:vAlign w:val="center"/>
                </w:tcPr>
                <w:p w14:paraId="24098766">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855" w:type="dxa"/>
                  <w:vAlign w:val="center"/>
                </w:tcPr>
                <w:p w14:paraId="4F1480F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挤出（</w:t>
                  </w:r>
                  <w:r>
                    <w:rPr>
                      <w:rFonts w:hint="default" w:ascii="Times New Roman" w:hAnsi="Times New Roman" w:eastAsia="宋体" w:cs="Times New Roman"/>
                      <w:color w:val="auto"/>
                      <w:sz w:val="21"/>
                      <w:szCs w:val="21"/>
                      <w:lang w:val="en-US" w:eastAsia="zh-CN"/>
                    </w:rPr>
                    <w:t>吹膜</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机</w:t>
                  </w:r>
                </w:p>
              </w:tc>
              <w:tc>
                <w:tcPr>
                  <w:tcW w:w="959" w:type="dxa"/>
                  <w:vAlign w:val="center"/>
                </w:tcPr>
                <w:p w14:paraId="2D3DE3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default"/>
                      <w:color w:val="auto"/>
                      <w:szCs w:val="21"/>
                      <w:lang w:val="en-US" w:eastAsia="zh-CN"/>
                    </w:rPr>
                    <w:t>SJ65/30（50/30）-BX600</w:t>
                  </w:r>
                </w:p>
              </w:tc>
              <w:tc>
                <w:tcPr>
                  <w:tcW w:w="427" w:type="dxa"/>
                  <w:vAlign w:val="center"/>
                </w:tcPr>
                <w:p w14:paraId="5EFF3373">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864" w:type="dxa"/>
                  <w:vAlign w:val="center"/>
                </w:tcPr>
                <w:p w14:paraId="2E8A7FDB">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挤出（</w:t>
                  </w:r>
                  <w:r>
                    <w:rPr>
                      <w:rFonts w:hint="default" w:ascii="Times New Roman" w:hAnsi="Times New Roman" w:eastAsia="宋体" w:cs="Times New Roman"/>
                      <w:color w:val="auto"/>
                      <w:sz w:val="21"/>
                      <w:szCs w:val="21"/>
                      <w:lang w:val="en-US" w:eastAsia="zh-CN"/>
                    </w:rPr>
                    <w:t>吹膜</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机</w:t>
                  </w:r>
                </w:p>
              </w:tc>
              <w:tc>
                <w:tcPr>
                  <w:tcW w:w="887" w:type="dxa"/>
                  <w:vAlign w:val="center"/>
                </w:tcPr>
                <w:p w14:paraId="588BB0E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eastAsia="宋体"/>
                      <w:color w:val="auto"/>
                      <w:szCs w:val="21"/>
                      <w:lang w:val="en-US" w:eastAsia="zh-CN"/>
                    </w:rPr>
                  </w:pPr>
                  <w:r>
                    <w:rPr>
                      <w:rFonts w:hint="default"/>
                      <w:color w:val="auto"/>
                      <w:szCs w:val="21"/>
                      <w:lang w:val="en-US" w:eastAsia="zh-CN"/>
                    </w:rPr>
                    <w:t>SJ65/30（50/30）-BX600</w:t>
                  </w:r>
                </w:p>
              </w:tc>
              <w:tc>
                <w:tcPr>
                  <w:tcW w:w="531" w:type="dxa"/>
                  <w:vAlign w:val="center"/>
                </w:tcPr>
                <w:p w14:paraId="369873F2">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6</w:t>
                  </w:r>
                </w:p>
              </w:tc>
              <w:tc>
                <w:tcPr>
                  <w:tcW w:w="650" w:type="dxa"/>
                  <w:vAlign w:val="center"/>
                </w:tcPr>
                <w:p w14:paraId="71D7C88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5用1备</w:t>
                  </w:r>
                </w:p>
              </w:tc>
            </w:tr>
            <w:tr w14:paraId="19838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7" w:type="dxa"/>
                  <w:vAlign w:val="center"/>
                </w:tcPr>
                <w:p w14:paraId="0E527EC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rPr>
                  </w:pPr>
                  <w:r>
                    <w:rPr>
                      <w:rFonts w:hint="default"/>
                      <w:color w:val="auto"/>
                      <w:szCs w:val="21"/>
                    </w:rPr>
                    <w:t>2</w:t>
                  </w:r>
                </w:p>
              </w:tc>
              <w:tc>
                <w:tcPr>
                  <w:tcW w:w="904" w:type="dxa"/>
                  <w:vAlign w:val="center"/>
                </w:tcPr>
                <w:p w14:paraId="49C23ED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eastAsia="宋体"/>
                      <w:color w:val="auto"/>
                      <w:sz w:val="21"/>
                      <w:szCs w:val="21"/>
                      <w:lang w:eastAsia="zh-CN"/>
                    </w:rPr>
                  </w:pPr>
                  <w:r>
                    <w:rPr>
                      <w:rFonts w:hint="default" w:ascii="Times New Roman" w:hAnsi="Times New Roman" w:eastAsia="宋体" w:cs="Times New Roman"/>
                      <w:color w:val="auto"/>
                      <w:sz w:val="21"/>
                      <w:szCs w:val="21"/>
                      <w:lang w:val="en-US" w:eastAsia="zh-CN"/>
                    </w:rPr>
                    <w:t>圆织机</w:t>
                  </w:r>
                </w:p>
              </w:tc>
              <w:tc>
                <w:tcPr>
                  <w:tcW w:w="1148" w:type="dxa"/>
                  <w:vAlign w:val="center"/>
                </w:tcPr>
                <w:p w14:paraId="1CFAEC5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color w:val="auto"/>
                      <w:szCs w:val="21"/>
                      <w:lang w:val="en-US" w:eastAsia="zh-CN"/>
                    </w:rPr>
                    <w:t>750X4</w:t>
                  </w:r>
                </w:p>
              </w:tc>
              <w:tc>
                <w:tcPr>
                  <w:tcW w:w="480" w:type="dxa"/>
                  <w:vAlign w:val="center"/>
                </w:tcPr>
                <w:p w14:paraId="555FF8B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w:t>
                  </w:r>
                </w:p>
              </w:tc>
              <w:tc>
                <w:tcPr>
                  <w:tcW w:w="855" w:type="dxa"/>
                  <w:vAlign w:val="center"/>
                </w:tcPr>
                <w:p w14:paraId="7C65BA3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圆织机</w:t>
                  </w:r>
                </w:p>
              </w:tc>
              <w:tc>
                <w:tcPr>
                  <w:tcW w:w="959" w:type="dxa"/>
                  <w:vAlign w:val="center"/>
                </w:tcPr>
                <w:p w14:paraId="3D3C687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default"/>
                      <w:color w:val="auto"/>
                      <w:szCs w:val="21"/>
                      <w:lang w:val="en-US" w:eastAsia="zh-CN"/>
                    </w:rPr>
                    <w:t>750X4</w:t>
                  </w:r>
                </w:p>
              </w:tc>
              <w:tc>
                <w:tcPr>
                  <w:tcW w:w="427" w:type="dxa"/>
                  <w:vAlign w:val="center"/>
                </w:tcPr>
                <w:p w14:paraId="1519A543">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40</w:t>
                  </w:r>
                </w:p>
              </w:tc>
              <w:tc>
                <w:tcPr>
                  <w:tcW w:w="864" w:type="dxa"/>
                  <w:vAlign w:val="center"/>
                </w:tcPr>
                <w:p w14:paraId="3BB4D53E">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圆织机</w:t>
                  </w:r>
                </w:p>
              </w:tc>
              <w:tc>
                <w:tcPr>
                  <w:tcW w:w="887" w:type="dxa"/>
                  <w:vAlign w:val="center"/>
                </w:tcPr>
                <w:p w14:paraId="50E4EA4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rPr>
                  </w:pPr>
                  <w:r>
                    <w:rPr>
                      <w:rFonts w:hint="default"/>
                      <w:color w:val="auto"/>
                      <w:szCs w:val="21"/>
                      <w:lang w:val="en-US" w:eastAsia="zh-CN"/>
                    </w:rPr>
                    <w:t>750X</w:t>
                  </w:r>
                  <w:r>
                    <w:rPr>
                      <w:rFonts w:hint="eastAsia"/>
                      <w:color w:val="auto"/>
                      <w:szCs w:val="21"/>
                      <w:lang w:val="en-US" w:eastAsia="zh-CN"/>
                    </w:rPr>
                    <w:t>4</w:t>
                  </w:r>
                </w:p>
              </w:tc>
              <w:tc>
                <w:tcPr>
                  <w:tcW w:w="531" w:type="dxa"/>
                  <w:vAlign w:val="center"/>
                </w:tcPr>
                <w:p w14:paraId="68D4941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eastAsia="宋体"/>
                      <w:color w:val="auto"/>
                      <w:sz w:val="21"/>
                      <w:szCs w:val="21"/>
                      <w:lang w:val="en-US" w:eastAsia="zh-CN"/>
                    </w:rPr>
                  </w:pPr>
                  <w:r>
                    <w:rPr>
                      <w:rFonts w:hint="eastAsia"/>
                      <w:color w:val="auto"/>
                      <w:sz w:val="21"/>
                      <w:szCs w:val="21"/>
                      <w:lang w:val="en-US" w:eastAsia="zh-CN"/>
                    </w:rPr>
                    <w:t>200</w:t>
                  </w:r>
                </w:p>
              </w:tc>
              <w:tc>
                <w:tcPr>
                  <w:tcW w:w="650" w:type="dxa"/>
                  <w:vAlign w:val="center"/>
                </w:tcPr>
                <w:p w14:paraId="7ED4A7D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+160（现有项目较环评）</w:t>
                  </w:r>
                </w:p>
              </w:tc>
            </w:tr>
            <w:tr w14:paraId="4E6E3B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7" w:type="dxa"/>
                  <w:vAlign w:val="center"/>
                </w:tcPr>
                <w:p w14:paraId="3CB0AC6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rPr>
                  </w:pPr>
                  <w:r>
                    <w:rPr>
                      <w:rFonts w:hint="default"/>
                      <w:color w:val="auto"/>
                      <w:szCs w:val="21"/>
                    </w:rPr>
                    <w:t>3</w:t>
                  </w:r>
                </w:p>
              </w:tc>
              <w:tc>
                <w:tcPr>
                  <w:tcW w:w="904" w:type="dxa"/>
                  <w:vAlign w:val="center"/>
                </w:tcPr>
                <w:p w14:paraId="3350946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color w:val="auto"/>
                      <w:sz w:val="21"/>
                      <w:szCs w:val="21"/>
                    </w:rPr>
                  </w:pPr>
                  <w:r>
                    <w:rPr>
                      <w:rFonts w:hint="default" w:ascii="Times New Roman" w:hAnsi="Times New Roman" w:eastAsia="宋体" w:cs="Times New Roman"/>
                      <w:color w:val="auto"/>
                      <w:sz w:val="21"/>
                      <w:szCs w:val="21"/>
                      <w:lang w:val="en-US" w:eastAsia="zh-CN"/>
                    </w:rPr>
                    <w:t>水</w:t>
                  </w:r>
                  <w:r>
                    <w:rPr>
                      <w:rFonts w:hint="eastAsia" w:ascii="Times New Roman" w:hAnsi="Times New Roman" w:eastAsia="宋体" w:cs="Times New Roman"/>
                      <w:color w:val="auto"/>
                      <w:sz w:val="21"/>
                      <w:szCs w:val="21"/>
                      <w:lang w:val="en-US" w:eastAsia="zh-CN"/>
                    </w:rPr>
                    <w:t>带粘合</w:t>
                  </w:r>
                  <w:r>
                    <w:rPr>
                      <w:rFonts w:hint="default" w:ascii="Times New Roman" w:hAnsi="Times New Roman" w:eastAsia="宋体" w:cs="Times New Roman"/>
                      <w:color w:val="auto"/>
                      <w:sz w:val="21"/>
                      <w:szCs w:val="21"/>
                      <w:lang w:val="en-US" w:eastAsia="zh-CN"/>
                    </w:rPr>
                    <w:t>机</w:t>
                  </w:r>
                </w:p>
              </w:tc>
              <w:tc>
                <w:tcPr>
                  <w:tcW w:w="1148" w:type="dxa"/>
                  <w:vAlign w:val="center"/>
                </w:tcPr>
                <w:p w14:paraId="27D8E82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olor w:val="auto"/>
                      <w:szCs w:val="21"/>
                      <w:lang w:val="en-US" w:eastAsia="zh-CN"/>
                    </w:rPr>
                    <w:t>/</w:t>
                  </w:r>
                  <w:r>
                    <w:rPr>
                      <w:rFonts w:hint="eastAsia"/>
                      <w:color w:val="auto"/>
                      <w:szCs w:val="21"/>
                    </w:rPr>
                    <w:t xml:space="preserve">  </w:t>
                  </w:r>
                </w:p>
              </w:tc>
              <w:tc>
                <w:tcPr>
                  <w:tcW w:w="480" w:type="dxa"/>
                  <w:vAlign w:val="center"/>
                </w:tcPr>
                <w:p w14:paraId="19455116">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855" w:type="dxa"/>
                  <w:vAlign w:val="center"/>
                </w:tcPr>
                <w:p w14:paraId="58C9ABA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w:t>
                  </w:r>
                  <w:r>
                    <w:rPr>
                      <w:rFonts w:hint="eastAsia" w:ascii="Times New Roman" w:hAnsi="Times New Roman" w:eastAsia="宋体" w:cs="Times New Roman"/>
                      <w:color w:val="auto"/>
                      <w:sz w:val="21"/>
                      <w:szCs w:val="21"/>
                      <w:lang w:val="en-US" w:eastAsia="zh-CN"/>
                    </w:rPr>
                    <w:t>带粘合</w:t>
                  </w:r>
                  <w:r>
                    <w:rPr>
                      <w:rFonts w:hint="default" w:ascii="Times New Roman" w:hAnsi="Times New Roman" w:eastAsia="宋体" w:cs="Times New Roman"/>
                      <w:color w:val="auto"/>
                      <w:sz w:val="21"/>
                      <w:szCs w:val="21"/>
                      <w:lang w:val="en-US" w:eastAsia="zh-CN"/>
                    </w:rPr>
                    <w:t>机</w:t>
                  </w:r>
                </w:p>
              </w:tc>
              <w:tc>
                <w:tcPr>
                  <w:tcW w:w="959" w:type="dxa"/>
                  <w:vAlign w:val="center"/>
                </w:tcPr>
                <w:p w14:paraId="62D2DA2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r>
                    <w:rPr>
                      <w:rFonts w:hint="eastAsia"/>
                      <w:color w:val="auto"/>
                      <w:szCs w:val="21"/>
                    </w:rPr>
                    <w:t xml:space="preserve">  </w:t>
                  </w:r>
                </w:p>
              </w:tc>
              <w:tc>
                <w:tcPr>
                  <w:tcW w:w="427" w:type="dxa"/>
                  <w:vAlign w:val="center"/>
                </w:tcPr>
                <w:p w14:paraId="40A4D182">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2</w:t>
                  </w:r>
                </w:p>
              </w:tc>
              <w:tc>
                <w:tcPr>
                  <w:tcW w:w="864" w:type="dxa"/>
                  <w:vAlign w:val="center"/>
                </w:tcPr>
                <w:p w14:paraId="0E3E2F8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w:t>
                  </w:r>
                  <w:r>
                    <w:rPr>
                      <w:rFonts w:hint="eastAsia" w:ascii="Times New Roman" w:hAnsi="Times New Roman" w:eastAsia="宋体" w:cs="Times New Roman"/>
                      <w:color w:val="auto"/>
                      <w:sz w:val="21"/>
                      <w:szCs w:val="21"/>
                      <w:lang w:val="en-US" w:eastAsia="zh-CN"/>
                    </w:rPr>
                    <w:t>带粘合</w:t>
                  </w:r>
                  <w:r>
                    <w:rPr>
                      <w:rFonts w:hint="default" w:ascii="Times New Roman" w:hAnsi="Times New Roman" w:eastAsia="宋体" w:cs="Times New Roman"/>
                      <w:color w:val="auto"/>
                      <w:sz w:val="21"/>
                      <w:szCs w:val="21"/>
                      <w:lang w:val="en-US" w:eastAsia="zh-CN"/>
                    </w:rPr>
                    <w:t>机</w:t>
                  </w:r>
                </w:p>
              </w:tc>
              <w:tc>
                <w:tcPr>
                  <w:tcW w:w="887" w:type="dxa"/>
                  <w:vAlign w:val="center"/>
                </w:tcPr>
                <w:p w14:paraId="7C1C867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rPr>
                  </w:pPr>
                  <w:r>
                    <w:rPr>
                      <w:rFonts w:hint="eastAsia"/>
                      <w:color w:val="auto"/>
                      <w:szCs w:val="21"/>
                      <w:lang w:val="en-US" w:eastAsia="zh-CN"/>
                    </w:rPr>
                    <w:t>/</w:t>
                  </w:r>
                  <w:r>
                    <w:rPr>
                      <w:rFonts w:hint="eastAsia"/>
                      <w:color w:val="auto"/>
                      <w:szCs w:val="21"/>
                    </w:rPr>
                    <w:t xml:space="preserve">  </w:t>
                  </w:r>
                </w:p>
              </w:tc>
              <w:tc>
                <w:tcPr>
                  <w:tcW w:w="531" w:type="dxa"/>
                  <w:vAlign w:val="center"/>
                </w:tcPr>
                <w:p w14:paraId="4C90EFC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650" w:type="dxa"/>
                  <w:vAlign w:val="center"/>
                </w:tcPr>
                <w:p w14:paraId="014711D7">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r>
            <w:tr w14:paraId="565C5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7" w:type="dxa"/>
                  <w:vAlign w:val="center"/>
                </w:tcPr>
                <w:p w14:paraId="7C16A9E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rPr>
                  </w:pPr>
                  <w:r>
                    <w:rPr>
                      <w:rFonts w:hint="eastAsia"/>
                      <w:color w:val="auto"/>
                      <w:szCs w:val="21"/>
                    </w:rPr>
                    <w:t>4</w:t>
                  </w:r>
                </w:p>
              </w:tc>
              <w:tc>
                <w:tcPr>
                  <w:tcW w:w="904" w:type="dxa"/>
                  <w:vAlign w:val="center"/>
                </w:tcPr>
                <w:p w14:paraId="7028A19F">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color w:val="auto"/>
                      <w:sz w:val="21"/>
                      <w:szCs w:val="21"/>
                    </w:rPr>
                  </w:pPr>
                  <w:r>
                    <w:rPr>
                      <w:rFonts w:hint="default" w:ascii="Times New Roman" w:hAnsi="Times New Roman" w:eastAsia="宋体" w:cs="Times New Roman"/>
                      <w:color w:val="auto"/>
                      <w:sz w:val="21"/>
                      <w:szCs w:val="21"/>
                      <w:lang w:val="en-US" w:eastAsia="zh-CN"/>
                    </w:rPr>
                    <w:t>收卷机</w:t>
                  </w:r>
                </w:p>
              </w:tc>
              <w:tc>
                <w:tcPr>
                  <w:tcW w:w="1148" w:type="dxa"/>
                  <w:vAlign w:val="center"/>
                </w:tcPr>
                <w:p w14:paraId="2C64031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olor w:val="auto"/>
                      <w:szCs w:val="21"/>
                      <w:lang w:val="en-US" w:eastAsia="zh-CN"/>
                    </w:rPr>
                    <w:t>/</w:t>
                  </w:r>
                </w:p>
              </w:tc>
              <w:tc>
                <w:tcPr>
                  <w:tcW w:w="480" w:type="dxa"/>
                  <w:vAlign w:val="center"/>
                </w:tcPr>
                <w:p w14:paraId="3DF0B7F0">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855" w:type="dxa"/>
                  <w:vAlign w:val="center"/>
                </w:tcPr>
                <w:p w14:paraId="7CC5F86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收卷机</w:t>
                  </w:r>
                </w:p>
              </w:tc>
              <w:tc>
                <w:tcPr>
                  <w:tcW w:w="959" w:type="dxa"/>
                  <w:vAlign w:val="center"/>
                </w:tcPr>
                <w:p w14:paraId="3703299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2608B4D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3</w:t>
                  </w:r>
                </w:p>
              </w:tc>
              <w:tc>
                <w:tcPr>
                  <w:tcW w:w="864" w:type="dxa"/>
                  <w:vAlign w:val="center"/>
                </w:tcPr>
                <w:p w14:paraId="5107D7A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收卷机</w:t>
                  </w:r>
                </w:p>
              </w:tc>
              <w:tc>
                <w:tcPr>
                  <w:tcW w:w="887" w:type="dxa"/>
                  <w:vAlign w:val="center"/>
                </w:tcPr>
                <w:p w14:paraId="0BCA926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color w:val="auto"/>
                      <w:szCs w:val="21"/>
                      <w:lang w:val="en-US" w:eastAsia="zh-CN"/>
                    </w:rPr>
                  </w:pPr>
                  <w:r>
                    <w:rPr>
                      <w:rFonts w:hint="eastAsia"/>
                      <w:color w:val="auto"/>
                      <w:szCs w:val="21"/>
                      <w:lang w:val="en-US" w:eastAsia="zh-CN"/>
                    </w:rPr>
                    <w:t>/</w:t>
                  </w:r>
                </w:p>
              </w:tc>
              <w:tc>
                <w:tcPr>
                  <w:tcW w:w="531" w:type="dxa"/>
                  <w:vAlign w:val="center"/>
                </w:tcPr>
                <w:p w14:paraId="27378D9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650" w:type="dxa"/>
                  <w:vAlign w:val="center"/>
                </w:tcPr>
                <w:p w14:paraId="434C653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w:t>
                  </w:r>
                </w:p>
              </w:tc>
            </w:tr>
            <w:tr w14:paraId="09AED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7" w:type="dxa"/>
                  <w:vAlign w:val="center"/>
                </w:tcPr>
                <w:p w14:paraId="4E6CAC9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eastAsia="宋体"/>
                      <w:color w:val="auto"/>
                      <w:szCs w:val="21"/>
                      <w:lang w:val="en-US" w:eastAsia="zh-CN"/>
                    </w:rPr>
                  </w:pPr>
                  <w:r>
                    <w:rPr>
                      <w:rFonts w:hint="eastAsia"/>
                      <w:color w:val="auto"/>
                      <w:szCs w:val="21"/>
                      <w:lang w:val="en-US" w:eastAsia="zh-CN"/>
                    </w:rPr>
                    <w:t>5</w:t>
                  </w:r>
                </w:p>
              </w:tc>
              <w:tc>
                <w:tcPr>
                  <w:tcW w:w="904" w:type="dxa"/>
                  <w:vAlign w:val="center"/>
                </w:tcPr>
                <w:p w14:paraId="4A0D90CC">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eastAsia="宋体"/>
                      <w:color w:val="auto"/>
                      <w:sz w:val="21"/>
                      <w:szCs w:val="21"/>
                      <w:lang w:eastAsia="zh-CN"/>
                    </w:rPr>
                  </w:pPr>
                  <w:r>
                    <w:rPr>
                      <w:rFonts w:hint="default" w:ascii="Times New Roman" w:hAnsi="Times New Roman" w:eastAsia="宋体" w:cs="Times New Roman"/>
                      <w:color w:val="auto"/>
                      <w:sz w:val="21"/>
                      <w:szCs w:val="21"/>
                      <w:lang w:val="en-US" w:eastAsia="zh-CN"/>
                    </w:rPr>
                    <w:t>收卷机（成品）</w:t>
                  </w:r>
                </w:p>
              </w:tc>
              <w:tc>
                <w:tcPr>
                  <w:tcW w:w="1148" w:type="dxa"/>
                  <w:vAlign w:val="center"/>
                </w:tcPr>
                <w:p w14:paraId="3BA72AD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olor w:val="auto"/>
                      <w:szCs w:val="21"/>
                      <w:lang w:val="en-US" w:eastAsia="zh-CN"/>
                    </w:rPr>
                    <w:t>/</w:t>
                  </w:r>
                </w:p>
              </w:tc>
              <w:tc>
                <w:tcPr>
                  <w:tcW w:w="480" w:type="dxa"/>
                  <w:vAlign w:val="center"/>
                </w:tcPr>
                <w:p w14:paraId="1B8C49DF">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855" w:type="dxa"/>
                  <w:vAlign w:val="center"/>
                </w:tcPr>
                <w:p w14:paraId="03BCBCC1">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收卷机（成品）</w:t>
                  </w:r>
                </w:p>
              </w:tc>
              <w:tc>
                <w:tcPr>
                  <w:tcW w:w="959" w:type="dxa"/>
                  <w:vAlign w:val="center"/>
                </w:tcPr>
                <w:p w14:paraId="1DADD7C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6114D9F3">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4</w:t>
                  </w:r>
                </w:p>
              </w:tc>
              <w:tc>
                <w:tcPr>
                  <w:tcW w:w="864" w:type="dxa"/>
                  <w:vAlign w:val="center"/>
                </w:tcPr>
                <w:p w14:paraId="286B3D1D">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收卷机（成品）</w:t>
                  </w:r>
                </w:p>
              </w:tc>
              <w:tc>
                <w:tcPr>
                  <w:tcW w:w="887" w:type="dxa"/>
                  <w:vAlign w:val="center"/>
                </w:tcPr>
                <w:p w14:paraId="2DE6DE5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color w:val="auto"/>
                      <w:szCs w:val="21"/>
                      <w:lang w:val="en-US" w:eastAsia="zh-CN"/>
                    </w:rPr>
                  </w:pPr>
                  <w:r>
                    <w:rPr>
                      <w:rFonts w:hint="eastAsia"/>
                      <w:color w:val="auto"/>
                      <w:szCs w:val="21"/>
                      <w:lang w:val="en-US" w:eastAsia="zh-CN"/>
                    </w:rPr>
                    <w:t>/</w:t>
                  </w:r>
                </w:p>
              </w:tc>
              <w:tc>
                <w:tcPr>
                  <w:tcW w:w="531" w:type="dxa"/>
                  <w:vAlign w:val="center"/>
                </w:tcPr>
                <w:p w14:paraId="75245B82">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650" w:type="dxa"/>
                  <w:vAlign w:val="center"/>
                </w:tcPr>
                <w:p w14:paraId="558520A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r>
            <w:tr w14:paraId="31B43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7" w:type="dxa"/>
                  <w:vAlign w:val="center"/>
                </w:tcPr>
                <w:p w14:paraId="7F206A7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eastAsia="zh-CN"/>
                    </w:rPr>
                  </w:pPr>
                  <w:r>
                    <w:rPr>
                      <w:rFonts w:hint="eastAsia"/>
                      <w:color w:val="auto"/>
                      <w:szCs w:val="21"/>
                      <w:lang w:val="en-US" w:eastAsia="zh-CN"/>
                    </w:rPr>
                    <w:t>6</w:t>
                  </w:r>
                </w:p>
              </w:tc>
              <w:tc>
                <w:tcPr>
                  <w:tcW w:w="904" w:type="dxa"/>
                  <w:vAlign w:val="center"/>
                </w:tcPr>
                <w:p w14:paraId="5B082FC4">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lang w:eastAsia="zh-CN"/>
                    </w:rPr>
                  </w:pPr>
                  <w:r>
                    <w:rPr>
                      <w:rFonts w:hint="default" w:ascii="Times New Roman" w:hAnsi="Times New Roman" w:eastAsia="宋体" w:cs="Times New Roman"/>
                      <w:color w:val="auto"/>
                      <w:sz w:val="21"/>
                      <w:szCs w:val="21"/>
                      <w:lang w:val="en-US" w:eastAsia="zh-CN"/>
                    </w:rPr>
                    <w:t>喷码机</w:t>
                  </w:r>
                </w:p>
              </w:tc>
              <w:tc>
                <w:tcPr>
                  <w:tcW w:w="1148" w:type="dxa"/>
                  <w:vAlign w:val="center"/>
                </w:tcPr>
                <w:p w14:paraId="36036E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olor w:val="auto"/>
                      <w:szCs w:val="21"/>
                      <w:lang w:val="en-US" w:eastAsia="zh-CN"/>
                    </w:rPr>
                    <w:t>/</w:t>
                  </w:r>
                </w:p>
              </w:tc>
              <w:tc>
                <w:tcPr>
                  <w:tcW w:w="480" w:type="dxa"/>
                  <w:vAlign w:val="center"/>
                </w:tcPr>
                <w:p w14:paraId="1AA7B0C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855" w:type="dxa"/>
                  <w:vAlign w:val="center"/>
                </w:tcPr>
                <w:p w14:paraId="271009F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喷码机</w:t>
                  </w:r>
                </w:p>
              </w:tc>
              <w:tc>
                <w:tcPr>
                  <w:tcW w:w="959" w:type="dxa"/>
                  <w:vAlign w:val="center"/>
                </w:tcPr>
                <w:p w14:paraId="12953C0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7D8141FE">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2</w:t>
                  </w:r>
                </w:p>
              </w:tc>
              <w:tc>
                <w:tcPr>
                  <w:tcW w:w="864" w:type="dxa"/>
                  <w:vAlign w:val="center"/>
                </w:tcPr>
                <w:p w14:paraId="5271FBE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喷码机</w:t>
                  </w:r>
                </w:p>
              </w:tc>
              <w:tc>
                <w:tcPr>
                  <w:tcW w:w="887" w:type="dxa"/>
                  <w:vAlign w:val="center"/>
                </w:tcPr>
                <w:p w14:paraId="57EB447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color w:val="auto"/>
                      <w:szCs w:val="21"/>
                      <w:lang w:val="en-US" w:eastAsia="zh-CN"/>
                    </w:rPr>
                  </w:pPr>
                  <w:r>
                    <w:rPr>
                      <w:rFonts w:hint="eastAsia"/>
                      <w:color w:val="auto"/>
                      <w:szCs w:val="21"/>
                      <w:lang w:val="en-US" w:eastAsia="zh-CN"/>
                    </w:rPr>
                    <w:t>/</w:t>
                  </w:r>
                </w:p>
              </w:tc>
              <w:tc>
                <w:tcPr>
                  <w:tcW w:w="531" w:type="dxa"/>
                  <w:vAlign w:val="center"/>
                </w:tcPr>
                <w:p w14:paraId="429DFC16">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650" w:type="dxa"/>
                  <w:vAlign w:val="center"/>
                </w:tcPr>
                <w:p w14:paraId="3D131590">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r>
            <w:tr w14:paraId="557E76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Align w:val="center"/>
                </w:tcPr>
                <w:p w14:paraId="3ED0D8E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eastAsia="zh-CN"/>
                    </w:rPr>
                  </w:pPr>
                  <w:r>
                    <w:rPr>
                      <w:rFonts w:hint="eastAsia"/>
                      <w:color w:val="auto"/>
                      <w:szCs w:val="21"/>
                      <w:lang w:val="en-US" w:eastAsia="zh-CN"/>
                    </w:rPr>
                    <w:t>7</w:t>
                  </w:r>
                </w:p>
              </w:tc>
              <w:tc>
                <w:tcPr>
                  <w:tcW w:w="904" w:type="dxa"/>
                  <w:vAlign w:val="center"/>
                </w:tcPr>
                <w:p w14:paraId="7BFE232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lang w:eastAsia="zh-CN"/>
                    </w:rPr>
                  </w:pPr>
                  <w:r>
                    <w:rPr>
                      <w:rFonts w:hint="default" w:ascii="Times New Roman" w:hAnsi="Times New Roman" w:eastAsia="宋体" w:cs="Times New Roman"/>
                      <w:color w:val="auto"/>
                      <w:sz w:val="21"/>
                      <w:szCs w:val="21"/>
                      <w:lang w:val="en-US" w:eastAsia="zh-CN"/>
                    </w:rPr>
                    <w:t>倒丝机</w:t>
                  </w:r>
                </w:p>
              </w:tc>
              <w:tc>
                <w:tcPr>
                  <w:tcW w:w="1148" w:type="dxa"/>
                  <w:vAlign w:val="center"/>
                </w:tcPr>
                <w:p w14:paraId="73430C3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olor w:val="auto"/>
                      <w:szCs w:val="21"/>
                      <w:lang w:val="en-US" w:eastAsia="zh-CN"/>
                    </w:rPr>
                    <w:t>/</w:t>
                  </w:r>
                </w:p>
              </w:tc>
              <w:tc>
                <w:tcPr>
                  <w:tcW w:w="480" w:type="dxa"/>
                  <w:vAlign w:val="center"/>
                </w:tcPr>
                <w:p w14:paraId="2A5F5F24">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855" w:type="dxa"/>
                  <w:vAlign w:val="center"/>
                </w:tcPr>
                <w:p w14:paraId="2C1F1EB7">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倒丝机</w:t>
                  </w:r>
                </w:p>
              </w:tc>
              <w:tc>
                <w:tcPr>
                  <w:tcW w:w="959" w:type="dxa"/>
                  <w:vAlign w:val="center"/>
                </w:tcPr>
                <w:p w14:paraId="094D4E7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5622FAF7">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864" w:type="dxa"/>
                  <w:vAlign w:val="center"/>
                </w:tcPr>
                <w:p w14:paraId="14E6CA9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倒丝机</w:t>
                  </w:r>
                </w:p>
              </w:tc>
              <w:tc>
                <w:tcPr>
                  <w:tcW w:w="887" w:type="dxa"/>
                  <w:vAlign w:val="center"/>
                </w:tcPr>
                <w:p w14:paraId="6FD69FB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eastAsia="宋体"/>
                      <w:color w:val="auto"/>
                      <w:szCs w:val="21"/>
                      <w:lang w:val="en-US" w:eastAsia="zh-CN"/>
                    </w:rPr>
                  </w:pPr>
                  <w:r>
                    <w:rPr>
                      <w:rFonts w:hint="eastAsia"/>
                      <w:color w:val="auto"/>
                      <w:szCs w:val="21"/>
                      <w:lang w:val="en-US" w:eastAsia="zh-CN"/>
                    </w:rPr>
                    <w:t>/</w:t>
                  </w:r>
                </w:p>
              </w:tc>
              <w:tc>
                <w:tcPr>
                  <w:tcW w:w="531" w:type="dxa"/>
                  <w:vAlign w:val="center"/>
                </w:tcPr>
                <w:p w14:paraId="02BE582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rPr>
                  </w:pPr>
                  <w:r>
                    <w:rPr>
                      <w:rFonts w:hint="eastAsia" w:ascii="Times New Roman" w:hAnsi="Times New Roman" w:eastAsia="宋体" w:cs="Times New Roman"/>
                      <w:color w:val="auto"/>
                      <w:sz w:val="21"/>
                      <w:szCs w:val="21"/>
                      <w:lang w:val="en-US" w:eastAsia="zh-CN"/>
                    </w:rPr>
                    <w:t>20</w:t>
                  </w:r>
                </w:p>
              </w:tc>
              <w:tc>
                <w:tcPr>
                  <w:tcW w:w="650" w:type="dxa"/>
                  <w:vAlign w:val="center"/>
                </w:tcPr>
                <w:p w14:paraId="15C8234D">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+19</w:t>
                  </w:r>
                </w:p>
              </w:tc>
            </w:tr>
            <w:tr w14:paraId="3CF058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7" w:type="dxa"/>
                  <w:vAlign w:val="center"/>
                </w:tcPr>
                <w:p w14:paraId="0B379D7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eastAsia="zh-CN"/>
                    </w:rPr>
                  </w:pPr>
                  <w:r>
                    <w:rPr>
                      <w:rFonts w:hint="eastAsia"/>
                      <w:color w:val="auto"/>
                      <w:szCs w:val="21"/>
                      <w:lang w:val="en-US" w:eastAsia="zh-CN"/>
                    </w:rPr>
                    <w:t>8</w:t>
                  </w:r>
                </w:p>
              </w:tc>
              <w:tc>
                <w:tcPr>
                  <w:tcW w:w="904" w:type="dxa"/>
                  <w:vAlign w:val="center"/>
                </w:tcPr>
                <w:p w14:paraId="388D4C2C">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lang w:eastAsia="zh-CN"/>
                    </w:rPr>
                  </w:pPr>
                  <w:r>
                    <w:rPr>
                      <w:rFonts w:hint="eastAsia" w:ascii="Times New Roman" w:hAnsi="Times New Roman" w:eastAsia="宋体" w:cs="Times New Roman"/>
                      <w:color w:val="auto"/>
                      <w:sz w:val="21"/>
                      <w:szCs w:val="21"/>
                      <w:lang w:val="en-US" w:eastAsia="zh-CN"/>
                    </w:rPr>
                    <w:t>高频复合机</w:t>
                  </w:r>
                </w:p>
              </w:tc>
              <w:tc>
                <w:tcPr>
                  <w:tcW w:w="1148" w:type="dxa"/>
                  <w:vAlign w:val="center"/>
                </w:tcPr>
                <w:p w14:paraId="2AC2E0C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szCs w:val="21"/>
                      <w:lang w:val="en-US" w:eastAsia="zh-CN"/>
                    </w:rPr>
                    <w:t>/</w:t>
                  </w:r>
                </w:p>
              </w:tc>
              <w:tc>
                <w:tcPr>
                  <w:tcW w:w="480" w:type="dxa"/>
                  <w:vAlign w:val="center"/>
                </w:tcPr>
                <w:p w14:paraId="621CAA6B">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c>
                <w:tcPr>
                  <w:tcW w:w="855" w:type="dxa"/>
                  <w:vAlign w:val="center"/>
                </w:tcPr>
                <w:p w14:paraId="5987A840">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高频复合机</w:t>
                  </w:r>
                </w:p>
              </w:tc>
              <w:tc>
                <w:tcPr>
                  <w:tcW w:w="959" w:type="dxa"/>
                  <w:vAlign w:val="center"/>
                </w:tcPr>
                <w:p w14:paraId="4A81DAB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139539C4">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w:t>
                  </w:r>
                </w:p>
              </w:tc>
              <w:tc>
                <w:tcPr>
                  <w:tcW w:w="864" w:type="dxa"/>
                  <w:vAlign w:val="center"/>
                </w:tcPr>
                <w:p w14:paraId="53A1464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高频复合机</w:t>
                  </w:r>
                </w:p>
              </w:tc>
              <w:tc>
                <w:tcPr>
                  <w:tcW w:w="887" w:type="dxa"/>
                  <w:vAlign w:val="center"/>
                </w:tcPr>
                <w:p w14:paraId="2FE3EB2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color w:val="auto"/>
                      <w:szCs w:val="21"/>
                      <w:lang w:val="en-US" w:eastAsia="zh-CN"/>
                    </w:rPr>
                  </w:pPr>
                  <w:r>
                    <w:rPr>
                      <w:rFonts w:hint="eastAsia"/>
                      <w:color w:val="auto"/>
                      <w:szCs w:val="21"/>
                      <w:lang w:val="en-US" w:eastAsia="zh-CN"/>
                    </w:rPr>
                    <w:t>/</w:t>
                  </w:r>
                </w:p>
              </w:tc>
              <w:tc>
                <w:tcPr>
                  <w:tcW w:w="531" w:type="dxa"/>
                  <w:vAlign w:val="center"/>
                </w:tcPr>
                <w:p w14:paraId="3579CCE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rPr>
                  </w:pPr>
                  <w:r>
                    <w:rPr>
                      <w:rFonts w:hint="eastAsia" w:ascii="Times New Roman" w:hAnsi="Times New Roman" w:eastAsia="宋体" w:cs="Times New Roman"/>
                      <w:color w:val="auto"/>
                      <w:sz w:val="21"/>
                      <w:szCs w:val="21"/>
                      <w:lang w:val="en-US" w:eastAsia="zh-CN"/>
                    </w:rPr>
                    <w:t>10</w:t>
                  </w:r>
                </w:p>
              </w:tc>
              <w:tc>
                <w:tcPr>
                  <w:tcW w:w="650" w:type="dxa"/>
                  <w:vAlign w:val="center"/>
                </w:tcPr>
                <w:p w14:paraId="2A92B0DF">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7E085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7" w:type="dxa"/>
                  <w:vAlign w:val="center"/>
                </w:tcPr>
                <w:p w14:paraId="1ED9B3D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eastAsia="zh-CN"/>
                    </w:rPr>
                  </w:pPr>
                  <w:r>
                    <w:rPr>
                      <w:rFonts w:hint="eastAsia"/>
                      <w:color w:val="auto"/>
                      <w:szCs w:val="21"/>
                      <w:lang w:val="en-US" w:eastAsia="zh-CN"/>
                    </w:rPr>
                    <w:t>9</w:t>
                  </w:r>
                </w:p>
              </w:tc>
              <w:tc>
                <w:tcPr>
                  <w:tcW w:w="904" w:type="dxa"/>
                  <w:vAlign w:val="center"/>
                </w:tcPr>
                <w:p w14:paraId="780F25C7">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lang w:eastAsia="zh-CN"/>
                    </w:rPr>
                  </w:pPr>
                  <w:r>
                    <w:rPr>
                      <w:rFonts w:hint="eastAsia" w:ascii="Times New Roman" w:hAnsi="Times New Roman" w:eastAsia="宋体" w:cs="Times New Roman"/>
                      <w:color w:val="auto"/>
                      <w:sz w:val="21"/>
                      <w:szCs w:val="21"/>
                      <w:lang w:val="en-US" w:eastAsia="zh-CN"/>
                    </w:rPr>
                    <w:t>覆膜机</w:t>
                  </w:r>
                </w:p>
              </w:tc>
              <w:tc>
                <w:tcPr>
                  <w:tcW w:w="1148" w:type="dxa"/>
                  <w:vAlign w:val="center"/>
                </w:tcPr>
                <w:p w14:paraId="2C87498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szCs w:val="21"/>
                      <w:lang w:val="en-US" w:eastAsia="zh-CN"/>
                    </w:rPr>
                    <w:t>/</w:t>
                  </w:r>
                </w:p>
              </w:tc>
              <w:tc>
                <w:tcPr>
                  <w:tcW w:w="480" w:type="dxa"/>
                  <w:vAlign w:val="center"/>
                </w:tcPr>
                <w:p w14:paraId="29F9BDE2">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855" w:type="dxa"/>
                  <w:vAlign w:val="center"/>
                </w:tcPr>
                <w:p w14:paraId="4C86E4F1">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覆膜机</w:t>
                  </w:r>
                </w:p>
              </w:tc>
              <w:tc>
                <w:tcPr>
                  <w:tcW w:w="959" w:type="dxa"/>
                  <w:vAlign w:val="center"/>
                </w:tcPr>
                <w:p w14:paraId="101C59C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396D5FA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864" w:type="dxa"/>
                  <w:vAlign w:val="center"/>
                </w:tcPr>
                <w:p w14:paraId="2DB737F3">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覆膜机</w:t>
                  </w:r>
                </w:p>
              </w:tc>
              <w:tc>
                <w:tcPr>
                  <w:tcW w:w="887" w:type="dxa"/>
                  <w:vAlign w:val="center"/>
                </w:tcPr>
                <w:p w14:paraId="73350E4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eastAsia" w:eastAsia="宋体"/>
                      <w:color w:val="auto"/>
                      <w:szCs w:val="21"/>
                      <w:lang w:val="en-US" w:eastAsia="zh-CN"/>
                    </w:rPr>
                  </w:pPr>
                  <w:r>
                    <w:rPr>
                      <w:rFonts w:hint="eastAsia"/>
                      <w:color w:val="auto"/>
                      <w:szCs w:val="21"/>
                      <w:lang w:val="en-US" w:eastAsia="zh-CN"/>
                    </w:rPr>
                    <w:t>/</w:t>
                  </w:r>
                </w:p>
              </w:tc>
              <w:tc>
                <w:tcPr>
                  <w:tcW w:w="531" w:type="dxa"/>
                  <w:vAlign w:val="center"/>
                </w:tcPr>
                <w:p w14:paraId="355592B9">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color w:val="auto"/>
                      <w:sz w:val="21"/>
                      <w:szCs w:val="21"/>
                    </w:rPr>
                  </w:pPr>
                  <w:r>
                    <w:rPr>
                      <w:rFonts w:hint="eastAsia" w:ascii="Times New Roman" w:hAnsi="Times New Roman" w:eastAsia="宋体" w:cs="Times New Roman"/>
                      <w:color w:val="auto"/>
                      <w:sz w:val="21"/>
                      <w:szCs w:val="21"/>
                      <w:lang w:val="en-US" w:eastAsia="zh-CN"/>
                    </w:rPr>
                    <w:t>5</w:t>
                  </w:r>
                </w:p>
              </w:tc>
              <w:tc>
                <w:tcPr>
                  <w:tcW w:w="650" w:type="dxa"/>
                  <w:vAlign w:val="center"/>
                </w:tcPr>
                <w:p w14:paraId="50DB3593">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r>
            <w:tr w14:paraId="0A87ED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427" w:type="dxa"/>
                  <w:vAlign w:val="center"/>
                </w:tcPr>
                <w:p w14:paraId="4CDD151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eastAsia="zh-CN"/>
                    </w:rPr>
                  </w:pPr>
                  <w:r>
                    <w:rPr>
                      <w:rFonts w:hint="eastAsia"/>
                      <w:color w:val="auto"/>
                      <w:szCs w:val="21"/>
                      <w:lang w:val="en-US" w:eastAsia="zh-CN"/>
                    </w:rPr>
                    <w:t>10</w:t>
                  </w:r>
                </w:p>
              </w:tc>
              <w:tc>
                <w:tcPr>
                  <w:tcW w:w="904" w:type="dxa"/>
                  <w:vAlign w:val="center"/>
                </w:tcPr>
                <w:p w14:paraId="23647BC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闭式冷却塔</w:t>
                  </w:r>
                </w:p>
              </w:tc>
              <w:tc>
                <w:tcPr>
                  <w:tcW w:w="1148" w:type="dxa"/>
                  <w:vAlign w:val="center"/>
                </w:tcPr>
                <w:p w14:paraId="2809331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80" w:type="dxa"/>
                  <w:vAlign w:val="center"/>
                </w:tcPr>
                <w:p w14:paraId="704DC8C7">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55" w:type="dxa"/>
                  <w:vAlign w:val="center"/>
                </w:tcPr>
                <w:p w14:paraId="32D8490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闭式冷却塔</w:t>
                  </w:r>
                </w:p>
              </w:tc>
              <w:tc>
                <w:tcPr>
                  <w:tcW w:w="959" w:type="dxa"/>
                  <w:vAlign w:val="center"/>
                </w:tcPr>
                <w:p w14:paraId="7794230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cs="Times New Roman"/>
                      <w:color w:val="auto"/>
                      <w:sz w:val="21"/>
                      <w:szCs w:val="21"/>
                      <w:lang w:val="en-US" w:eastAsia="zh-CN"/>
                    </w:rPr>
                  </w:pPr>
                  <w:r>
                    <w:rPr>
                      <w:rFonts w:hint="eastAsia"/>
                      <w:color w:val="auto"/>
                      <w:szCs w:val="21"/>
                      <w:lang w:val="en-US" w:eastAsia="zh-CN"/>
                    </w:rPr>
                    <w:t>/</w:t>
                  </w:r>
                </w:p>
              </w:tc>
              <w:tc>
                <w:tcPr>
                  <w:tcW w:w="427" w:type="dxa"/>
                  <w:vAlign w:val="center"/>
                </w:tcPr>
                <w:p w14:paraId="1B0931E7">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w:t>
                  </w:r>
                </w:p>
              </w:tc>
              <w:tc>
                <w:tcPr>
                  <w:tcW w:w="864" w:type="dxa"/>
                  <w:vAlign w:val="center"/>
                </w:tcPr>
                <w:p w14:paraId="45684D48">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闭式冷却塔</w:t>
                  </w:r>
                </w:p>
              </w:tc>
              <w:tc>
                <w:tcPr>
                  <w:tcW w:w="887" w:type="dxa"/>
                  <w:vAlign w:val="center"/>
                </w:tcPr>
                <w:p w14:paraId="33479C4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240" w:lineRule="atLeast"/>
                    <w:ind w:left="0" w:right="0"/>
                    <w:jc w:val="center"/>
                    <w:textAlignment w:val="auto"/>
                    <w:rPr>
                      <w:rFonts w:hint="default"/>
                      <w:color w:val="auto"/>
                      <w:szCs w:val="21"/>
                      <w:lang w:val="en-US" w:eastAsia="zh-CN"/>
                    </w:rPr>
                  </w:pPr>
                  <w:r>
                    <w:rPr>
                      <w:rFonts w:hint="eastAsia"/>
                      <w:color w:val="auto"/>
                      <w:szCs w:val="21"/>
                      <w:lang w:val="en-US" w:eastAsia="zh-CN"/>
                    </w:rPr>
                    <w:t>/</w:t>
                  </w:r>
                </w:p>
              </w:tc>
              <w:tc>
                <w:tcPr>
                  <w:tcW w:w="531" w:type="dxa"/>
                  <w:vAlign w:val="center"/>
                </w:tcPr>
                <w:p w14:paraId="1DAC6CD5">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650" w:type="dxa"/>
                  <w:vAlign w:val="center"/>
                </w:tcPr>
                <w:p w14:paraId="3A27DB5A">
                  <w:pPr>
                    <w:keepNext w:val="0"/>
                    <w:keepLines w:val="0"/>
                    <w:pageBreakBefore w:val="0"/>
                    <w:widowControl w:val="0"/>
                    <w:suppressLineNumbers w:val="0"/>
                    <w:kinsoku/>
                    <w:wordWrap w:val="0"/>
                    <w:overflowPunct/>
                    <w:topLinePunct w:val="0"/>
                    <w:autoSpaceDE/>
                    <w:autoSpaceDN/>
                    <w:bidi w:val="0"/>
                    <w:spacing w:before="0" w:beforeAutospacing="0" w:after="0" w:afterAutospacing="0" w:line="0" w:lineRule="atLeast"/>
                    <w:ind w:left="0"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w:t>
                  </w:r>
                </w:p>
              </w:tc>
            </w:tr>
          </w:tbl>
          <w:p w14:paraId="09AB724A">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b/>
                <w:bCs/>
                <w:color w:val="auto"/>
                <w:sz w:val="24"/>
                <w:szCs w:val="24"/>
                <w:u w:val="none"/>
                <w:lang w:val="en-US" w:eastAsia="zh-CN"/>
              </w:rPr>
            </w:pPr>
            <w:r>
              <w:rPr>
                <w:rFonts w:hint="default" w:ascii="Times New Roman" w:hAnsi="Times New Roman" w:eastAsia="宋体" w:cs="Times New Roman"/>
                <w:color w:val="auto"/>
                <w:sz w:val="24"/>
                <w:szCs w:val="24"/>
                <w:u w:val="none"/>
              </w:rPr>
              <w:t>经查阅</w:t>
            </w:r>
            <w:r>
              <w:rPr>
                <w:rFonts w:hint="default" w:ascii="Times New Roman" w:hAnsi="Times New Roman" w:eastAsia="宋体" w:cs="Times New Roman"/>
                <w:bCs/>
                <w:color w:val="auto"/>
                <w:sz w:val="24"/>
                <w:szCs w:val="24"/>
                <w:u w:val="none"/>
              </w:rPr>
              <w:t>《高耗能落后机电设备（产品）淘汰目录》</w:t>
            </w:r>
            <w:r>
              <w:rPr>
                <w:rFonts w:hint="default" w:ascii="Times New Roman" w:hAnsi="Times New Roman" w:eastAsia="宋体" w:cs="Times New Roman"/>
                <w:bCs/>
                <w:color w:val="auto"/>
                <w:sz w:val="24"/>
                <w:szCs w:val="24"/>
                <w:u w:val="none"/>
                <w:lang w:eastAsia="zh-CN"/>
              </w:rPr>
              <w:t>（全四批）</w:t>
            </w:r>
            <w:r>
              <w:rPr>
                <w:rFonts w:hint="default" w:ascii="Times New Roman" w:hAnsi="Times New Roman" w:eastAsia="宋体" w:cs="Times New Roman"/>
                <w:bCs/>
                <w:color w:val="auto"/>
                <w:sz w:val="24"/>
                <w:szCs w:val="24"/>
                <w:u w:val="none"/>
              </w:rPr>
              <w:t>及《产业结构调整</w:t>
            </w:r>
            <w:r>
              <w:rPr>
                <w:rFonts w:hint="default" w:ascii="Times New Roman" w:hAnsi="Times New Roman" w:eastAsia="宋体" w:cs="Times New Roman"/>
                <w:bCs/>
                <w:color w:val="auto"/>
                <w:sz w:val="24"/>
                <w:szCs w:val="24"/>
                <w:u w:val="none"/>
                <w:lang w:val="en-US" w:eastAsia="zh-CN"/>
              </w:rPr>
              <w:t>指导</w:t>
            </w:r>
            <w:r>
              <w:rPr>
                <w:rFonts w:hint="default" w:ascii="Times New Roman" w:hAnsi="Times New Roman" w:eastAsia="宋体" w:cs="Times New Roman"/>
                <w:bCs/>
                <w:color w:val="auto"/>
                <w:sz w:val="24"/>
                <w:szCs w:val="24"/>
                <w:u w:val="none"/>
              </w:rPr>
              <w:t>目录（</w:t>
            </w:r>
            <w:r>
              <w:rPr>
                <w:rFonts w:hint="default" w:ascii="Times New Roman" w:hAnsi="Times New Roman" w:eastAsia="宋体" w:cs="Times New Roman"/>
                <w:bCs/>
                <w:color w:val="auto"/>
                <w:sz w:val="24"/>
                <w:szCs w:val="24"/>
                <w:u w:val="none"/>
                <w:lang w:val="en-US" w:eastAsia="zh-CN"/>
              </w:rPr>
              <w:t>2024</w:t>
            </w:r>
            <w:r>
              <w:rPr>
                <w:rFonts w:hint="default" w:ascii="Times New Roman" w:hAnsi="Times New Roman" w:eastAsia="宋体" w:cs="Times New Roman"/>
                <w:bCs/>
                <w:color w:val="auto"/>
                <w:sz w:val="24"/>
                <w:szCs w:val="24"/>
                <w:u w:val="none"/>
              </w:rPr>
              <w:t>年本）》等有关文件，本项目所用设备均不属于淘汰类。</w:t>
            </w:r>
            <w:r>
              <w:rPr>
                <w:rFonts w:hint="default" w:ascii="Times New Roman" w:hAnsi="Times New Roman" w:eastAsia="宋体" w:cs="Times New Roman"/>
                <w:bCs/>
                <w:color w:val="auto"/>
                <w:sz w:val="24"/>
                <w:szCs w:val="24"/>
                <w:u w:val="none"/>
                <w:lang w:eastAsia="zh-CN"/>
              </w:rPr>
              <w:t>未确定型号的设备，不得采用淘汰落后设备。</w:t>
            </w:r>
          </w:p>
          <w:p w14:paraId="51C394E1">
            <w:pPr>
              <w:keepNext w:val="0"/>
              <w:keepLines w:val="0"/>
              <w:suppressLineNumbers w:val="0"/>
              <w:adjustRightInd w:val="0"/>
              <w:snapToGrid w:val="0"/>
              <w:spacing w:before="0" w:beforeAutospacing="0" w:after="0" w:afterAutospacing="0" w:line="360" w:lineRule="auto"/>
              <w:ind w:left="0" w:right="0"/>
              <w:rPr>
                <w:rFonts w:hint="eastAsia" w:cs="Times New Roman"/>
                <w:b/>
                <w:bCs/>
                <w:color w:val="auto"/>
                <w:sz w:val="24"/>
                <w:szCs w:val="24"/>
                <w:u w:val="none"/>
                <w:lang w:eastAsia="zh-CN"/>
              </w:rPr>
            </w:pPr>
            <w:r>
              <w:rPr>
                <w:rFonts w:hint="eastAsia" w:cs="Times New Roman"/>
                <w:b/>
                <w:bCs/>
                <w:color w:val="auto"/>
                <w:sz w:val="24"/>
                <w:szCs w:val="24"/>
                <w:u w:val="none"/>
                <w:lang w:val="en-US" w:eastAsia="zh-CN"/>
              </w:rPr>
              <w:t>4.</w:t>
            </w:r>
            <w:r>
              <w:rPr>
                <w:rFonts w:hint="eastAsia" w:cs="Times New Roman"/>
                <w:b/>
                <w:bCs/>
                <w:color w:val="auto"/>
                <w:sz w:val="24"/>
                <w:szCs w:val="24"/>
                <w:u w:val="none"/>
                <w:lang w:eastAsia="zh-CN"/>
              </w:rPr>
              <w:t>产能匹配性分析</w:t>
            </w:r>
          </w:p>
          <w:p w14:paraId="7009A7BA">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color w:val="auto"/>
                <w:sz w:val="24"/>
                <w:szCs w:val="24"/>
                <w:u w:val="none"/>
                <w:lang w:val="en-US" w:eastAsia="zh-CN"/>
              </w:rPr>
            </w:pPr>
            <w:r>
              <w:rPr>
                <w:rFonts w:hint="eastAsia" w:cs="Times New Roman"/>
                <w:color w:val="auto"/>
                <w:sz w:val="24"/>
                <w:szCs w:val="24"/>
                <w:u w:val="none"/>
                <w:lang w:eastAsia="zh-CN"/>
              </w:rPr>
              <w:t>本次环评企业拟调整工作制度，将生产设备从现有项目环评的</w:t>
            </w:r>
            <w:r>
              <w:rPr>
                <w:rFonts w:hint="eastAsia" w:cs="Times New Roman"/>
                <w:color w:val="auto"/>
                <w:sz w:val="24"/>
                <w:szCs w:val="24"/>
                <w:u w:val="none"/>
                <w:lang w:val="en-US" w:eastAsia="zh-CN"/>
              </w:rPr>
              <w:t>1台</w:t>
            </w:r>
            <w:r>
              <w:rPr>
                <w:rFonts w:hint="default" w:ascii="Times New Roman" w:hAnsi="Times New Roman" w:eastAsia="宋体" w:cs="Times New Roman"/>
                <w:color w:val="auto"/>
                <w:sz w:val="24"/>
                <w:szCs w:val="24"/>
                <w:u w:val="none"/>
                <w:lang w:val="en-US" w:eastAsia="zh-CN"/>
              </w:rPr>
              <w:t>挤出机、40台圆织机</w:t>
            </w:r>
            <w:r>
              <w:rPr>
                <w:rFonts w:hint="eastAsia" w:cs="Times New Roman"/>
                <w:color w:val="auto"/>
                <w:sz w:val="24"/>
                <w:szCs w:val="24"/>
                <w:u w:val="none"/>
                <w:lang w:eastAsia="zh-CN"/>
              </w:rPr>
              <w:t>扩大至</w:t>
            </w:r>
            <w:r>
              <w:rPr>
                <w:rFonts w:hint="eastAsia" w:cs="Times New Roman"/>
                <w:color w:val="auto"/>
                <w:sz w:val="24"/>
                <w:szCs w:val="24"/>
                <w:u w:val="none"/>
                <w:lang w:val="en-US" w:eastAsia="zh-CN"/>
              </w:rPr>
              <w:t>6台挤出机（5用1备）、200台圆织机，将生产时间由年生产7920小时缩减至2400小时，具体变化情况见下表：</w:t>
            </w:r>
          </w:p>
          <w:p w14:paraId="5F747BA8">
            <w:pPr>
              <w:keepNext w:val="0"/>
              <w:keepLines w:val="0"/>
              <w:suppressLineNumbers w:val="0"/>
              <w:adjustRightInd w:val="0"/>
              <w:snapToGrid w:val="0"/>
              <w:spacing w:before="0" w:beforeAutospacing="0" w:after="0" w:afterAutospacing="0" w:line="360" w:lineRule="auto"/>
              <w:ind w:left="0" w:right="0"/>
              <w:jc w:val="center"/>
              <w:rPr>
                <w:rFonts w:hint="default" w:cs="Times New Roman"/>
                <w:b/>
                <w:bCs/>
                <w:color w:val="auto"/>
                <w:sz w:val="24"/>
                <w:szCs w:val="24"/>
                <w:u w:val="none"/>
                <w:lang w:val="en-US" w:eastAsia="zh-CN"/>
              </w:rPr>
            </w:pPr>
            <w:r>
              <w:rPr>
                <w:rFonts w:hint="eastAsia" w:cs="Times New Roman"/>
                <w:b/>
                <w:bCs/>
                <w:color w:val="auto"/>
                <w:sz w:val="24"/>
                <w:szCs w:val="24"/>
                <w:u w:val="none"/>
                <w:lang w:val="en-US" w:eastAsia="zh-CN"/>
              </w:rPr>
              <w:t>变化情况一览表</w:t>
            </w:r>
          </w:p>
          <w:tbl>
            <w:tblPr>
              <w:tblStyle w:val="27"/>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200"/>
              <w:gridCol w:w="2200"/>
              <w:gridCol w:w="2042"/>
            </w:tblGrid>
            <w:tr w14:paraId="17FE94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38" w:type="pct"/>
                  <w:tcBorders>
                    <w:tl2br w:val="nil"/>
                    <w:tr2bl w:val="nil"/>
                  </w:tcBorders>
                </w:tcPr>
                <w:p w14:paraId="1FF00605">
                  <w:pPr>
                    <w:keepNext w:val="0"/>
                    <w:keepLines w:val="0"/>
                    <w:suppressLineNumbers w:val="0"/>
                    <w:spacing w:before="0" w:beforeAutospacing="0" w:after="0" w:afterAutospacing="0"/>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名称</w:t>
                  </w:r>
                </w:p>
              </w:tc>
              <w:tc>
                <w:tcPr>
                  <w:tcW w:w="1353" w:type="pct"/>
                  <w:tcBorders>
                    <w:tl2br w:val="nil"/>
                    <w:tr2bl w:val="nil"/>
                  </w:tcBorders>
                </w:tcPr>
                <w:p w14:paraId="1935D268">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 xml:space="preserve">现有项目实际建设   </w:t>
                  </w:r>
                </w:p>
              </w:tc>
              <w:tc>
                <w:tcPr>
                  <w:tcW w:w="1353" w:type="pct"/>
                  <w:tcBorders>
                    <w:tl2br w:val="nil"/>
                    <w:tr2bl w:val="nil"/>
                  </w:tcBorders>
                </w:tcPr>
                <w:p w14:paraId="19383F67">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现有项目环评</w:t>
                  </w:r>
                </w:p>
              </w:tc>
              <w:tc>
                <w:tcPr>
                  <w:tcW w:w="1254" w:type="pct"/>
                  <w:tcBorders>
                    <w:tl2br w:val="nil"/>
                    <w:tr2bl w:val="nil"/>
                  </w:tcBorders>
                </w:tcPr>
                <w:p w14:paraId="250D4E7C">
                  <w:pPr>
                    <w:keepNext w:val="0"/>
                    <w:keepLines w:val="0"/>
                    <w:suppressLineNumbers w:val="0"/>
                    <w:spacing w:before="0" w:beforeAutospacing="0" w:after="0" w:afterAutospacing="0"/>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本项目</w:t>
                  </w:r>
                </w:p>
              </w:tc>
            </w:tr>
            <w:tr w14:paraId="61C5F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38" w:type="pct"/>
                  <w:tcBorders>
                    <w:tl2br w:val="nil"/>
                    <w:tr2bl w:val="nil"/>
                  </w:tcBorders>
                  <w:vAlign w:val="center"/>
                </w:tcPr>
                <w:p w14:paraId="7E2FE5B9">
                  <w:pPr>
                    <w:keepNext w:val="0"/>
                    <w:keepLines w:val="0"/>
                    <w:suppressLineNumbers w:val="0"/>
                    <w:spacing w:before="0" w:beforeAutospacing="0" w:after="0" w:afterAutospacing="0" w:line="240" w:lineRule="auto"/>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生产制度</w:t>
                  </w:r>
                </w:p>
              </w:tc>
              <w:tc>
                <w:tcPr>
                  <w:tcW w:w="1353" w:type="pct"/>
                  <w:tcBorders>
                    <w:tl2br w:val="nil"/>
                    <w:tr2bl w:val="nil"/>
                  </w:tcBorders>
                  <w:vAlign w:val="center"/>
                </w:tcPr>
                <w:p w14:paraId="728A06F4">
                  <w:pPr>
                    <w:keepNext w:val="0"/>
                    <w:keepLines w:val="0"/>
                    <w:suppressLineNumbers w:val="0"/>
                    <w:spacing w:before="0" w:beforeAutospacing="0" w:after="0" w:afterAutospacing="0" w:line="240" w:lineRule="auto"/>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年工作330天，三班，24小时</w:t>
                  </w:r>
                </w:p>
              </w:tc>
              <w:tc>
                <w:tcPr>
                  <w:tcW w:w="1353" w:type="pct"/>
                  <w:tcBorders>
                    <w:tl2br w:val="nil"/>
                    <w:tr2bl w:val="nil"/>
                  </w:tcBorders>
                  <w:vAlign w:val="center"/>
                </w:tcPr>
                <w:p w14:paraId="5C3AE52E">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年工作330天，三班，24小时</w:t>
                  </w:r>
                </w:p>
              </w:tc>
              <w:tc>
                <w:tcPr>
                  <w:tcW w:w="1254" w:type="pct"/>
                  <w:tcBorders>
                    <w:tl2br w:val="nil"/>
                    <w:tr2bl w:val="nil"/>
                  </w:tcBorders>
                  <w:vAlign w:val="center"/>
                </w:tcPr>
                <w:p w14:paraId="7410B8C8">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年工作300天，1班，8小时</w:t>
                  </w:r>
                </w:p>
              </w:tc>
            </w:tr>
            <w:tr w14:paraId="1960C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38" w:type="pct"/>
                  <w:tcBorders>
                    <w:tl2br w:val="nil"/>
                    <w:tr2bl w:val="nil"/>
                  </w:tcBorders>
                  <w:vAlign w:val="center"/>
                </w:tcPr>
                <w:p w14:paraId="3A983F2B">
                  <w:pPr>
                    <w:keepNext w:val="0"/>
                    <w:keepLines w:val="0"/>
                    <w:suppressLineNumbers w:val="0"/>
                    <w:spacing w:before="0" w:beforeAutospacing="0" w:after="0" w:afterAutospacing="0" w:line="240" w:lineRule="auto"/>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总生产时间</w:t>
                  </w:r>
                </w:p>
              </w:tc>
              <w:tc>
                <w:tcPr>
                  <w:tcW w:w="1353" w:type="pct"/>
                  <w:tcBorders>
                    <w:tl2br w:val="nil"/>
                    <w:tr2bl w:val="nil"/>
                  </w:tcBorders>
                  <w:vAlign w:val="center"/>
                </w:tcPr>
                <w:p w14:paraId="6B08DE79">
                  <w:pPr>
                    <w:keepNext w:val="0"/>
                    <w:keepLines w:val="0"/>
                    <w:suppressLineNumbers w:val="0"/>
                    <w:spacing w:before="0" w:beforeAutospacing="0" w:after="0" w:afterAutospacing="0" w:line="240" w:lineRule="auto"/>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7920小时</w:t>
                  </w:r>
                </w:p>
              </w:tc>
              <w:tc>
                <w:tcPr>
                  <w:tcW w:w="1353" w:type="pct"/>
                  <w:tcBorders>
                    <w:tl2br w:val="nil"/>
                    <w:tr2bl w:val="nil"/>
                  </w:tcBorders>
                  <w:vAlign w:val="center"/>
                </w:tcPr>
                <w:p w14:paraId="43479114">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7920小时</w:t>
                  </w:r>
                </w:p>
              </w:tc>
              <w:tc>
                <w:tcPr>
                  <w:tcW w:w="1254" w:type="pct"/>
                  <w:tcBorders>
                    <w:tl2br w:val="nil"/>
                    <w:tr2bl w:val="nil"/>
                  </w:tcBorders>
                  <w:vAlign w:val="center"/>
                </w:tcPr>
                <w:p w14:paraId="0DCDB993">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2400小时</w:t>
                  </w:r>
                </w:p>
              </w:tc>
            </w:tr>
            <w:tr w14:paraId="48F9C2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38" w:type="pct"/>
                  <w:tcBorders>
                    <w:tl2br w:val="nil"/>
                    <w:tr2bl w:val="nil"/>
                  </w:tcBorders>
                  <w:vAlign w:val="center"/>
                </w:tcPr>
                <w:p w14:paraId="3B05CA9B">
                  <w:pPr>
                    <w:keepNext w:val="0"/>
                    <w:keepLines w:val="0"/>
                    <w:suppressLineNumbers w:val="0"/>
                    <w:spacing w:before="0" w:beforeAutospacing="0" w:after="0" w:afterAutospacing="0" w:line="240" w:lineRule="auto"/>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产能</w:t>
                  </w:r>
                </w:p>
              </w:tc>
              <w:tc>
                <w:tcPr>
                  <w:tcW w:w="1353" w:type="pct"/>
                  <w:tcBorders>
                    <w:tl2br w:val="nil"/>
                    <w:tr2bl w:val="nil"/>
                  </w:tcBorders>
                  <w:vAlign w:val="center"/>
                </w:tcPr>
                <w:p w14:paraId="1B07F886">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1300万米（实际生产能力为1200万米）*</w:t>
                  </w:r>
                </w:p>
              </w:tc>
              <w:tc>
                <w:tcPr>
                  <w:tcW w:w="1353" w:type="pct"/>
                  <w:tcBorders>
                    <w:tl2br w:val="nil"/>
                    <w:tr2bl w:val="nil"/>
                  </w:tcBorders>
                  <w:vAlign w:val="center"/>
                </w:tcPr>
                <w:p w14:paraId="74EF0827">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3000万米编织水带</w:t>
                  </w:r>
                </w:p>
              </w:tc>
              <w:tc>
                <w:tcPr>
                  <w:tcW w:w="1254" w:type="pct"/>
                  <w:tcBorders>
                    <w:tl2br w:val="nil"/>
                    <w:tr2bl w:val="nil"/>
                  </w:tcBorders>
                  <w:vAlign w:val="center"/>
                </w:tcPr>
                <w:p w14:paraId="4C5D92C3">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4500万米编织水带</w:t>
                  </w:r>
                </w:p>
              </w:tc>
            </w:tr>
            <w:tr w14:paraId="5C95ED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38" w:type="pct"/>
                  <w:tcBorders>
                    <w:tl2br w:val="nil"/>
                    <w:tr2bl w:val="nil"/>
                  </w:tcBorders>
                  <w:vAlign w:val="center"/>
                </w:tcPr>
                <w:p w14:paraId="4E101E4D">
                  <w:pPr>
                    <w:keepNext w:val="0"/>
                    <w:keepLines w:val="0"/>
                    <w:suppressLineNumbers w:val="0"/>
                    <w:spacing w:before="0" w:beforeAutospacing="0" w:after="0" w:afterAutospacing="0" w:line="240" w:lineRule="auto"/>
                    <w:ind w:left="0" w:right="0"/>
                    <w:jc w:val="center"/>
                    <w:rPr>
                      <w:rFonts w:hint="eastAsia"/>
                      <w:color w:val="auto"/>
                      <w:sz w:val="21"/>
                      <w:szCs w:val="21"/>
                      <w:vertAlign w:val="baseline"/>
                      <w:lang w:val="en-US" w:eastAsia="zh-CN"/>
                    </w:rPr>
                  </w:pPr>
                  <w:r>
                    <w:rPr>
                      <w:rFonts w:hint="eastAsia"/>
                      <w:color w:val="auto"/>
                      <w:sz w:val="21"/>
                      <w:szCs w:val="21"/>
                      <w:vertAlign w:val="baseline"/>
                      <w:lang w:val="en-US" w:eastAsia="zh-CN"/>
                    </w:rPr>
                    <w:t>对应主要生产设备</w:t>
                  </w:r>
                </w:p>
              </w:tc>
              <w:tc>
                <w:tcPr>
                  <w:tcW w:w="1353" w:type="pct"/>
                  <w:tcBorders>
                    <w:tl2br w:val="nil"/>
                    <w:tr2bl w:val="nil"/>
                  </w:tcBorders>
                  <w:vAlign w:val="center"/>
                </w:tcPr>
                <w:p w14:paraId="4D60ABFA">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1台挤出机，16台圆织机</w:t>
                  </w:r>
                </w:p>
              </w:tc>
              <w:tc>
                <w:tcPr>
                  <w:tcW w:w="1353" w:type="pct"/>
                  <w:tcBorders>
                    <w:tl2br w:val="nil"/>
                    <w:tr2bl w:val="nil"/>
                  </w:tcBorders>
                  <w:vAlign w:val="center"/>
                </w:tcPr>
                <w:p w14:paraId="579F1091">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1台挤出机、40台圆织机</w:t>
                  </w:r>
                </w:p>
              </w:tc>
              <w:tc>
                <w:tcPr>
                  <w:tcW w:w="1254" w:type="pct"/>
                  <w:tcBorders>
                    <w:tl2br w:val="nil"/>
                    <w:tr2bl w:val="nil"/>
                  </w:tcBorders>
                  <w:vAlign w:val="center"/>
                </w:tcPr>
                <w:p w14:paraId="4D11AF78">
                  <w:pPr>
                    <w:keepNext w:val="0"/>
                    <w:keepLines w:val="0"/>
                    <w:suppressLineNumbers w:val="0"/>
                    <w:spacing w:before="0" w:beforeAutospacing="0" w:after="0" w:afterAutospacing="0" w:line="240" w:lineRule="auto"/>
                    <w:ind w:left="0" w:right="0"/>
                    <w:jc w:val="center"/>
                    <w:rPr>
                      <w:rFonts w:hint="default"/>
                      <w:color w:val="auto"/>
                      <w:sz w:val="21"/>
                      <w:szCs w:val="21"/>
                      <w:vertAlign w:val="baseline"/>
                      <w:lang w:val="en-US" w:eastAsia="zh-CN"/>
                    </w:rPr>
                  </w:pPr>
                  <w:r>
                    <w:rPr>
                      <w:rFonts w:hint="eastAsia"/>
                      <w:color w:val="auto"/>
                      <w:sz w:val="21"/>
                      <w:szCs w:val="21"/>
                      <w:vertAlign w:val="baseline"/>
                      <w:lang w:val="en-US" w:eastAsia="zh-CN"/>
                    </w:rPr>
                    <w:t>6台挤出机（5用1备）、200台圆织机</w:t>
                  </w:r>
                </w:p>
              </w:tc>
            </w:tr>
            <w:tr w14:paraId="40951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l2br w:val="nil"/>
                    <w:tr2bl w:val="nil"/>
                  </w:tcBorders>
                  <w:vAlign w:val="center"/>
                </w:tcPr>
                <w:p w14:paraId="40870530">
                  <w:pPr>
                    <w:keepNext w:val="0"/>
                    <w:keepLines w:val="0"/>
                    <w:suppressLineNumbers w:val="0"/>
                    <w:spacing w:before="0" w:beforeAutospacing="0" w:after="0" w:afterAutospacing="0" w:line="240" w:lineRule="auto"/>
                    <w:ind w:left="0" w:right="0"/>
                    <w:jc w:val="both"/>
                    <w:rPr>
                      <w:rFonts w:hint="default"/>
                      <w:color w:val="auto"/>
                      <w:sz w:val="21"/>
                      <w:szCs w:val="21"/>
                      <w:vertAlign w:val="baseline"/>
                      <w:lang w:val="en-US" w:eastAsia="zh-CN"/>
                    </w:rPr>
                  </w:pPr>
                  <w:r>
                    <w:rPr>
                      <w:rFonts w:hint="eastAsia"/>
                      <w:color w:val="auto"/>
                      <w:sz w:val="21"/>
                      <w:szCs w:val="21"/>
                      <w:vertAlign w:val="baseline"/>
                      <w:lang w:val="en-US" w:eastAsia="zh-CN"/>
                    </w:rPr>
                    <w:t>注*：现有环评第一阶段实际建设圆织机的数量为16台，现有项目环评为40台，现有项目环评圆织机数量为第一阶段实际建设的2.5倍，受圆织机数量限制，现有环评第一阶段验收的实际生产能为1200万米（3000万米/2.5）。</w:t>
                  </w:r>
                </w:p>
              </w:tc>
            </w:tr>
          </w:tbl>
          <w:p w14:paraId="44AC6707">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现有项目环评1台挤出机、40台圆织机生产7920小时对应的产能为3000万米编织水带，1小时对应的产能为3787.88m</w:t>
            </w:r>
            <w:r>
              <w:rPr>
                <w:rFonts w:hint="eastAsia"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本项目投入生产的设备较现有项目环评扩大5倍，5台挤出机和200台圆织机1h对用的产能为18938.</w:t>
            </w:r>
            <w:r>
              <w:rPr>
                <w:rFonts w:hint="eastAsia" w:cs="Times New Roman"/>
                <w:color w:val="auto"/>
                <w:sz w:val="24"/>
                <w:szCs w:val="24"/>
                <w:u w:val="none"/>
                <w:lang w:val="en-US" w:eastAsia="zh-CN"/>
              </w:rPr>
              <w:t>39</w:t>
            </w:r>
            <w:r>
              <w:rPr>
                <w:rFonts w:hint="default" w:ascii="Times New Roman" w:hAnsi="Times New Roman" w:eastAsia="宋体" w:cs="Times New Roman"/>
                <w:color w:val="auto"/>
                <w:sz w:val="24"/>
                <w:szCs w:val="24"/>
                <w:u w:val="none"/>
                <w:lang w:val="en-US" w:eastAsia="zh-CN"/>
              </w:rPr>
              <w:t>m</w:t>
            </w:r>
            <w:r>
              <w:rPr>
                <w:rFonts w:hint="eastAsia" w:cs="Times New Roman"/>
                <w:color w:val="auto"/>
                <w:sz w:val="24"/>
                <w:szCs w:val="24"/>
                <w:u w:val="none"/>
                <w:lang w:val="en-US" w:eastAsia="zh-CN"/>
              </w:rPr>
              <w:t>。</w:t>
            </w:r>
          </w:p>
          <w:p w14:paraId="30130C0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lang w:val="en-US" w:eastAsia="zh-CN"/>
              </w:rPr>
              <w:t>本项目生产时间由7920小时降低至2400小时，经计算</w:t>
            </w:r>
            <w:r>
              <w:rPr>
                <w:rFonts w:hint="eastAsia"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项目产能为4545.</w:t>
            </w:r>
            <w:r>
              <w:rPr>
                <w:rFonts w:hint="eastAsia" w:cs="Times New Roman"/>
                <w:color w:val="auto"/>
                <w:sz w:val="24"/>
                <w:szCs w:val="24"/>
                <w:u w:val="none"/>
                <w:lang w:val="en-US" w:eastAsia="zh-CN"/>
              </w:rPr>
              <w:t>45</w:t>
            </w:r>
            <w:r>
              <w:rPr>
                <w:rFonts w:hint="default" w:ascii="Times New Roman" w:hAnsi="Times New Roman" w:eastAsia="宋体" w:cs="Times New Roman"/>
                <w:color w:val="auto"/>
                <w:sz w:val="24"/>
                <w:szCs w:val="24"/>
                <w:u w:val="none"/>
                <w:lang w:val="en-US" w:eastAsia="zh-CN"/>
              </w:rPr>
              <w:t>万米，与本次项目备案年产4500万米编织水带</w:t>
            </w:r>
            <w:r>
              <w:rPr>
                <w:rFonts w:hint="eastAsia" w:cs="Times New Roman"/>
                <w:color w:val="auto"/>
                <w:sz w:val="24"/>
                <w:szCs w:val="24"/>
                <w:u w:val="none"/>
                <w:lang w:val="en-US" w:eastAsia="zh-CN"/>
              </w:rPr>
              <w:t>能够匹配</w:t>
            </w:r>
            <w:r>
              <w:rPr>
                <w:rFonts w:hint="default" w:ascii="Times New Roman" w:hAnsi="Times New Roman" w:eastAsia="宋体" w:cs="Times New Roman"/>
                <w:color w:val="auto"/>
                <w:sz w:val="24"/>
                <w:szCs w:val="24"/>
                <w:u w:val="none"/>
                <w:lang w:val="en-US" w:eastAsia="zh-CN"/>
              </w:rPr>
              <w:t>。</w:t>
            </w:r>
          </w:p>
          <w:p w14:paraId="53B01F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val="en-US" w:eastAsia="zh-CN"/>
              </w:rPr>
              <w:t>5</w:t>
            </w:r>
            <w:r>
              <w:rPr>
                <w:rFonts w:hint="default" w:ascii="Times New Roman" w:hAnsi="Times New Roman" w:eastAsia="Times New Roman" w:cs="Times New Roman"/>
                <w:b/>
                <w:color w:val="auto"/>
                <w:sz w:val="24"/>
                <w:highlight w:val="none"/>
              </w:rPr>
              <w:t>.原辅材料用量及资（能）源消耗</w:t>
            </w:r>
          </w:p>
          <w:p w14:paraId="25026CE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项目主要原辅材料用量及资（能）源消耗</w:t>
            </w:r>
            <w:r>
              <w:rPr>
                <w:rFonts w:hint="default" w:ascii="Times New Roman" w:hAnsi="Times New Roman" w:eastAsia="Times New Roman" w:cs="Times New Roman"/>
                <w:color w:val="auto"/>
                <w:sz w:val="24"/>
                <w:highlight w:val="none"/>
                <w:lang w:val="en-US" w:eastAsia="zh-CN"/>
              </w:rPr>
              <w:t>不变</w:t>
            </w:r>
            <w:r>
              <w:rPr>
                <w:rFonts w:hint="default" w:ascii="Times New Roman" w:hAnsi="Times New Roman" w:eastAsia="Times New Roman" w:cs="Times New Roman"/>
                <w:color w:val="auto"/>
                <w:sz w:val="24"/>
                <w:highlight w:val="none"/>
              </w:rPr>
              <w:t>见下表。</w:t>
            </w:r>
          </w:p>
          <w:p w14:paraId="7A43F0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材料及用量一览表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179"/>
              <w:gridCol w:w="1124"/>
              <w:gridCol w:w="1674"/>
              <w:gridCol w:w="1979"/>
              <w:gridCol w:w="1674"/>
            </w:tblGrid>
            <w:tr w14:paraId="386A8B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07" w:type="pct"/>
                  <w:vMerge w:val="restart"/>
                  <w:tcBorders>
                    <w:tl2br w:val="nil"/>
                    <w:tr2bl w:val="nil"/>
                  </w:tcBorders>
                  <w:vAlign w:val="center"/>
                </w:tcPr>
                <w:p w14:paraId="11236FCA">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default"/>
                      <w:b/>
                      <w:bCs/>
                      <w:color w:val="auto"/>
                      <w:szCs w:val="21"/>
                    </w:rPr>
                    <w:t>编号</w:t>
                  </w:r>
                </w:p>
              </w:tc>
              <w:tc>
                <w:tcPr>
                  <w:tcW w:w="725" w:type="pct"/>
                  <w:vMerge w:val="restart"/>
                  <w:tcBorders>
                    <w:tl2br w:val="nil"/>
                    <w:tr2bl w:val="nil"/>
                  </w:tcBorders>
                  <w:vAlign w:val="center"/>
                </w:tcPr>
                <w:p w14:paraId="14F0C552">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default"/>
                      <w:b/>
                      <w:bCs/>
                      <w:color w:val="auto"/>
                      <w:szCs w:val="21"/>
                    </w:rPr>
                    <w:t>名称</w:t>
                  </w:r>
                </w:p>
              </w:tc>
              <w:tc>
                <w:tcPr>
                  <w:tcW w:w="691" w:type="pct"/>
                  <w:vMerge w:val="restart"/>
                  <w:tcBorders>
                    <w:tl2br w:val="nil"/>
                    <w:tr2bl w:val="nil"/>
                  </w:tcBorders>
                  <w:vAlign w:val="center"/>
                </w:tcPr>
                <w:p w14:paraId="371CED39">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单位</w:t>
                  </w:r>
                </w:p>
              </w:tc>
              <w:tc>
                <w:tcPr>
                  <w:tcW w:w="2246" w:type="pct"/>
                  <w:gridSpan w:val="2"/>
                  <w:tcBorders>
                    <w:tl2br w:val="nil"/>
                    <w:tr2bl w:val="nil"/>
                  </w:tcBorders>
                  <w:vAlign w:val="center"/>
                </w:tcPr>
                <w:p w14:paraId="030D3FD3">
                  <w:pPr>
                    <w:keepNext w:val="0"/>
                    <w:keepLines w:val="0"/>
                    <w:suppressLineNumbers w:val="0"/>
                    <w:adjustRightInd w:val="0"/>
                    <w:snapToGrid w:val="0"/>
                    <w:spacing w:before="0" w:beforeAutospacing="0" w:after="0" w:afterAutospacing="0" w:line="240" w:lineRule="atLeast"/>
                    <w:ind w:left="0" w:right="0"/>
                    <w:jc w:val="center"/>
                    <w:rPr>
                      <w:rFonts w:hint="eastAsia" w:eastAsia="宋体"/>
                      <w:b/>
                      <w:bCs/>
                      <w:color w:val="auto"/>
                      <w:szCs w:val="21"/>
                      <w:lang w:eastAsia="zh-CN"/>
                    </w:rPr>
                  </w:pPr>
                  <w:r>
                    <w:rPr>
                      <w:rFonts w:hint="eastAsia"/>
                      <w:b/>
                      <w:bCs/>
                      <w:color w:val="auto"/>
                      <w:szCs w:val="21"/>
                      <w:lang w:eastAsia="zh-CN"/>
                    </w:rPr>
                    <w:t>年用量</w:t>
                  </w:r>
                </w:p>
              </w:tc>
              <w:tc>
                <w:tcPr>
                  <w:tcW w:w="1029" w:type="pct"/>
                  <w:vMerge w:val="restart"/>
                  <w:tcBorders>
                    <w:tl2br w:val="nil"/>
                    <w:tr2bl w:val="nil"/>
                  </w:tcBorders>
                  <w:vAlign w:val="center"/>
                </w:tcPr>
                <w:p w14:paraId="410DB2EC">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default"/>
                      <w:b/>
                      <w:bCs/>
                      <w:color w:val="auto"/>
                      <w:szCs w:val="21"/>
                    </w:rPr>
                    <w:t>备注</w:t>
                  </w:r>
                </w:p>
              </w:tc>
            </w:tr>
            <w:tr w14:paraId="13735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07" w:type="pct"/>
                  <w:vMerge w:val="continue"/>
                  <w:tcBorders>
                    <w:tl2br w:val="nil"/>
                    <w:tr2bl w:val="nil"/>
                  </w:tcBorders>
                  <w:vAlign w:val="center"/>
                </w:tcPr>
                <w:p w14:paraId="6A9415D8">
                  <w:pPr>
                    <w:keepNext w:val="0"/>
                    <w:keepLines w:val="0"/>
                    <w:suppressLineNumbers w:val="0"/>
                    <w:adjustRightInd w:val="0"/>
                    <w:snapToGrid w:val="0"/>
                    <w:spacing w:before="0" w:beforeAutospacing="0" w:after="0" w:afterAutospacing="0" w:line="240" w:lineRule="atLeast"/>
                    <w:ind w:left="0" w:right="0"/>
                    <w:jc w:val="center"/>
                    <w:rPr>
                      <w:rFonts w:hint="default"/>
                      <w:color w:val="auto"/>
                    </w:rPr>
                  </w:pPr>
                </w:p>
              </w:tc>
              <w:tc>
                <w:tcPr>
                  <w:tcW w:w="725" w:type="pct"/>
                  <w:vMerge w:val="continue"/>
                  <w:tcBorders>
                    <w:tl2br w:val="nil"/>
                    <w:tr2bl w:val="nil"/>
                  </w:tcBorders>
                  <w:vAlign w:val="center"/>
                </w:tcPr>
                <w:p w14:paraId="762EA60D">
                  <w:pPr>
                    <w:keepNext w:val="0"/>
                    <w:keepLines w:val="0"/>
                    <w:suppressLineNumbers w:val="0"/>
                    <w:adjustRightInd w:val="0"/>
                    <w:snapToGrid w:val="0"/>
                    <w:spacing w:before="0" w:beforeAutospacing="0" w:after="0" w:afterAutospacing="0" w:line="240" w:lineRule="atLeast"/>
                    <w:ind w:left="0" w:right="0"/>
                    <w:jc w:val="center"/>
                    <w:rPr>
                      <w:rFonts w:hint="default"/>
                      <w:color w:val="auto"/>
                    </w:rPr>
                  </w:pPr>
                </w:p>
              </w:tc>
              <w:tc>
                <w:tcPr>
                  <w:tcW w:w="691" w:type="pct"/>
                  <w:vMerge w:val="continue"/>
                  <w:tcBorders>
                    <w:tl2br w:val="nil"/>
                    <w:tr2bl w:val="nil"/>
                  </w:tcBorders>
                  <w:vAlign w:val="center"/>
                </w:tcPr>
                <w:p w14:paraId="03B18CF4">
                  <w:pPr>
                    <w:keepNext w:val="0"/>
                    <w:keepLines w:val="0"/>
                    <w:suppressLineNumbers w:val="0"/>
                    <w:adjustRightInd w:val="0"/>
                    <w:snapToGrid w:val="0"/>
                    <w:spacing w:before="0" w:beforeAutospacing="0" w:after="0" w:afterAutospacing="0" w:line="240" w:lineRule="atLeast"/>
                    <w:ind w:left="0" w:right="0"/>
                    <w:jc w:val="center"/>
                    <w:rPr>
                      <w:rFonts w:hint="default"/>
                      <w:color w:val="auto"/>
                    </w:rPr>
                  </w:pPr>
                </w:p>
              </w:tc>
              <w:tc>
                <w:tcPr>
                  <w:tcW w:w="1029" w:type="pct"/>
                  <w:tcBorders>
                    <w:tl2br w:val="nil"/>
                    <w:tr2bl w:val="nil"/>
                  </w:tcBorders>
                  <w:vAlign w:val="center"/>
                </w:tcPr>
                <w:p w14:paraId="577E92E7">
                  <w:pPr>
                    <w:keepNext w:val="0"/>
                    <w:keepLines w:val="0"/>
                    <w:suppressLineNumbers w:val="0"/>
                    <w:adjustRightInd w:val="0"/>
                    <w:snapToGrid w:val="0"/>
                    <w:spacing w:before="0" w:beforeAutospacing="0" w:after="0" w:afterAutospacing="0" w:line="240" w:lineRule="atLeast"/>
                    <w:ind w:left="0" w:right="0"/>
                    <w:jc w:val="center"/>
                    <w:rPr>
                      <w:rFonts w:hint="eastAsia"/>
                      <w:b/>
                      <w:bCs/>
                      <w:color w:val="auto"/>
                      <w:szCs w:val="21"/>
                      <w:lang w:eastAsia="zh-CN"/>
                    </w:rPr>
                  </w:pPr>
                  <w:r>
                    <w:rPr>
                      <w:rFonts w:hint="eastAsia"/>
                      <w:b/>
                      <w:bCs/>
                      <w:color w:val="auto"/>
                      <w:szCs w:val="21"/>
                      <w:lang w:eastAsia="zh-CN"/>
                    </w:rPr>
                    <w:t>现有工程环评</w:t>
                  </w:r>
                </w:p>
              </w:tc>
              <w:tc>
                <w:tcPr>
                  <w:tcW w:w="1216" w:type="pct"/>
                  <w:tcBorders>
                    <w:tl2br w:val="nil"/>
                    <w:tr2bl w:val="nil"/>
                  </w:tcBorders>
                  <w:vAlign w:val="center"/>
                </w:tcPr>
                <w:p w14:paraId="3F2C01EB">
                  <w:pPr>
                    <w:keepNext w:val="0"/>
                    <w:keepLines w:val="0"/>
                    <w:suppressLineNumbers w:val="0"/>
                    <w:adjustRightInd w:val="0"/>
                    <w:snapToGrid w:val="0"/>
                    <w:spacing w:before="0" w:beforeAutospacing="0" w:after="0" w:afterAutospacing="0" w:line="240" w:lineRule="atLeast"/>
                    <w:ind w:left="0" w:right="0"/>
                    <w:jc w:val="center"/>
                    <w:rPr>
                      <w:rFonts w:hint="eastAsia" w:eastAsia="宋体"/>
                      <w:b/>
                      <w:bCs/>
                      <w:color w:val="auto"/>
                      <w:szCs w:val="21"/>
                      <w:lang w:eastAsia="zh-CN"/>
                    </w:rPr>
                  </w:pPr>
                  <w:r>
                    <w:rPr>
                      <w:rFonts w:hint="eastAsia"/>
                      <w:b/>
                      <w:bCs/>
                      <w:color w:val="auto"/>
                      <w:szCs w:val="21"/>
                      <w:lang w:eastAsia="zh-CN"/>
                    </w:rPr>
                    <w:t>本工程（迁建后全厂）</w:t>
                  </w:r>
                </w:p>
              </w:tc>
              <w:tc>
                <w:tcPr>
                  <w:tcW w:w="1029" w:type="pct"/>
                  <w:vMerge w:val="continue"/>
                  <w:tcBorders>
                    <w:tl2br w:val="nil"/>
                    <w:tr2bl w:val="nil"/>
                  </w:tcBorders>
                  <w:vAlign w:val="center"/>
                </w:tcPr>
                <w:p w14:paraId="77658EC8">
                  <w:pPr>
                    <w:keepNext w:val="0"/>
                    <w:keepLines w:val="0"/>
                    <w:suppressLineNumbers w:val="0"/>
                    <w:adjustRightInd w:val="0"/>
                    <w:snapToGrid w:val="0"/>
                    <w:spacing w:before="0" w:beforeAutospacing="0" w:after="0" w:afterAutospacing="0" w:line="240" w:lineRule="atLeast"/>
                    <w:ind w:left="0" w:right="0"/>
                    <w:jc w:val="center"/>
                    <w:rPr>
                      <w:rFonts w:hint="eastAsia"/>
                      <w:b/>
                      <w:bCs/>
                      <w:color w:val="auto"/>
                      <w:szCs w:val="21"/>
                    </w:rPr>
                  </w:pPr>
                </w:p>
              </w:tc>
            </w:tr>
            <w:tr w14:paraId="37BE7B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307" w:type="pct"/>
                  <w:tcBorders>
                    <w:tl2br w:val="nil"/>
                    <w:tr2bl w:val="nil"/>
                  </w:tcBorders>
                  <w:vAlign w:val="center"/>
                </w:tcPr>
                <w:p w14:paraId="37F4E99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1</w:t>
                  </w:r>
                </w:p>
              </w:tc>
              <w:tc>
                <w:tcPr>
                  <w:tcW w:w="725" w:type="pct"/>
                  <w:tcBorders>
                    <w:tl2br w:val="nil"/>
                    <w:tr2bl w:val="nil"/>
                  </w:tcBorders>
                  <w:vAlign w:val="center"/>
                </w:tcPr>
                <w:p w14:paraId="61E20F3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聚乙烯颗粒</w:t>
                  </w:r>
                </w:p>
              </w:tc>
              <w:tc>
                <w:tcPr>
                  <w:tcW w:w="691" w:type="pct"/>
                  <w:tcBorders>
                    <w:tl2br w:val="nil"/>
                    <w:tr2bl w:val="nil"/>
                  </w:tcBorders>
                  <w:vAlign w:val="center"/>
                </w:tcPr>
                <w:p w14:paraId="43DE5DA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t/a</w:t>
                  </w:r>
                </w:p>
              </w:tc>
              <w:tc>
                <w:tcPr>
                  <w:tcW w:w="1029" w:type="pct"/>
                  <w:tcBorders>
                    <w:tl2br w:val="nil"/>
                    <w:tr2bl w:val="nil"/>
                  </w:tcBorders>
                  <w:vAlign w:val="center"/>
                </w:tcPr>
                <w:p w14:paraId="38D8EAC5">
                  <w:pPr>
                    <w:pStyle w:val="78"/>
                    <w:keepNext w:val="0"/>
                    <w:keepLines w:val="0"/>
                    <w:suppressLineNumbers w:val="0"/>
                    <w:bidi w:val="0"/>
                    <w:spacing w:before="0" w:beforeAutospacing="0" w:after="0" w:afterAutospacing="0"/>
                    <w:ind w:left="0" w:leftChars="0" w:right="0" w:firstLine="0" w:firstLineChars="0"/>
                    <w:jc w:val="center"/>
                    <w:rPr>
                      <w:rFonts w:hint="eastAsia"/>
                      <w:color w:val="auto"/>
                      <w:sz w:val="21"/>
                      <w:szCs w:val="21"/>
                      <w:lang w:val="en-US" w:eastAsia="zh-CN"/>
                    </w:rPr>
                  </w:pPr>
                  <w:r>
                    <w:rPr>
                      <w:rFonts w:hint="eastAsia"/>
                      <w:color w:val="auto"/>
                      <w:lang w:val="en-US" w:eastAsia="zh-CN"/>
                    </w:rPr>
                    <w:t>1726</w:t>
                  </w:r>
                </w:p>
              </w:tc>
              <w:tc>
                <w:tcPr>
                  <w:tcW w:w="1216" w:type="pct"/>
                  <w:tcBorders>
                    <w:tl2br w:val="nil"/>
                    <w:tr2bl w:val="nil"/>
                  </w:tcBorders>
                  <w:vAlign w:val="center"/>
                </w:tcPr>
                <w:p w14:paraId="4C4E8C3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2589</w:t>
                  </w:r>
                </w:p>
              </w:tc>
              <w:tc>
                <w:tcPr>
                  <w:tcW w:w="1029" w:type="pct"/>
                  <w:tcBorders>
                    <w:tl2br w:val="nil"/>
                    <w:tr2bl w:val="nil"/>
                  </w:tcBorders>
                  <w:vAlign w:val="center"/>
                </w:tcPr>
                <w:p w14:paraId="69CCF403">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1"/>
                      <w:szCs w:val="21"/>
                      <w:lang w:val="en-US" w:eastAsia="zh-CN"/>
                    </w:rPr>
                  </w:pPr>
                  <w:r>
                    <w:rPr>
                      <w:rFonts w:hint="default" w:ascii="Times New Roman" w:hAnsi="Times New Roman" w:cs="Times New Roman"/>
                      <w:color w:val="auto"/>
                      <w:sz w:val="21"/>
                      <w:szCs w:val="21"/>
                    </w:rPr>
                    <w:t>外购</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25kg袋装</w:t>
                  </w:r>
                </w:p>
              </w:tc>
            </w:tr>
            <w:tr w14:paraId="2EB404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307" w:type="pct"/>
                  <w:tcBorders>
                    <w:tl2br w:val="nil"/>
                    <w:tr2bl w:val="nil"/>
                  </w:tcBorders>
                  <w:vAlign w:val="center"/>
                </w:tcPr>
                <w:p w14:paraId="2B37132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2</w:t>
                  </w:r>
                </w:p>
              </w:tc>
              <w:tc>
                <w:tcPr>
                  <w:tcW w:w="725" w:type="pct"/>
                  <w:tcBorders>
                    <w:tl2br w:val="nil"/>
                    <w:tr2bl w:val="nil"/>
                  </w:tcBorders>
                  <w:vAlign w:val="center"/>
                </w:tcPr>
                <w:p w14:paraId="66A083F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热熔胶颗粒</w:t>
                  </w:r>
                </w:p>
              </w:tc>
              <w:tc>
                <w:tcPr>
                  <w:tcW w:w="691" w:type="pct"/>
                  <w:tcBorders>
                    <w:tl2br w:val="nil"/>
                    <w:tr2bl w:val="nil"/>
                  </w:tcBorders>
                  <w:vAlign w:val="center"/>
                </w:tcPr>
                <w:p w14:paraId="5ADF6EA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t/a</w:t>
                  </w:r>
                </w:p>
              </w:tc>
              <w:tc>
                <w:tcPr>
                  <w:tcW w:w="1029" w:type="pct"/>
                  <w:tcBorders>
                    <w:tl2br w:val="nil"/>
                    <w:tr2bl w:val="nil"/>
                  </w:tcBorders>
                  <w:vAlign w:val="center"/>
                </w:tcPr>
                <w:p w14:paraId="298282B4">
                  <w:pPr>
                    <w:pStyle w:val="78"/>
                    <w:keepNext w:val="0"/>
                    <w:keepLines w:val="0"/>
                    <w:suppressLineNumbers w:val="0"/>
                    <w:bidi w:val="0"/>
                    <w:spacing w:before="0" w:beforeAutospacing="0" w:after="0" w:afterAutospacing="0"/>
                    <w:ind w:left="0" w:leftChars="0" w:right="0" w:firstLine="0" w:firstLineChars="0"/>
                    <w:jc w:val="center"/>
                    <w:rPr>
                      <w:rFonts w:hint="default"/>
                      <w:color w:val="auto"/>
                      <w:sz w:val="21"/>
                      <w:szCs w:val="21"/>
                      <w:lang w:val="en-US" w:eastAsia="zh-CN"/>
                    </w:rPr>
                  </w:pPr>
                  <w:r>
                    <w:rPr>
                      <w:rFonts w:hint="eastAsia"/>
                      <w:color w:val="auto"/>
                      <w:sz w:val="21"/>
                      <w:szCs w:val="21"/>
                      <w:lang w:val="en-US" w:eastAsia="zh-CN"/>
                    </w:rPr>
                    <w:t>12</w:t>
                  </w:r>
                </w:p>
              </w:tc>
              <w:tc>
                <w:tcPr>
                  <w:tcW w:w="1216" w:type="pct"/>
                  <w:tcBorders>
                    <w:tl2br w:val="nil"/>
                    <w:tr2bl w:val="nil"/>
                  </w:tcBorders>
                  <w:vAlign w:val="center"/>
                </w:tcPr>
                <w:p w14:paraId="6785A09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029" w:type="pct"/>
                  <w:tcBorders>
                    <w:tl2br w:val="nil"/>
                    <w:tr2bl w:val="nil"/>
                  </w:tcBorders>
                  <w:vAlign w:val="center"/>
                </w:tcPr>
                <w:p w14:paraId="4EBA5470">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color w:val="auto"/>
                      <w:sz w:val="21"/>
                      <w:szCs w:val="21"/>
                      <w:lang w:eastAsia="zh-CN"/>
                    </w:rPr>
                  </w:pPr>
                  <w:r>
                    <w:rPr>
                      <w:rFonts w:hint="default" w:ascii="Times New Roman" w:hAnsi="Times New Roman" w:cs="Times New Roman"/>
                      <w:color w:val="auto"/>
                      <w:sz w:val="21"/>
                      <w:szCs w:val="21"/>
                    </w:rPr>
                    <w:t>外购</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25kg袋装</w:t>
                  </w:r>
                </w:p>
              </w:tc>
            </w:tr>
            <w:tr w14:paraId="123B5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7" w:type="pct"/>
                  <w:tcBorders>
                    <w:tl2br w:val="nil"/>
                    <w:tr2bl w:val="nil"/>
                  </w:tcBorders>
                  <w:vAlign w:val="center"/>
                </w:tcPr>
                <w:p w14:paraId="4F76E0F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Cs w:val="21"/>
                    </w:rPr>
                  </w:pPr>
                  <w:r>
                    <w:rPr>
                      <w:rFonts w:hint="default"/>
                      <w:color w:val="auto"/>
                      <w:szCs w:val="21"/>
                    </w:rPr>
                    <w:t>3</w:t>
                  </w:r>
                </w:p>
              </w:tc>
              <w:tc>
                <w:tcPr>
                  <w:tcW w:w="725" w:type="pct"/>
                  <w:tcBorders>
                    <w:tl2br w:val="nil"/>
                    <w:tr2bl w:val="nil"/>
                  </w:tcBorders>
                  <w:vAlign w:val="center"/>
                </w:tcPr>
                <w:p w14:paraId="1927EB2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丙纶丝</w:t>
                  </w:r>
                </w:p>
              </w:tc>
              <w:tc>
                <w:tcPr>
                  <w:tcW w:w="691" w:type="pct"/>
                  <w:tcBorders>
                    <w:tl2br w:val="nil"/>
                    <w:tr2bl w:val="nil"/>
                  </w:tcBorders>
                  <w:vAlign w:val="center"/>
                </w:tcPr>
                <w:p w14:paraId="1E20D94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t/a</w:t>
                  </w:r>
                </w:p>
              </w:tc>
              <w:tc>
                <w:tcPr>
                  <w:tcW w:w="1029" w:type="pct"/>
                  <w:tcBorders>
                    <w:tl2br w:val="nil"/>
                    <w:tr2bl w:val="nil"/>
                  </w:tcBorders>
                  <w:vAlign w:val="center"/>
                </w:tcPr>
                <w:p w14:paraId="73977D5A">
                  <w:pPr>
                    <w:pStyle w:val="78"/>
                    <w:keepNext w:val="0"/>
                    <w:keepLines w:val="0"/>
                    <w:suppressLineNumbers w:val="0"/>
                    <w:bidi w:val="0"/>
                    <w:spacing w:before="0" w:beforeAutospacing="0" w:after="0" w:afterAutospacing="0"/>
                    <w:ind w:left="0" w:leftChars="0" w:right="0" w:firstLine="0" w:firstLineChars="0"/>
                    <w:jc w:val="center"/>
                    <w:rPr>
                      <w:rFonts w:hint="default"/>
                      <w:color w:val="auto"/>
                      <w:sz w:val="21"/>
                      <w:szCs w:val="21"/>
                      <w:lang w:val="en-US" w:eastAsia="zh-CN"/>
                    </w:rPr>
                  </w:pPr>
                  <w:r>
                    <w:rPr>
                      <w:rFonts w:hint="eastAsia"/>
                      <w:color w:val="auto"/>
                      <w:sz w:val="21"/>
                      <w:szCs w:val="21"/>
                      <w:lang w:val="en-US" w:eastAsia="zh-CN"/>
                    </w:rPr>
                    <w:t>1050</w:t>
                  </w:r>
                </w:p>
              </w:tc>
              <w:tc>
                <w:tcPr>
                  <w:tcW w:w="1216" w:type="pct"/>
                  <w:tcBorders>
                    <w:tl2br w:val="nil"/>
                    <w:tr2bl w:val="nil"/>
                  </w:tcBorders>
                  <w:vAlign w:val="center"/>
                </w:tcPr>
                <w:p w14:paraId="74B4176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1575</w:t>
                  </w:r>
                </w:p>
              </w:tc>
              <w:tc>
                <w:tcPr>
                  <w:tcW w:w="1029" w:type="pct"/>
                  <w:tcBorders>
                    <w:tl2br w:val="nil"/>
                    <w:tr2bl w:val="nil"/>
                  </w:tcBorders>
                  <w:vAlign w:val="center"/>
                </w:tcPr>
                <w:p w14:paraId="2FA9DED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外购</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25kg袋装</w:t>
                  </w:r>
                </w:p>
              </w:tc>
            </w:tr>
            <w:tr w14:paraId="04795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7" w:type="pct"/>
                  <w:tcBorders>
                    <w:tl2br w:val="nil"/>
                    <w:tr2bl w:val="nil"/>
                  </w:tcBorders>
                  <w:vAlign w:val="center"/>
                </w:tcPr>
                <w:p w14:paraId="51D4B86C">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4</w:t>
                  </w:r>
                </w:p>
              </w:tc>
              <w:tc>
                <w:tcPr>
                  <w:tcW w:w="725" w:type="pct"/>
                  <w:tcBorders>
                    <w:tl2br w:val="nil"/>
                    <w:tr2bl w:val="nil"/>
                  </w:tcBorders>
                  <w:vAlign w:val="center"/>
                </w:tcPr>
                <w:p w14:paraId="5153A995">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聚乙烯丝</w:t>
                  </w:r>
                </w:p>
              </w:tc>
              <w:tc>
                <w:tcPr>
                  <w:tcW w:w="691" w:type="pct"/>
                  <w:tcBorders>
                    <w:tl2br w:val="nil"/>
                    <w:tr2bl w:val="nil"/>
                  </w:tcBorders>
                  <w:vAlign w:val="center"/>
                </w:tcPr>
                <w:p w14:paraId="789E2D8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t/a</w:t>
                  </w:r>
                </w:p>
              </w:tc>
              <w:tc>
                <w:tcPr>
                  <w:tcW w:w="1029" w:type="pct"/>
                  <w:tcBorders>
                    <w:tl2br w:val="nil"/>
                    <w:tr2bl w:val="nil"/>
                  </w:tcBorders>
                  <w:vAlign w:val="center"/>
                </w:tcPr>
                <w:p w14:paraId="792D5024">
                  <w:pPr>
                    <w:pStyle w:val="78"/>
                    <w:keepNext w:val="0"/>
                    <w:keepLines w:val="0"/>
                    <w:suppressLineNumbers w:val="0"/>
                    <w:bidi w:val="0"/>
                    <w:spacing w:before="0" w:beforeAutospacing="0" w:after="0" w:afterAutospacing="0"/>
                    <w:ind w:left="0" w:leftChars="0" w:right="0" w:firstLine="0" w:firstLineChars="0"/>
                    <w:jc w:val="center"/>
                    <w:rPr>
                      <w:rFonts w:hint="default" w:cs="Times New Roman"/>
                      <w:color w:val="auto"/>
                      <w:sz w:val="21"/>
                      <w:szCs w:val="21"/>
                      <w:lang w:val="en-US" w:eastAsia="zh-CN"/>
                    </w:rPr>
                  </w:pPr>
                  <w:r>
                    <w:rPr>
                      <w:rFonts w:hint="eastAsia"/>
                      <w:color w:val="auto"/>
                      <w:highlight w:val="none"/>
                      <w:lang w:val="en-US" w:eastAsia="zh-CN"/>
                    </w:rPr>
                    <w:t>962</w:t>
                  </w:r>
                </w:p>
              </w:tc>
              <w:tc>
                <w:tcPr>
                  <w:tcW w:w="1216" w:type="pct"/>
                  <w:tcBorders>
                    <w:tl2br w:val="nil"/>
                    <w:tr2bl w:val="nil"/>
                  </w:tcBorders>
                  <w:vAlign w:val="center"/>
                </w:tcPr>
                <w:p w14:paraId="52EE757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1443</w:t>
                  </w:r>
                </w:p>
              </w:tc>
              <w:tc>
                <w:tcPr>
                  <w:tcW w:w="1029" w:type="pct"/>
                  <w:tcBorders>
                    <w:tl2br w:val="nil"/>
                    <w:tr2bl w:val="nil"/>
                  </w:tcBorders>
                  <w:vAlign w:val="center"/>
                </w:tcPr>
                <w:p w14:paraId="1036E76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外购</w:t>
                  </w: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25kg袋装</w:t>
                  </w:r>
                </w:p>
              </w:tc>
            </w:tr>
            <w:tr w14:paraId="7EAE05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7" w:type="pct"/>
                  <w:tcBorders>
                    <w:tl2br w:val="nil"/>
                    <w:tr2bl w:val="nil"/>
                  </w:tcBorders>
                  <w:vAlign w:val="center"/>
                </w:tcPr>
                <w:p w14:paraId="0151FA8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olor w:val="auto"/>
                      <w:szCs w:val="21"/>
                    </w:rPr>
                  </w:pPr>
                  <w:r>
                    <w:rPr>
                      <w:rFonts w:hint="eastAsia"/>
                      <w:color w:val="auto"/>
                      <w:szCs w:val="21"/>
                    </w:rPr>
                    <w:t>5</w:t>
                  </w:r>
                </w:p>
              </w:tc>
              <w:tc>
                <w:tcPr>
                  <w:tcW w:w="725" w:type="pct"/>
                  <w:tcBorders>
                    <w:tl2br w:val="nil"/>
                    <w:tr2bl w:val="nil"/>
                  </w:tcBorders>
                  <w:vAlign w:val="center"/>
                </w:tcPr>
                <w:p w14:paraId="7BCEAAC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包装箱</w:t>
                  </w:r>
                </w:p>
              </w:tc>
              <w:tc>
                <w:tcPr>
                  <w:tcW w:w="691" w:type="pct"/>
                  <w:tcBorders>
                    <w:tl2br w:val="nil"/>
                    <w:tr2bl w:val="nil"/>
                  </w:tcBorders>
                  <w:vAlign w:val="center"/>
                </w:tcPr>
                <w:p w14:paraId="05F16CC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万个/a</w:t>
                  </w:r>
                </w:p>
              </w:tc>
              <w:tc>
                <w:tcPr>
                  <w:tcW w:w="1029" w:type="pct"/>
                  <w:tcBorders>
                    <w:tl2br w:val="nil"/>
                    <w:tr2bl w:val="nil"/>
                  </w:tcBorders>
                  <w:vAlign w:val="center"/>
                </w:tcPr>
                <w:p w14:paraId="4CE1A14E">
                  <w:pPr>
                    <w:pStyle w:val="78"/>
                    <w:keepNext w:val="0"/>
                    <w:keepLines w:val="0"/>
                    <w:suppressLineNumbers w:val="0"/>
                    <w:bidi w:val="0"/>
                    <w:spacing w:before="0" w:beforeAutospacing="0" w:after="0" w:afterAutospacing="0"/>
                    <w:ind w:left="0" w:leftChars="0" w:right="0" w:firstLine="0" w:firstLineChars="0"/>
                    <w:jc w:val="center"/>
                    <w:rPr>
                      <w:rFonts w:hint="eastAsia"/>
                      <w:color w:val="auto"/>
                      <w:sz w:val="21"/>
                      <w:szCs w:val="21"/>
                      <w:lang w:val="en-US" w:eastAsia="zh-CN"/>
                    </w:rPr>
                  </w:pPr>
                  <w:r>
                    <w:rPr>
                      <w:rFonts w:hint="eastAsia"/>
                      <w:color w:val="auto"/>
                      <w:highlight w:val="none"/>
                      <w:lang w:val="en-US" w:eastAsia="zh-CN"/>
                    </w:rPr>
                    <w:t>30</w:t>
                  </w:r>
                </w:p>
              </w:tc>
              <w:tc>
                <w:tcPr>
                  <w:tcW w:w="1216" w:type="pct"/>
                  <w:tcBorders>
                    <w:tl2br w:val="nil"/>
                    <w:tr2bl w:val="nil"/>
                  </w:tcBorders>
                  <w:vAlign w:val="center"/>
                </w:tcPr>
                <w:p w14:paraId="0F00F59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45</w:t>
                  </w:r>
                </w:p>
              </w:tc>
              <w:tc>
                <w:tcPr>
                  <w:tcW w:w="1029" w:type="pct"/>
                  <w:tcBorders>
                    <w:tl2br w:val="nil"/>
                    <w:tr2bl w:val="nil"/>
                  </w:tcBorders>
                  <w:vAlign w:val="center"/>
                </w:tcPr>
                <w:p w14:paraId="4A562F9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外购</w:t>
                  </w:r>
                </w:p>
              </w:tc>
            </w:tr>
            <w:tr w14:paraId="596D7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7" w:type="pct"/>
                  <w:tcBorders>
                    <w:tl2br w:val="nil"/>
                    <w:tr2bl w:val="nil"/>
                  </w:tcBorders>
                  <w:vAlign w:val="center"/>
                </w:tcPr>
                <w:p w14:paraId="40FD4BD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olor w:val="auto"/>
                      <w:szCs w:val="21"/>
                    </w:rPr>
                  </w:pPr>
                  <w:r>
                    <w:rPr>
                      <w:rFonts w:hint="eastAsia"/>
                      <w:color w:val="auto"/>
                      <w:szCs w:val="21"/>
                    </w:rPr>
                    <w:t>6</w:t>
                  </w:r>
                </w:p>
              </w:tc>
              <w:tc>
                <w:tcPr>
                  <w:tcW w:w="725" w:type="pct"/>
                  <w:tcBorders>
                    <w:tl2br w:val="nil"/>
                    <w:tr2bl w:val="nil"/>
                  </w:tcBorders>
                  <w:vAlign w:val="center"/>
                </w:tcPr>
                <w:p w14:paraId="3F723166">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钙基润滑脂（黄油）</w:t>
                  </w:r>
                </w:p>
              </w:tc>
              <w:tc>
                <w:tcPr>
                  <w:tcW w:w="691" w:type="pct"/>
                  <w:tcBorders>
                    <w:tl2br w:val="nil"/>
                    <w:tr2bl w:val="nil"/>
                  </w:tcBorders>
                  <w:vAlign w:val="center"/>
                </w:tcPr>
                <w:p w14:paraId="634953E6">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t/a</w:t>
                  </w:r>
                </w:p>
              </w:tc>
              <w:tc>
                <w:tcPr>
                  <w:tcW w:w="1029" w:type="pct"/>
                  <w:tcBorders>
                    <w:tl2br w:val="nil"/>
                    <w:tr2bl w:val="nil"/>
                  </w:tcBorders>
                  <w:vAlign w:val="center"/>
                </w:tcPr>
                <w:p w14:paraId="1F71A55C">
                  <w:pPr>
                    <w:pStyle w:val="78"/>
                    <w:keepNext w:val="0"/>
                    <w:keepLines w:val="0"/>
                    <w:suppressLineNumbers w:val="0"/>
                    <w:bidi w:val="0"/>
                    <w:spacing w:before="0" w:beforeAutospacing="0" w:after="0" w:afterAutospacing="0"/>
                    <w:ind w:left="0" w:leftChars="0" w:right="0" w:firstLine="0" w:firstLineChars="0"/>
                    <w:jc w:val="center"/>
                    <w:rPr>
                      <w:rFonts w:hint="eastAsia" w:ascii="Times New Roman" w:hAnsi="Times New Roman" w:cs="Times New Roman"/>
                      <w:color w:val="auto"/>
                      <w:sz w:val="21"/>
                      <w:szCs w:val="21"/>
                      <w:lang w:eastAsia="zh-CN"/>
                    </w:rPr>
                  </w:pPr>
                  <w:r>
                    <w:rPr>
                      <w:rFonts w:hint="eastAsia"/>
                      <w:color w:val="auto"/>
                      <w:highlight w:val="none"/>
                      <w:lang w:val="en-US" w:eastAsia="zh-CN"/>
                    </w:rPr>
                    <w:t>0.002</w:t>
                  </w:r>
                </w:p>
              </w:tc>
              <w:tc>
                <w:tcPr>
                  <w:tcW w:w="1216" w:type="pct"/>
                  <w:tcBorders>
                    <w:tl2br w:val="nil"/>
                    <w:tr2bl w:val="nil"/>
                  </w:tcBorders>
                  <w:vAlign w:val="center"/>
                </w:tcPr>
                <w:p w14:paraId="0795AC3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0.002</w:t>
                  </w:r>
                </w:p>
              </w:tc>
              <w:tc>
                <w:tcPr>
                  <w:tcW w:w="1029" w:type="pct"/>
                  <w:tcBorders>
                    <w:tl2br w:val="nil"/>
                    <w:tr2bl w:val="nil"/>
                  </w:tcBorders>
                  <w:vAlign w:val="center"/>
                </w:tcPr>
                <w:p w14:paraId="2E5FEF4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1"/>
                      <w:szCs w:val="21"/>
                    </w:rPr>
                  </w:pPr>
                  <w:r>
                    <w:rPr>
                      <w:rFonts w:hint="default" w:ascii="Times New Roman" w:hAnsi="Times New Roman" w:cs="Times New Roman"/>
                      <w:color w:val="auto"/>
                      <w:sz w:val="21"/>
                      <w:szCs w:val="21"/>
                    </w:rPr>
                    <w:t>外购，用于设备保养</w:t>
                  </w:r>
                </w:p>
              </w:tc>
            </w:tr>
            <w:tr w14:paraId="4DEF4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7" w:type="pct"/>
                  <w:tcBorders>
                    <w:tl2br w:val="nil"/>
                    <w:tr2bl w:val="nil"/>
                  </w:tcBorders>
                  <w:vAlign w:val="center"/>
                </w:tcPr>
                <w:p w14:paraId="41C7403B">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color w:val="auto"/>
                      <w:szCs w:val="21"/>
                    </w:rPr>
                  </w:pPr>
                  <w:r>
                    <w:rPr>
                      <w:rFonts w:hint="eastAsia"/>
                      <w:color w:val="auto"/>
                      <w:szCs w:val="21"/>
                    </w:rPr>
                    <w:t>7</w:t>
                  </w:r>
                </w:p>
              </w:tc>
              <w:tc>
                <w:tcPr>
                  <w:tcW w:w="725" w:type="pct"/>
                  <w:tcBorders>
                    <w:tl2br w:val="nil"/>
                    <w:tr2bl w:val="nil"/>
                  </w:tcBorders>
                  <w:vAlign w:val="center"/>
                </w:tcPr>
                <w:p w14:paraId="4D0E2C60">
                  <w:pPr>
                    <w:keepNext w:val="0"/>
                    <w:keepLines w:val="0"/>
                    <w:suppressLineNumbers w:val="0"/>
                    <w:adjustRightInd w:val="0"/>
                    <w:snapToGrid w:val="0"/>
                    <w:spacing w:before="0" w:beforeAutospacing="0" w:after="0" w:afterAutospacing="0" w:line="240" w:lineRule="atLeast"/>
                    <w:ind w:left="0" w:right="0"/>
                    <w:jc w:val="center"/>
                    <w:rPr>
                      <w:rFonts w:hint="eastAsia" w:eastAsia="宋体"/>
                      <w:color w:val="auto"/>
                      <w:sz w:val="21"/>
                      <w:szCs w:val="21"/>
                      <w:lang w:eastAsia="zh-CN"/>
                    </w:rPr>
                  </w:pPr>
                  <w:r>
                    <w:rPr>
                      <w:rFonts w:hint="eastAsia"/>
                      <w:color w:val="auto"/>
                      <w:sz w:val="21"/>
                      <w:szCs w:val="21"/>
                      <w:lang w:eastAsia="zh-CN"/>
                    </w:rPr>
                    <w:t>水墨</w:t>
                  </w:r>
                </w:p>
              </w:tc>
              <w:tc>
                <w:tcPr>
                  <w:tcW w:w="691" w:type="pct"/>
                  <w:tcBorders>
                    <w:tl2br w:val="nil"/>
                    <w:tr2bl w:val="nil"/>
                  </w:tcBorders>
                  <w:vAlign w:val="center"/>
                </w:tcPr>
                <w:p w14:paraId="2E2C4938">
                  <w:pPr>
                    <w:keepNext w:val="0"/>
                    <w:keepLines w:val="0"/>
                    <w:suppressLineNumbers w:val="0"/>
                    <w:adjustRightInd w:val="0"/>
                    <w:snapToGrid w:val="0"/>
                    <w:spacing w:before="0" w:beforeAutospacing="0" w:after="0" w:afterAutospacing="0" w:line="240" w:lineRule="atLeast"/>
                    <w:ind w:left="0" w:right="0"/>
                    <w:jc w:val="center"/>
                    <w:rPr>
                      <w:rFonts w:hint="default"/>
                      <w:color w:val="auto"/>
                      <w:sz w:val="21"/>
                      <w:szCs w:val="21"/>
                    </w:rPr>
                  </w:pPr>
                  <w:r>
                    <w:rPr>
                      <w:rFonts w:hint="eastAsia" w:cs="Times New Roman"/>
                      <w:color w:val="auto"/>
                      <w:sz w:val="21"/>
                      <w:szCs w:val="21"/>
                      <w:lang w:val="en-US" w:eastAsia="zh-CN"/>
                    </w:rPr>
                    <w:t>kg</w:t>
                  </w:r>
                  <w:r>
                    <w:rPr>
                      <w:rFonts w:hint="default" w:ascii="Times New Roman" w:hAnsi="Times New Roman" w:cs="Times New Roman"/>
                      <w:color w:val="auto"/>
                      <w:sz w:val="21"/>
                      <w:szCs w:val="21"/>
                    </w:rPr>
                    <w:t>/a</w:t>
                  </w:r>
                </w:p>
              </w:tc>
              <w:tc>
                <w:tcPr>
                  <w:tcW w:w="1029" w:type="pct"/>
                  <w:tcBorders>
                    <w:tl2br w:val="nil"/>
                    <w:tr2bl w:val="nil"/>
                  </w:tcBorders>
                  <w:vAlign w:val="center"/>
                </w:tcPr>
                <w:p w14:paraId="1D38B023">
                  <w:pPr>
                    <w:keepNext w:val="0"/>
                    <w:keepLines w:val="0"/>
                    <w:suppressLineNumbers w:val="0"/>
                    <w:adjustRightInd w:val="0"/>
                    <w:snapToGrid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1216" w:type="pct"/>
                  <w:tcBorders>
                    <w:tl2br w:val="nil"/>
                    <w:tr2bl w:val="nil"/>
                  </w:tcBorders>
                  <w:vAlign w:val="center"/>
                </w:tcPr>
                <w:p w14:paraId="63070B51">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029" w:type="pct"/>
                  <w:tcBorders>
                    <w:tl2br w:val="nil"/>
                    <w:tr2bl w:val="nil"/>
                  </w:tcBorders>
                  <w:vAlign w:val="center"/>
                </w:tcPr>
                <w:p w14:paraId="49DB9DD6">
                  <w:pPr>
                    <w:keepNext w:val="0"/>
                    <w:keepLines w:val="0"/>
                    <w:suppressLineNumbers w:val="0"/>
                    <w:adjustRightInd w:val="0"/>
                    <w:snapToGrid w:val="0"/>
                    <w:spacing w:before="0" w:beforeAutospacing="0" w:after="0" w:afterAutospacing="0" w:line="240" w:lineRule="atLeast"/>
                    <w:ind w:left="0" w:right="0"/>
                    <w:jc w:val="center"/>
                    <w:rPr>
                      <w:rFonts w:hint="default"/>
                      <w:color w:val="auto"/>
                      <w:sz w:val="21"/>
                      <w:szCs w:val="21"/>
                    </w:rPr>
                  </w:pPr>
                  <w:r>
                    <w:rPr>
                      <w:rFonts w:hint="default" w:ascii="Times New Roman" w:hAnsi="Times New Roman" w:cs="Times New Roman"/>
                      <w:color w:val="auto"/>
                      <w:sz w:val="21"/>
                      <w:szCs w:val="21"/>
                      <w:lang w:val="en-US" w:eastAsia="zh-CN"/>
                    </w:rPr>
                    <w:t>外购</w:t>
                  </w:r>
                  <w:r>
                    <w:rPr>
                      <w:rFonts w:hint="eastAsia" w:ascii="Times New Roman" w:hAnsi="Times New Roman" w:cs="Times New Roman"/>
                      <w:color w:val="auto"/>
                      <w:sz w:val="21"/>
                      <w:szCs w:val="21"/>
                      <w:lang w:val="en-US" w:eastAsia="zh-CN"/>
                    </w:rPr>
                    <w:t>，</w:t>
                  </w:r>
                  <w:r>
                    <w:rPr>
                      <w:rFonts w:hint="eastAsia" w:cs="Times New Roman"/>
                      <w:color w:val="auto"/>
                      <w:sz w:val="21"/>
                      <w:szCs w:val="21"/>
                      <w:lang w:val="en-US" w:eastAsia="zh-CN"/>
                    </w:rPr>
                    <w:t>1kg/桶，</w:t>
                  </w:r>
                  <w:r>
                    <w:rPr>
                      <w:rFonts w:hint="eastAsia" w:ascii="Times New Roman" w:hAnsi="Times New Roman" w:cs="Times New Roman"/>
                      <w:color w:val="auto"/>
                      <w:sz w:val="21"/>
                      <w:szCs w:val="21"/>
                      <w:lang w:val="en-US" w:eastAsia="zh-CN"/>
                    </w:rPr>
                    <w:t>喷码</w:t>
                  </w:r>
                </w:p>
              </w:tc>
            </w:tr>
            <w:tr w14:paraId="38B256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07" w:type="pct"/>
                  <w:tcBorders>
                    <w:tl2br w:val="nil"/>
                    <w:tr2bl w:val="nil"/>
                  </w:tcBorders>
                  <w:vAlign w:val="center"/>
                </w:tcPr>
                <w:p w14:paraId="55049C2F">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eastAsia="宋体"/>
                      <w:color w:val="auto"/>
                      <w:szCs w:val="21"/>
                      <w:lang w:val="en-US" w:eastAsia="zh-CN"/>
                    </w:rPr>
                  </w:pPr>
                  <w:r>
                    <w:rPr>
                      <w:rFonts w:hint="eastAsia"/>
                      <w:color w:val="auto"/>
                      <w:szCs w:val="21"/>
                      <w:lang w:val="en-US" w:eastAsia="zh-CN"/>
                    </w:rPr>
                    <w:t>8</w:t>
                  </w:r>
                </w:p>
              </w:tc>
              <w:tc>
                <w:tcPr>
                  <w:tcW w:w="725" w:type="pct"/>
                  <w:tcBorders>
                    <w:tl2br w:val="nil"/>
                    <w:tr2bl w:val="nil"/>
                  </w:tcBorders>
                  <w:vAlign w:val="center"/>
                </w:tcPr>
                <w:p w14:paraId="6421C88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制冷剂</w:t>
                  </w:r>
                </w:p>
              </w:tc>
              <w:tc>
                <w:tcPr>
                  <w:tcW w:w="691" w:type="pct"/>
                  <w:tcBorders>
                    <w:tl2br w:val="nil"/>
                    <w:tr2bl w:val="nil"/>
                  </w:tcBorders>
                  <w:vAlign w:val="center"/>
                </w:tcPr>
                <w:p w14:paraId="334F13C5">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t/a</w:t>
                  </w:r>
                </w:p>
              </w:tc>
              <w:tc>
                <w:tcPr>
                  <w:tcW w:w="1029" w:type="pct"/>
                  <w:tcBorders>
                    <w:tl2br w:val="nil"/>
                    <w:tr2bl w:val="nil"/>
                  </w:tcBorders>
                  <w:vAlign w:val="center"/>
                </w:tcPr>
                <w:p w14:paraId="74042FA7">
                  <w:pPr>
                    <w:keepNext w:val="0"/>
                    <w:keepLines w:val="0"/>
                    <w:suppressLineNumbers w:val="0"/>
                    <w:adjustRightInd w:val="0"/>
                    <w:snapToGrid w:val="0"/>
                    <w:spacing w:before="0" w:beforeAutospacing="0" w:after="0" w:afterAutospacing="0" w:line="240" w:lineRule="atLeast"/>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1216" w:type="pct"/>
                  <w:tcBorders>
                    <w:tl2br w:val="nil"/>
                    <w:tr2bl w:val="nil"/>
                  </w:tcBorders>
                  <w:vAlign w:val="center"/>
                </w:tcPr>
                <w:p w14:paraId="12609684">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0.33</w:t>
                  </w:r>
                </w:p>
              </w:tc>
              <w:tc>
                <w:tcPr>
                  <w:tcW w:w="1029" w:type="pct"/>
                  <w:tcBorders>
                    <w:tl2br w:val="nil"/>
                    <w:tr2bl w:val="nil"/>
                  </w:tcBorders>
                  <w:vAlign w:val="center"/>
                </w:tcPr>
                <w:p w14:paraId="0361E203">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外购，高压瓶装</w:t>
                  </w:r>
                </w:p>
              </w:tc>
            </w:tr>
            <w:tr w14:paraId="534CD3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307" w:type="pct"/>
                  <w:tcBorders>
                    <w:tl2br w:val="nil"/>
                    <w:tr2bl w:val="nil"/>
                  </w:tcBorders>
                  <w:vAlign w:val="center"/>
                </w:tcPr>
                <w:p w14:paraId="2E6967E3">
                  <w:pPr>
                    <w:keepNext w:val="0"/>
                    <w:keepLines w:val="0"/>
                    <w:suppressLineNumbers w:val="0"/>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725" w:type="pct"/>
                  <w:tcBorders>
                    <w:tl2br w:val="nil"/>
                    <w:tr2bl w:val="nil"/>
                  </w:tcBorders>
                  <w:vAlign w:val="center"/>
                </w:tcPr>
                <w:p w14:paraId="68FC21F7">
                  <w:pPr>
                    <w:keepNext w:val="0"/>
                    <w:keepLines w:val="0"/>
                    <w:suppressLineNumbers w:val="0"/>
                    <w:adjustRightInd w:val="0"/>
                    <w:snapToGrid w:val="0"/>
                    <w:spacing w:before="0" w:beforeAutospacing="0" w:after="0" w:afterAutospacing="0" w:line="240" w:lineRule="atLeast"/>
                    <w:ind w:left="0" w:right="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水</w:t>
                  </w:r>
                </w:p>
              </w:tc>
              <w:tc>
                <w:tcPr>
                  <w:tcW w:w="691" w:type="pct"/>
                  <w:tcBorders>
                    <w:tl2br w:val="nil"/>
                    <w:tr2bl w:val="nil"/>
                  </w:tcBorders>
                  <w:vAlign w:val="center"/>
                </w:tcPr>
                <w:p w14:paraId="6B46A3FB">
                  <w:pPr>
                    <w:keepNext w:val="0"/>
                    <w:keepLines w:val="0"/>
                    <w:suppressLineNumbers w:val="0"/>
                    <w:adjustRightInd w:val="0"/>
                    <w:snapToGrid w:val="0"/>
                    <w:spacing w:before="0" w:beforeAutospacing="0" w:after="0" w:afterAutospacing="0" w:line="240" w:lineRule="atLeast"/>
                    <w:ind w:left="0" w:right="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m</w:t>
                  </w:r>
                  <w:r>
                    <w:rPr>
                      <w:rFonts w:hint="eastAsia"/>
                      <w:color w:val="auto"/>
                      <w:szCs w:val="21"/>
                      <w:vertAlign w:val="superscript"/>
                    </w:rPr>
                    <w:t>3</w:t>
                  </w:r>
                  <w:r>
                    <w:rPr>
                      <w:rFonts w:hint="eastAsia"/>
                      <w:color w:val="auto"/>
                      <w:szCs w:val="21"/>
                    </w:rPr>
                    <w:t>/a</w:t>
                  </w:r>
                </w:p>
              </w:tc>
              <w:tc>
                <w:tcPr>
                  <w:tcW w:w="1029" w:type="pct"/>
                  <w:tcBorders>
                    <w:tl2br w:val="nil"/>
                    <w:tr2bl w:val="nil"/>
                  </w:tcBorders>
                  <w:vAlign w:val="center"/>
                </w:tcPr>
                <w:p w14:paraId="3A5FF825">
                  <w:pPr>
                    <w:keepNext w:val="0"/>
                    <w:keepLines w:val="0"/>
                    <w:suppressLineNumbers w:val="0"/>
                    <w:adjustRightInd w:val="0"/>
                    <w:snapToGrid w:val="0"/>
                    <w:spacing w:before="0" w:beforeAutospacing="0" w:after="0" w:afterAutospacing="0" w:line="240" w:lineRule="atLeast"/>
                    <w:ind w:left="0" w:right="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429</w:t>
                  </w:r>
                </w:p>
              </w:tc>
              <w:tc>
                <w:tcPr>
                  <w:tcW w:w="1216" w:type="pct"/>
                  <w:tcBorders>
                    <w:tl2br w:val="nil"/>
                    <w:tr2bl w:val="nil"/>
                  </w:tcBorders>
                  <w:vAlign w:val="center"/>
                </w:tcPr>
                <w:p w14:paraId="0BA16F91">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858</w:t>
                  </w:r>
                </w:p>
              </w:tc>
              <w:tc>
                <w:tcPr>
                  <w:tcW w:w="1029" w:type="pct"/>
                  <w:tcBorders>
                    <w:tl2br w:val="nil"/>
                    <w:tr2bl w:val="nil"/>
                  </w:tcBorders>
                  <w:vAlign w:val="center"/>
                </w:tcPr>
                <w:p w14:paraId="484762F6">
                  <w:pPr>
                    <w:keepNext w:val="0"/>
                    <w:keepLines w:val="0"/>
                    <w:suppressLineNumbers w:val="0"/>
                    <w:adjustRightInd w:val="0"/>
                    <w:snapToGrid w:val="0"/>
                    <w:spacing w:before="0" w:beforeAutospacing="0" w:after="0" w:afterAutospacing="0" w:line="240" w:lineRule="atLeast"/>
                    <w:ind w:left="0" w:right="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园区供水管网</w:t>
                  </w:r>
                </w:p>
              </w:tc>
            </w:tr>
            <w:tr w14:paraId="42E17F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07" w:type="pct"/>
                  <w:tcBorders>
                    <w:tl2br w:val="nil"/>
                    <w:tr2bl w:val="nil"/>
                  </w:tcBorders>
                  <w:vAlign w:val="center"/>
                </w:tcPr>
                <w:p w14:paraId="26C0129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eastAsia="宋体"/>
                      <w:color w:val="auto"/>
                      <w:szCs w:val="21"/>
                      <w:lang w:val="en-US" w:eastAsia="zh-CN"/>
                    </w:rPr>
                  </w:pPr>
                  <w:r>
                    <w:rPr>
                      <w:rFonts w:hint="eastAsia"/>
                      <w:color w:val="auto"/>
                      <w:szCs w:val="21"/>
                      <w:lang w:val="en-US" w:eastAsia="zh-CN"/>
                    </w:rPr>
                    <w:t>10</w:t>
                  </w:r>
                </w:p>
              </w:tc>
              <w:tc>
                <w:tcPr>
                  <w:tcW w:w="725" w:type="pct"/>
                  <w:tcBorders>
                    <w:tl2br w:val="nil"/>
                    <w:tr2bl w:val="nil"/>
                  </w:tcBorders>
                  <w:vAlign w:val="center"/>
                </w:tcPr>
                <w:p w14:paraId="66FD06FA">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rPr>
                  </w:pPr>
                  <w:r>
                    <w:rPr>
                      <w:rFonts w:hint="eastAsia"/>
                      <w:color w:val="auto"/>
                      <w:szCs w:val="21"/>
                    </w:rPr>
                    <w:t>电</w:t>
                  </w:r>
                </w:p>
              </w:tc>
              <w:tc>
                <w:tcPr>
                  <w:tcW w:w="691" w:type="pct"/>
                  <w:tcBorders>
                    <w:tl2br w:val="nil"/>
                    <w:tr2bl w:val="nil"/>
                  </w:tcBorders>
                  <w:vAlign w:val="center"/>
                </w:tcPr>
                <w:p w14:paraId="29C40A83">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rPr>
                  </w:pPr>
                  <w:r>
                    <w:rPr>
                      <w:rFonts w:hint="eastAsia"/>
                      <w:color w:val="auto"/>
                      <w:szCs w:val="21"/>
                    </w:rPr>
                    <w:t>kW·h/a</w:t>
                  </w:r>
                </w:p>
              </w:tc>
              <w:tc>
                <w:tcPr>
                  <w:tcW w:w="1029" w:type="pct"/>
                  <w:tcBorders>
                    <w:tl2br w:val="nil"/>
                    <w:tr2bl w:val="nil"/>
                  </w:tcBorders>
                  <w:vAlign w:val="center"/>
                </w:tcPr>
                <w:p w14:paraId="2DAE5C93">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lang w:val="en-US" w:eastAsia="zh-CN"/>
                    </w:rPr>
                  </w:pPr>
                  <w:r>
                    <w:rPr>
                      <w:rFonts w:hint="eastAsia"/>
                      <w:color w:val="auto"/>
                      <w:szCs w:val="21"/>
                      <w:lang w:val="en-US" w:eastAsia="zh-CN"/>
                    </w:rPr>
                    <w:t>/</w:t>
                  </w:r>
                </w:p>
              </w:tc>
              <w:tc>
                <w:tcPr>
                  <w:tcW w:w="1216" w:type="pct"/>
                  <w:tcBorders>
                    <w:tl2br w:val="nil"/>
                    <w:tr2bl w:val="nil"/>
                  </w:tcBorders>
                  <w:vAlign w:val="center"/>
                </w:tcPr>
                <w:p w14:paraId="7F8B9ADC">
                  <w:pPr>
                    <w:keepNext w:val="0"/>
                    <w:keepLines w:val="0"/>
                    <w:suppressLineNumbers w:val="0"/>
                    <w:adjustRightInd w:val="0"/>
                    <w:snapToGrid w:val="0"/>
                    <w:spacing w:before="0" w:beforeAutospacing="0" w:after="0" w:afterAutospacing="0" w:line="240" w:lineRule="atLeast"/>
                    <w:ind w:left="0" w:leftChars="0" w:right="0" w:rightChars="0"/>
                    <w:jc w:val="center"/>
                    <w:rPr>
                      <w:rFonts w:hint="eastAsia"/>
                      <w:color w:val="auto"/>
                      <w:szCs w:val="21"/>
                      <w:lang w:val="en-US" w:eastAsia="zh-CN"/>
                    </w:rPr>
                  </w:pPr>
                  <w:r>
                    <w:rPr>
                      <w:rFonts w:hint="eastAsia"/>
                      <w:color w:val="auto"/>
                      <w:szCs w:val="21"/>
                      <w:lang w:val="en-US" w:eastAsia="zh-CN"/>
                    </w:rPr>
                    <w:t>50000</w:t>
                  </w:r>
                </w:p>
              </w:tc>
              <w:tc>
                <w:tcPr>
                  <w:tcW w:w="1029" w:type="pct"/>
                  <w:tcBorders>
                    <w:tl2br w:val="nil"/>
                    <w:tr2bl w:val="nil"/>
                  </w:tcBorders>
                  <w:vAlign w:val="center"/>
                </w:tcPr>
                <w:p w14:paraId="17913E21">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rPr>
                  </w:pPr>
                  <w:r>
                    <w:rPr>
                      <w:rFonts w:hint="eastAsia" w:cs="Times New Roman"/>
                      <w:color w:val="auto"/>
                      <w:kern w:val="2"/>
                      <w:sz w:val="21"/>
                      <w:szCs w:val="21"/>
                      <w:lang w:val="en-US" w:eastAsia="zh-CN" w:bidi="ar-SA"/>
                    </w:rPr>
                    <w:t>园区电网</w:t>
                  </w:r>
                </w:p>
              </w:tc>
            </w:tr>
          </w:tbl>
          <w:p w14:paraId="7A747FB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cs="Times New Roman"/>
                <w:color w:val="auto"/>
                <w:sz w:val="24"/>
                <w:szCs w:val="24"/>
                <w:u w:val="none"/>
                <w:lang w:val="en-US" w:eastAsia="zh-CN"/>
              </w:rPr>
            </w:pPr>
            <w:r>
              <w:rPr>
                <w:rFonts w:hint="eastAsia" w:cs="Times New Roman"/>
                <w:color w:val="auto"/>
                <w:sz w:val="24"/>
                <w:szCs w:val="24"/>
                <w:u w:val="none"/>
                <w:lang w:eastAsia="zh-CN"/>
              </w:rPr>
              <w:t>注：</w:t>
            </w:r>
            <w:r>
              <w:rPr>
                <w:rFonts w:hint="eastAsia" w:cs="Times New Roman"/>
                <w:color w:val="auto"/>
                <w:sz w:val="24"/>
                <w:szCs w:val="24"/>
                <w:u w:val="none"/>
                <w:lang w:val="en-US" w:eastAsia="zh-CN"/>
              </w:rPr>
              <w:t>本次环评相当于产能从3000万米扩大至4500万，扩大1.5倍，原辅材料的使用量较环评扩大1.5倍，原辅材料使用量与产能匹配。</w:t>
            </w:r>
          </w:p>
          <w:p w14:paraId="3A3246CB">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u w:val="none"/>
                <w:lang w:eastAsia="zh-CN"/>
              </w:rPr>
            </w:pPr>
            <w:r>
              <w:rPr>
                <w:rFonts w:hint="eastAsia" w:cs="Times New Roman"/>
                <w:color w:val="auto"/>
                <w:sz w:val="24"/>
                <w:szCs w:val="24"/>
                <w:u w:val="none"/>
                <w:lang w:eastAsia="zh-CN"/>
              </w:rPr>
              <w:t>原料理化性质：</w:t>
            </w:r>
          </w:p>
          <w:p w14:paraId="4224839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聚乙烯颗粒：聚乙烯（polyethylene ，简称PE）是乙烯经聚合制得的一种热塑性树脂。在工业上，也包括乙烯与少量α-烯烃的共聚物。聚乙烯无臭，无毒，手感似蜡，具有优良的耐低温性能（最低使用温度可达-100~-70℃），化学稳定性好，能耐大多数酸碱的侵蚀（不耐具有氧化性质的酸）。常温下不溶于一般溶剂，吸水性小，电绝缘性优良</w:t>
            </w:r>
            <w:r>
              <w:rPr>
                <w:rFonts w:hint="eastAsia" w:cs="Times New Roman"/>
                <w:color w:val="auto"/>
                <w:sz w:val="24"/>
                <w:szCs w:val="24"/>
                <w:u w:val="none"/>
                <w:lang w:eastAsia="zh-CN"/>
              </w:rPr>
              <w:t>，软化温度为</w:t>
            </w:r>
            <w:r>
              <w:rPr>
                <w:rFonts w:hint="eastAsia" w:cs="Times New Roman"/>
                <w:color w:val="auto"/>
                <w:sz w:val="24"/>
                <w:szCs w:val="24"/>
                <w:u w:val="none"/>
                <w:lang w:val="en-US" w:eastAsia="zh-CN"/>
              </w:rPr>
              <w:t>80</w:t>
            </w:r>
            <w:r>
              <w:rPr>
                <w:rFonts w:hint="default" w:ascii="Times New Roman" w:hAnsi="Times New Roman" w:cs="Times New Roman"/>
                <w:i w:val="0"/>
                <w:iCs w:val="0"/>
                <w:caps w:val="0"/>
                <w:color w:val="auto"/>
                <w:spacing w:val="0"/>
                <w:sz w:val="24"/>
                <w:szCs w:val="24"/>
                <w:u w:val="none"/>
                <w:shd w:val="clear" w:fill="FFFFFF"/>
                <w:lang w:val="en-US" w:eastAsia="zh-CN"/>
              </w:rPr>
              <w:t>℃</w:t>
            </w:r>
            <w:r>
              <w:rPr>
                <w:rFonts w:hint="eastAsia" w:ascii="Times New Roman" w:hAnsi="Times New Roman" w:cs="Times New Roman"/>
                <w:i w:val="0"/>
                <w:iCs w:val="0"/>
                <w:caps w:val="0"/>
                <w:color w:val="auto"/>
                <w:spacing w:val="0"/>
                <w:sz w:val="24"/>
                <w:szCs w:val="24"/>
                <w:u w:val="none"/>
                <w:shd w:val="clear" w:fill="FFFFFF"/>
                <w:lang w:val="en-US" w:eastAsia="zh-CN"/>
              </w:rPr>
              <w:t>，</w:t>
            </w:r>
            <w:r>
              <w:rPr>
                <w:rFonts w:hint="eastAsia" w:cs="Times New Roman"/>
                <w:color w:val="auto"/>
                <w:sz w:val="24"/>
                <w:szCs w:val="24"/>
                <w:u w:val="none"/>
                <w:lang w:eastAsia="zh-CN"/>
              </w:rPr>
              <w:t>熔化温度为</w:t>
            </w:r>
            <w:r>
              <w:rPr>
                <w:rFonts w:hint="eastAsia" w:cs="Times New Roman"/>
                <w:color w:val="auto"/>
                <w:sz w:val="24"/>
                <w:szCs w:val="24"/>
                <w:u w:val="none"/>
                <w:lang w:val="en-US" w:eastAsia="zh-CN"/>
              </w:rPr>
              <w:t>120</w:t>
            </w:r>
            <w:r>
              <w:rPr>
                <w:rFonts w:hint="default" w:ascii="Times New Roman" w:hAnsi="Times New Roman" w:cs="Times New Roman"/>
                <w:i w:val="0"/>
                <w:iCs w:val="0"/>
                <w:caps w:val="0"/>
                <w:color w:val="auto"/>
                <w:spacing w:val="0"/>
                <w:sz w:val="24"/>
                <w:szCs w:val="24"/>
                <w:u w:val="none"/>
                <w:shd w:val="clear" w:fill="FFFFFF"/>
                <w:lang w:val="en-US" w:eastAsia="zh-CN"/>
              </w:rPr>
              <w:t>℃~1</w:t>
            </w:r>
            <w:r>
              <w:rPr>
                <w:rFonts w:hint="eastAsia" w:ascii="Times New Roman" w:hAnsi="Times New Roman" w:cs="Times New Roman"/>
                <w:i w:val="0"/>
                <w:iCs w:val="0"/>
                <w:caps w:val="0"/>
                <w:color w:val="auto"/>
                <w:spacing w:val="0"/>
                <w:sz w:val="24"/>
                <w:szCs w:val="24"/>
                <w:u w:val="none"/>
                <w:shd w:val="clear" w:fill="FFFFFF"/>
                <w:lang w:val="en-US" w:eastAsia="zh-CN"/>
              </w:rPr>
              <w:t>60</w:t>
            </w:r>
            <w:r>
              <w:rPr>
                <w:rFonts w:hint="default" w:ascii="Times New Roman" w:hAnsi="Times New Roman" w:cs="Times New Roman"/>
                <w:i w:val="0"/>
                <w:iCs w:val="0"/>
                <w:caps w:val="0"/>
                <w:color w:val="auto"/>
                <w:spacing w:val="0"/>
                <w:sz w:val="24"/>
                <w:szCs w:val="24"/>
                <w:u w:val="none"/>
                <w:shd w:val="clear" w:fill="FFFFFF"/>
                <w:lang w:val="en-US" w:eastAsia="zh-CN"/>
              </w:rPr>
              <w:t>℃</w:t>
            </w:r>
            <w:r>
              <w:rPr>
                <w:rFonts w:hint="default" w:ascii="Times New Roman" w:hAnsi="Times New Roman" w:cs="Times New Roman"/>
                <w:color w:val="auto"/>
                <w:sz w:val="24"/>
                <w:szCs w:val="24"/>
                <w:u w:val="none"/>
              </w:rPr>
              <w:t>。</w:t>
            </w:r>
          </w:p>
          <w:p w14:paraId="24E6120A">
            <w:pPr>
              <w:keepNext w:val="0"/>
              <w:keepLines w:val="0"/>
              <w:suppressLineNumbers w:val="0"/>
              <w:spacing w:before="0" w:beforeAutospacing="0" w:after="0" w:afterAutospacing="0" w:line="360" w:lineRule="auto"/>
              <w:ind w:left="0" w:right="0" w:firstLine="480" w:firstLineChars="200"/>
              <w:contextualSpacing/>
              <w:textAlignment w:val="baseline"/>
              <w:rPr>
                <w:rFonts w:hint="default" w:ascii="Times New Roman" w:hAnsi="Times New Roman" w:cs="Times New Roman"/>
                <w:color w:val="auto"/>
                <w:sz w:val="24"/>
                <w:szCs w:val="24"/>
                <w:u w:val="none"/>
                <w:shd w:val="clear" w:color="auto" w:fill="FFFFFF"/>
              </w:rPr>
            </w:pPr>
            <w:r>
              <w:rPr>
                <w:rFonts w:hint="default" w:ascii="Times New Roman" w:hAnsi="Times New Roman" w:cs="Times New Roman"/>
                <w:color w:val="auto"/>
                <w:sz w:val="24"/>
                <w:szCs w:val="24"/>
                <w:u w:val="none"/>
              </w:rPr>
              <w:t>热熔胶：热</w:t>
            </w:r>
            <w:r>
              <w:rPr>
                <w:rFonts w:hint="default" w:ascii="Times New Roman" w:hAnsi="Times New Roman" w:cs="Times New Roman"/>
                <w:color w:val="auto"/>
                <w:sz w:val="24"/>
                <w:szCs w:val="24"/>
                <w:u w:val="none"/>
                <w:shd w:val="clear" w:color="auto" w:fill="FFFFFF"/>
              </w:rPr>
              <w:t>熔胶（英文名：Hot Glue）是一种可塑性的粘合剂，</w:t>
            </w:r>
            <w:r>
              <w:rPr>
                <w:rFonts w:hint="default" w:ascii="Times New Roman" w:hAnsi="Times New Roman" w:eastAsia="Helvetica" w:cs="Times New Roman"/>
                <w:i w:val="0"/>
                <w:iCs w:val="0"/>
                <w:caps w:val="0"/>
                <w:color w:val="auto"/>
                <w:spacing w:val="0"/>
                <w:sz w:val="24"/>
                <w:szCs w:val="24"/>
                <w:u w:val="none"/>
                <w:shd w:val="clear" w:fill="FFFFFF"/>
              </w:rPr>
              <w:t>是</w:t>
            </w:r>
            <w:r>
              <w:rPr>
                <w:rFonts w:hint="default" w:ascii="Times New Roman" w:hAnsi="Times New Roman" w:eastAsia="Helvetica" w:cs="Times New Roman"/>
                <w:i w:val="0"/>
                <w:iCs w:val="0"/>
                <w:caps w:val="0"/>
                <w:color w:val="auto"/>
                <w:spacing w:val="0"/>
                <w:sz w:val="24"/>
                <w:szCs w:val="24"/>
                <w:u w:val="none"/>
                <w:shd w:val="clear" w:fill="FFFFFF"/>
              </w:rPr>
              <w:fldChar w:fldCharType="begin"/>
            </w:r>
            <w:r>
              <w:rPr>
                <w:rFonts w:hint="default" w:ascii="Times New Roman" w:hAnsi="Times New Roman" w:eastAsia="Helvetica" w:cs="Times New Roman"/>
                <w:i w:val="0"/>
                <w:iCs w:val="0"/>
                <w:caps w:val="0"/>
                <w:color w:val="auto"/>
                <w:spacing w:val="0"/>
                <w:sz w:val="24"/>
                <w:szCs w:val="24"/>
                <w:u w:val="none"/>
                <w:shd w:val="clear" w:fill="FFFFFF"/>
              </w:rPr>
              <w:instrText xml:space="preserve"> HYPERLINK "https://baike.baidu.com/item/%E4%B9%99%E7%83%AF?fromModule=lemma_inlink" \t "https://baike.baidu.com/item/%E7%83%AD%E7%86%94%E8%83%B6/_blank" </w:instrText>
            </w:r>
            <w:r>
              <w:rPr>
                <w:rFonts w:hint="default" w:ascii="Times New Roman" w:hAnsi="Times New Roman" w:eastAsia="Helvetica" w:cs="Times New Roman"/>
                <w:i w:val="0"/>
                <w:iCs w:val="0"/>
                <w:caps w:val="0"/>
                <w:color w:val="auto"/>
                <w:spacing w:val="0"/>
                <w:sz w:val="24"/>
                <w:szCs w:val="24"/>
                <w:u w:val="none"/>
                <w:shd w:val="clear" w:fill="FFFFFF"/>
              </w:rPr>
              <w:fldChar w:fldCharType="separate"/>
            </w:r>
            <w:r>
              <w:rPr>
                <w:rStyle w:val="33"/>
                <w:rFonts w:hint="default" w:ascii="Times New Roman" w:hAnsi="Times New Roman" w:eastAsia="Helvetica" w:cs="Times New Roman"/>
                <w:i w:val="0"/>
                <w:iCs w:val="0"/>
                <w:caps w:val="0"/>
                <w:color w:val="auto"/>
                <w:spacing w:val="0"/>
                <w:sz w:val="24"/>
                <w:szCs w:val="24"/>
                <w:u w:val="none"/>
                <w:shd w:val="clear" w:fill="FFFFFF"/>
              </w:rPr>
              <w:t>乙烯</w:t>
            </w:r>
            <w:r>
              <w:rPr>
                <w:rFonts w:hint="default" w:ascii="Times New Roman" w:hAnsi="Times New Roman" w:eastAsia="Helvetica" w:cs="Times New Roman"/>
                <w:i w:val="0"/>
                <w:iCs w:val="0"/>
                <w:caps w:val="0"/>
                <w:color w:val="auto"/>
                <w:spacing w:val="0"/>
                <w:sz w:val="24"/>
                <w:szCs w:val="24"/>
                <w:u w:val="none"/>
                <w:shd w:val="clear" w:fill="FFFFFF"/>
              </w:rPr>
              <w:fldChar w:fldCharType="end"/>
            </w:r>
            <w:r>
              <w:rPr>
                <w:rFonts w:hint="default" w:ascii="Times New Roman" w:hAnsi="Times New Roman" w:eastAsia="Helvetica" w:cs="Times New Roman"/>
                <w:i w:val="0"/>
                <w:iCs w:val="0"/>
                <w:caps w:val="0"/>
                <w:color w:val="auto"/>
                <w:spacing w:val="0"/>
                <w:sz w:val="24"/>
                <w:szCs w:val="24"/>
                <w:u w:val="none"/>
                <w:shd w:val="clear" w:fill="FFFFFF"/>
              </w:rPr>
              <w:t>和</w:t>
            </w:r>
            <w:r>
              <w:rPr>
                <w:rFonts w:hint="default" w:ascii="Times New Roman" w:hAnsi="Times New Roman" w:eastAsia="Helvetica" w:cs="Times New Roman"/>
                <w:i w:val="0"/>
                <w:iCs w:val="0"/>
                <w:caps w:val="0"/>
                <w:color w:val="auto"/>
                <w:spacing w:val="0"/>
                <w:sz w:val="24"/>
                <w:szCs w:val="24"/>
                <w:u w:val="none"/>
                <w:shd w:val="clear" w:fill="FFFFFF"/>
              </w:rPr>
              <w:fldChar w:fldCharType="begin"/>
            </w:r>
            <w:r>
              <w:rPr>
                <w:rFonts w:hint="default" w:ascii="Times New Roman" w:hAnsi="Times New Roman" w:eastAsia="Helvetica" w:cs="Times New Roman"/>
                <w:i w:val="0"/>
                <w:iCs w:val="0"/>
                <w:caps w:val="0"/>
                <w:color w:val="auto"/>
                <w:spacing w:val="0"/>
                <w:sz w:val="24"/>
                <w:szCs w:val="24"/>
                <w:u w:val="none"/>
                <w:shd w:val="clear" w:fill="FFFFFF"/>
              </w:rPr>
              <w:instrText xml:space="preserve"> HYPERLINK "https://baike.baidu.com/item/%E9%86%8B%E9%85%B8%E4%B9%99%E7%83%AF?fromModule=lemma_inlink" \t "https://baike.baidu.com/item/%E7%83%AD%E7%86%94%E8%83%B6/_blank" </w:instrText>
            </w:r>
            <w:r>
              <w:rPr>
                <w:rFonts w:hint="default" w:ascii="Times New Roman" w:hAnsi="Times New Roman" w:eastAsia="Helvetica" w:cs="Times New Roman"/>
                <w:i w:val="0"/>
                <w:iCs w:val="0"/>
                <w:caps w:val="0"/>
                <w:color w:val="auto"/>
                <w:spacing w:val="0"/>
                <w:sz w:val="24"/>
                <w:szCs w:val="24"/>
                <w:u w:val="none"/>
                <w:shd w:val="clear" w:fill="FFFFFF"/>
              </w:rPr>
              <w:fldChar w:fldCharType="separate"/>
            </w:r>
            <w:r>
              <w:rPr>
                <w:rStyle w:val="33"/>
                <w:rFonts w:hint="default" w:ascii="Times New Roman" w:hAnsi="Times New Roman" w:eastAsia="Helvetica" w:cs="Times New Roman"/>
                <w:i w:val="0"/>
                <w:iCs w:val="0"/>
                <w:caps w:val="0"/>
                <w:color w:val="auto"/>
                <w:spacing w:val="0"/>
                <w:sz w:val="24"/>
                <w:szCs w:val="24"/>
                <w:u w:val="none"/>
                <w:shd w:val="clear" w:fill="FFFFFF"/>
              </w:rPr>
              <w:t>醋酸乙烯</w:t>
            </w:r>
            <w:r>
              <w:rPr>
                <w:rFonts w:hint="default" w:ascii="Times New Roman" w:hAnsi="Times New Roman" w:eastAsia="Helvetica" w:cs="Times New Roman"/>
                <w:i w:val="0"/>
                <w:iCs w:val="0"/>
                <w:caps w:val="0"/>
                <w:color w:val="auto"/>
                <w:spacing w:val="0"/>
                <w:sz w:val="24"/>
                <w:szCs w:val="24"/>
                <w:u w:val="none"/>
                <w:shd w:val="clear" w:fill="FFFFFF"/>
              </w:rPr>
              <w:fldChar w:fldCharType="end"/>
            </w:r>
            <w:r>
              <w:rPr>
                <w:rFonts w:hint="default" w:ascii="Times New Roman" w:hAnsi="Times New Roman" w:eastAsia="Helvetica" w:cs="Times New Roman"/>
                <w:i w:val="0"/>
                <w:iCs w:val="0"/>
                <w:caps w:val="0"/>
                <w:color w:val="auto"/>
                <w:spacing w:val="0"/>
                <w:sz w:val="24"/>
                <w:szCs w:val="24"/>
                <w:u w:val="none"/>
                <w:shd w:val="clear" w:fill="FFFFFF"/>
              </w:rPr>
              <w:t>在高温高压下共聚而成的，即EVA树脂</w:t>
            </w:r>
            <w:r>
              <w:rPr>
                <w:rFonts w:hint="default" w:ascii="Times New Roman" w:hAnsi="Times New Roman" w:cs="Times New Roman"/>
                <w:i w:val="0"/>
                <w:iCs w:val="0"/>
                <w:caps w:val="0"/>
                <w:color w:val="auto"/>
                <w:spacing w:val="0"/>
                <w:sz w:val="24"/>
                <w:szCs w:val="24"/>
                <w:u w:val="none"/>
                <w:shd w:val="clear" w:fill="FFFFFF"/>
                <w:lang w:eastAsia="zh-CN"/>
              </w:rPr>
              <w:t>，</w:t>
            </w:r>
            <w:r>
              <w:rPr>
                <w:rFonts w:hint="default" w:ascii="Times New Roman" w:hAnsi="Times New Roman" w:cs="Times New Roman"/>
                <w:i w:val="0"/>
                <w:iCs w:val="0"/>
                <w:caps w:val="0"/>
                <w:color w:val="auto"/>
                <w:spacing w:val="0"/>
                <w:sz w:val="24"/>
                <w:szCs w:val="24"/>
                <w:u w:val="none"/>
                <w:shd w:val="clear" w:fill="FFFFFF"/>
                <w:lang w:val="en-US" w:eastAsia="zh-CN"/>
              </w:rPr>
              <w:t>熔化温度：160℃~180℃，软化点：</w:t>
            </w:r>
            <w:r>
              <w:rPr>
                <w:rFonts w:hint="eastAsia" w:cs="Times New Roman"/>
                <w:i w:val="0"/>
                <w:iCs w:val="0"/>
                <w:caps w:val="0"/>
                <w:color w:val="auto"/>
                <w:spacing w:val="0"/>
                <w:sz w:val="24"/>
                <w:szCs w:val="24"/>
                <w:u w:val="none"/>
                <w:shd w:val="clear" w:fill="FFFFFF"/>
                <w:lang w:val="en-US" w:eastAsia="zh-CN"/>
              </w:rPr>
              <w:t>60</w:t>
            </w:r>
            <w:r>
              <w:rPr>
                <w:rFonts w:hint="default" w:ascii="Times New Roman" w:hAnsi="Times New Roman" w:cs="Times New Roman"/>
                <w:i w:val="0"/>
                <w:iCs w:val="0"/>
                <w:caps w:val="0"/>
                <w:color w:val="auto"/>
                <w:spacing w:val="0"/>
                <w:sz w:val="24"/>
                <w:szCs w:val="24"/>
                <w:u w:val="none"/>
                <w:shd w:val="clear" w:fill="FFFFFF"/>
                <w:lang w:val="en-US" w:eastAsia="zh-CN"/>
              </w:rPr>
              <w:t>℃；该粘合剂</w:t>
            </w:r>
            <w:r>
              <w:rPr>
                <w:rFonts w:hint="default" w:ascii="Times New Roman" w:hAnsi="Times New Roman" w:cs="Times New Roman"/>
                <w:color w:val="auto"/>
                <w:sz w:val="24"/>
                <w:szCs w:val="24"/>
                <w:u w:val="none"/>
                <w:shd w:val="clear" w:color="auto" w:fill="FFFFFF"/>
              </w:rPr>
              <w:t>在一定温度范围内其物理状态随温度改变而改变，而化学特性不变，其无毒无味，属环保型化学产品。因其产品本身系固体，便于包装、运输、存储、无溶剂、无污染、无毒型；以及生产工艺简单，高附加值，黏合强度大、速度快等优点而备受青睐。</w:t>
            </w:r>
          </w:p>
          <w:p w14:paraId="263231F5">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525" w:firstLineChars="219"/>
              <w:textAlignment w:val="auto"/>
              <w:rPr>
                <w:rStyle w:val="34"/>
                <w:rFonts w:hint="default" w:ascii="Times New Roman" w:hAnsi="Times New Roman" w:cs="Times New Roman"/>
                <w:color w:val="auto"/>
                <w:kern w:val="0"/>
                <w:sz w:val="24"/>
                <w:szCs w:val="24"/>
                <w:u w:val="none"/>
                <w:lang w:val="en-US" w:eastAsia="zh-CN"/>
              </w:rPr>
            </w:pPr>
            <w:r>
              <w:rPr>
                <w:rFonts w:hint="default" w:ascii="Times New Roman" w:hAnsi="Times New Roman" w:eastAsia="宋体" w:cs="Times New Roman"/>
                <w:b w:val="0"/>
                <w:bCs w:val="0"/>
                <w:color w:val="auto"/>
                <w:kern w:val="2"/>
                <w:sz w:val="24"/>
                <w:szCs w:val="24"/>
                <w:u w:val="none"/>
                <w:shd w:val="clear" w:color="auto" w:fill="FFFFFF"/>
                <w:lang w:val="en-US" w:eastAsia="zh-CN" w:bidi="ar-SA"/>
              </w:rPr>
              <w:t>丙纶丝</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：丙纶丝的密度为0.90-0.92 g/cm</w:t>
            </w:r>
            <w:r>
              <w:rPr>
                <w:rFonts w:hint="eastAsia" w:ascii="Times New Roman" w:hAnsi="Times New Roman" w:eastAsia="宋体" w:cs="Times New Roman"/>
                <w:b w:val="0"/>
                <w:bCs w:val="0"/>
                <w:color w:val="auto"/>
                <w:kern w:val="2"/>
                <w:sz w:val="24"/>
                <w:szCs w:val="24"/>
                <w:u w:val="none"/>
                <w:shd w:val="clear" w:color="auto" w:fill="FFFFFF"/>
                <w:vertAlign w:val="superscript"/>
                <w:lang w:val="en-US" w:eastAsia="zh-CN" w:bidi="ar-SA"/>
              </w:rPr>
              <w:t>3</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，在所有化学纤维中是最轻的，比锦纶轻20%，比涤纶轻30%。度高、弹性好：丙纶丝的强度高，干湿强度几乎相等，耐磨性好，回弹性优良，是制造渔网、缆绳的理想</w:t>
            </w:r>
            <w:r>
              <w:rPr>
                <w:rFonts w:hint="eastAsia" w:eastAsia="宋体" w:cs="Times New Roman"/>
                <w:b w:val="0"/>
                <w:bCs w:val="0"/>
                <w:color w:val="auto"/>
                <w:kern w:val="2"/>
                <w:sz w:val="24"/>
                <w:szCs w:val="24"/>
                <w:u w:val="none"/>
                <w:shd w:val="clear" w:color="auto" w:fill="FFFFFF"/>
                <w:lang w:val="en-US" w:eastAsia="zh-CN" w:bidi="ar-SA"/>
              </w:rPr>
              <w:t>材料</w:t>
            </w:r>
            <w:r>
              <w:rPr>
                <w:rFonts w:hint="eastAsia" w:ascii="Times New Roman" w:hAnsi="Times New Roman" w:eastAsia="宋体" w:cs="Times New Roman"/>
                <w:b w:val="0"/>
                <w:bCs w:val="0"/>
                <w:color w:val="auto"/>
                <w:kern w:val="2"/>
                <w:sz w:val="24"/>
                <w:szCs w:val="24"/>
                <w:u w:val="none"/>
                <w:shd w:val="clear" w:color="auto" w:fill="FFFFFF"/>
                <w:lang w:val="en-US" w:eastAsia="zh-CN" w:bidi="ar-SA"/>
              </w:rPr>
              <w:t>。</w:t>
            </w:r>
          </w:p>
          <w:p w14:paraId="793F6930">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制冷剂：二氧化碳R744制冷剂，不含氟利昂等破坏臭氧层物质。</w:t>
            </w:r>
          </w:p>
          <w:p w14:paraId="2280EE2B">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黄油：钙基润滑脂是由天然脂肪酸钙皂（如十二羟基硬脂酸钙）稠化中等粘度润滑油，并添加抗氧化剂、防锈剂等制成的稠厚油脂状半固体润滑材料 。其滴点范围在130~150℃或约为110℃。使用温度范围广，最低使用温度为10℃，最高使用温度为120℃。具有优良的抗水性、机械安定性、氧化安定性和防锈性能。</w:t>
            </w:r>
          </w:p>
          <w:p w14:paraId="1CB204AC">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水墨：水墨是由特定的水溶性高分子树脂（连结料）、有机颜料、水，并添加助溶剂及相关助剂经物理化学过程而制造的均匀浆状物质。挥发性有机物成份检测报告见附件12。</w:t>
            </w:r>
          </w:p>
          <w:p w14:paraId="1696A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bCs/>
                <w:color w:val="auto"/>
                <w:sz w:val="24"/>
                <w:highlight w:val="none"/>
              </w:rPr>
            </w:pPr>
            <w:r>
              <w:rPr>
                <w:rFonts w:hint="eastAsia" w:eastAsia="宋体" w:cs="Times New Roman"/>
                <w:b/>
                <w:color w:val="auto"/>
                <w:sz w:val="24"/>
                <w:highlight w:val="none"/>
                <w:lang w:val="en-US" w:eastAsia="zh-CN"/>
              </w:rPr>
              <w:t>6</w:t>
            </w:r>
            <w:r>
              <w:rPr>
                <w:rFonts w:hint="default" w:ascii="Times New Roman" w:hAnsi="Times New Roman" w:eastAsia="Times New Roman" w:cs="Times New Roman"/>
                <w:b/>
                <w:color w:val="auto"/>
                <w:sz w:val="24"/>
                <w:highlight w:val="none"/>
              </w:rPr>
              <w:t>.</w:t>
            </w:r>
            <w:r>
              <w:rPr>
                <w:rFonts w:hint="default" w:ascii="Times New Roman" w:hAnsi="Times New Roman" w:eastAsia="Times New Roman" w:cs="Times New Roman"/>
                <w:b/>
                <w:bCs/>
                <w:color w:val="auto"/>
                <w:sz w:val="24"/>
                <w:highlight w:val="none"/>
              </w:rPr>
              <w:t>产品规模</w:t>
            </w:r>
          </w:p>
          <w:p w14:paraId="4D3D9A6D">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Times New Roman" w:cs="Times New Roman"/>
                <w:color w:val="auto"/>
                <w:sz w:val="24"/>
                <w:highlight w:val="none"/>
                <w:lang w:val="en-US" w:eastAsia="zh-CN"/>
              </w:rPr>
              <w:t>项目产品产量约为</w:t>
            </w:r>
            <w:r>
              <w:rPr>
                <w:rFonts w:hint="eastAsia" w:eastAsia="Times New Roman" w:cs="Times New Roman"/>
                <w:color w:val="auto"/>
                <w:sz w:val="24"/>
                <w:highlight w:val="none"/>
                <w:lang w:val="en-US" w:eastAsia="zh-CN"/>
              </w:rPr>
              <w:t>4500万米</w:t>
            </w:r>
            <w:r>
              <w:rPr>
                <w:rFonts w:hint="default" w:ascii="Times New Roman" w:hAnsi="Times New Roman" w:eastAsia="Times New Roman" w:cs="Times New Roman"/>
                <w:color w:val="auto"/>
                <w:sz w:val="24"/>
                <w:highlight w:val="none"/>
                <w:lang w:val="en-US" w:eastAsia="zh-CN"/>
              </w:rPr>
              <w:t>，具体</w:t>
            </w:r>
            <w:r>
              <w:rPr>
                <w:rFonts w:hint="default" w:ascii="Times New Roman" w:hAnsi="Times New Roman" w:eastAsia="Times New Roman" w:cs="Times New Roman"/>
                <w:color w:val="auto"/>
                <w:sz w:val="24"/>
                <w:highlight w:val="none"/>
              </w:rPr>
              <w:t>产品</w:t>
            </w:r>
            <w:r>
              <w:rPr>
                <w:rFonts w:hint="default" w:ascii="Times New Roman" w:hAnsi="Times New Roman" w:eastAsia="Times New Roman" w:cs="Times New Roman"/>
                <w:color w:val="auto"/>
                <w:sz w:val="24"/>
                <w:highlight w:val="none"/>
                <w:lang w:val="en-US" w:eastAsia="zh-CN"/>
              </w:rPr>
              <w:t>种类及规模具体见下表</w:t>
            </w:r>
            <w:r>
              <w:rPr>
                <w:rFonts w:hint="default" w:ascii="Times New Roman" w:hAnsi="Times New Roman" w:eastAsia="宋体" w:cs="Times New Roman"/>
                <w:color w:val="auto"/>
                <w:sz w:val="24"/>
                <w:highlight w:val="none"/>
                <w:lang w:val="en-US" w:eastAsia="zh-CN"/>
              </w:rPr>
              <w:t>。</w:t>
            </w:r>
          </w:p>
          <w:p w14:paraId="774E81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产品种类及规模一览表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1872"/>
              <w:gridCol w:w="1748"/>
              <w:gridCol w:w="2501"/>
            </w:tblGrid>
            <w:tr w14:paraId="27B0F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5" w:type="pct"/>
                  <w:vAlign w:val="center"/>
                </w:tcPr>
                <w:p w14:paraId="287C86AC">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default"/>
                      <w:b/>
                      <w:bCs/>
                      <w:color w:val="auto"/>
                      <w:szCs w:val="21"/>
                    </w:rPr>
                    <w:t>名称</w:t>
                  </w:r>
                </w:p>
              </w:tc>
              <w:tc>
                <w:tcPr>
                  <w:tcW w:w="1151" w:type="pct"/>
                  <w:vAlign w:val="center"/>
                </w:tcPr>
                <w:p w14:paraId="02BDCEDC">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规格</w:t>
                  </w:r>
                </w:p>
              </w:tc>
              <w:tc>
                <w:tcPr>
                  <w:tcW w:w="1075" w:type="pct"/>
                  <w:vAlign w:val="center"/>
                </w:tcPr>
                <w:p w14:paraId="78DBB5A4">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单位</w:t>
                  </w:r>
                </w:p>
              </w:tc>
              <w:tc>
                <w:tcPr>
                  <w:tcW w:w="1538" w:type="pct"/>
                  <w:vAlign w:val="center"/>
                </w:tcPr>
                <w:p w14:paraId="26C2BD3B">
                  <w:pPr>
                    <w:keepNext w:val="0"/>
                    <w:keepLines w:val="0"/>
                    <w:suppressLineNumbers w:val="0"/>
                    <w:adjustRightInd w:val="0"/>
                    <w:snapToGrid w:val="0"/>
                    <w:spacing w:before="0" w:beforeAutospacing="0" w:after="0" w:afterAutospacing="0" w:line="240" w:lineRule="atLeast"/>
                    <w:ind w:left="0" w:right="0"/>
                    <w:jc w:val="center"/>
                    <w:rPr>
                      <w:rFonts w:hint="default"/>
                      <w:b/>
                      <w:bCs/>
                      <w:color w:val="auto"/>
                      <w:szCs w:val="21"/>
                    </w:rPr>
                  </w:pPr>
                  <w:r>
                    <w:rPr>
                      <w:rFonts w:hint="eastAsia"/>
                      <w:b/>
                      <w:bCs/>
                      <w:color w:val="auto"/>
                      <w:szCs w:val="21"/>
                    </w:rPr>
                    <w:t>产量</w:t>
                  </w:r>
                </w:p>
              </w:tc>
            </w:tr>
            <w:tr w14:paraId="773026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235" w:type="pct"/>
                  <w:vAlign w:val="center"/>
                </w:tcPr>
                <w:p w14:paraId="31AEFEA9">
                  <w:pPr>
                    <w:keepNext w:val="0"/>
                    <w:keepLines w:val="0"/>
                    <w:suppressLineNumbers w:val="0"/>
                    <w:adjustRightInd w:val="0"/>
                    <w:snapToGrid w:val="0"/>
                    <w:spacing w:before="0" w:beforeAutospacing="0" w:after="0" w:afterAutospacing="0" w:line="240" w:lineRule="atLeast"/>
                    <w:ind w:left="0" w:right="0"/>
                    <w:jc w:val="center"/>
                    <w:rPr>
                      <w:rFonts w:hint="default"/>
                      <w:color w:val="auto"/>
                      <w:szCs w:val="21"/>
                    </w:rPr>
                  </w:pPr>
                  <w:r>
                    <w:rPr>
                      <w:rFonts w:hint="eastAsia"/>
                      <w:color w:val="auto"/>
                      <w:szCs w:val="21"/>
                    </w:rPr>
                    <w:t>编织水带</w:t>
                  </w:r>
                </w:p>
              </w:tc>
              <w:tc>
                <w:tcPr>
                  <w:tcW w:w="1151" w:type="pct"/>
                  <w:vAlign w:val="center"/>
                </w:tcPr>
                <w:p w14:paraId="63CAAB3A">
                  <w:pPr>
                    <w:keepNext w:val="0"/>
                    <w:keepLines w:val="0"/>
                    <w:suppressLineNumbers w:val="0"/>
                    <w:adjustRightInd w:val="0"/>
                    <w:snapToGrid w:val="0"/>
                    <w:spacing w:before="0" w:beforeAutospacing="0" w:after="0" w:afterAutospacing="0" w:line="240" w:lineRule="atLeast"/>
                    <w:ind w:left="0" w:right="0"/>
                    <w:jc w:val="center"/>
                    <w:rPr>
                      <w:rFonts w:hint="default" w:eastAsia="宋体"/>
                      <w:color w:val="auto"/>
                      <w:szCs w:val="21"/>
                      <w:lang w:val="en-US" w:eastAsia="zh-CN"/>
                    </w:rPr>
                  </w:pPr>
                  <w:r>
                    <w:rPr>
                      <w:rFonts w:hint="default"/>
                      <w:color w:val="auto"/>
                      <w:szCs w:val="21"/>
                    </w:rPr>
                    <w:t>Φ</w:t>
                  </w:r>
                  <w:r>
                    <w:rPr>
                      <w:rFonts w:hint="eastAsia"/>
                      <w:color w:val="auto"/>
                      <w:szCs w:val="21"/>
                      <w:lang w:val="en-US" w:eastAsia="zh-CN"/>
                    </w:rPr>
                    <w:t>2</w:t>
                  </w:r>
                  <w:r>
                    <w:rPr>
                      <w:rFonts w:hint="eastAsia"/>
                      <w:color w:val="auto"/>
                      <w:szCs w:val="21"/>
                    </w:rPr>
                    <w:t>cm</w:t>
                  </w:r>
                  <w:r>
                    <w:rPr>
                      <w:rFonts w:hint="eastAsia"/>
                      <w:color w:val="auto"/>
                      <w:szCs w:val="21"/>
                      <w:lang w:val="en-US" w:eastAsia="zh-CN"/>
                    </w:rPr>
                    <w:t>-48cm</w:t>
                  </w:r>
                </w:p>
              </w:tc>
              <w:tc>
                <w:tcPr>
                  <w:tcW w:w="1075" w:type="pct"/>
                  <w:vAlign w:val="center"/>
                </w:tcPr>
                <w:p w14:paraId="73327056">
                  <w:pPr>
                    <w:pStyle w:val="11"/>
                    <w:keepNext w:val="0"/>
                    <w:keepLines w:val="0"/>
                    <w:suppressLineNumbers w:val="0"/>
                    <w:adjustRightInd w:val="0"/>
                    <w:snapToGrid w:val="0"/>
                    <w:spacing w:before="0" w:beforeAutospacing="0" w:after="0" w:afterAutospacing="0" w:line="240" w:lineRule="atLeast"/>
                    <w:ind w:left="0" w:leftChars="0" w:right="0"/>
                    <w:jc w:val="center"/>
                    <w:rPr>
                      <w:rFonts w:hint="default"/>
                      <w:color w:val="auto"/>
                      <w:sz w:val="21"/>
                      <w:szCs w:val="21"/>
                    </w:rPr>
                  </w:pPr>
                  <w:r>
                    <w:rPr>
                      <w:rFonts w:hint="default"/>
                      <w:color w:val="auto"/>
                      <w:sz w:val="21"/>
                      <w:szCs w:val="21"/>
                    </w:rPr>
                    <w:t>万米</w:t>
                  </w:r>
                </w:p>
              </w:tc>
              <w:tc>
                <w:tcPr>
                  <w:tcW w:w="1538" w:type="pct"/>
                  <w:vAlign w:val="center"/>
                </w:tcPr>
                <w:p w14:paraId="05D4B8D8">
                  <w:pPr>
                    <w:keepNext w:val="0"/>
                    <w:keepLines w:val="0"/>
                    <w:suppressLineNumbers w:val="0"/>
                    <w:adjustRightInd w:val="0"/>
                    <w:snapToGrid w:val="0"/>
                    <w:spacing w:before="0" w:beforeAutospacing="0" w:after="0" w:afterAutospacing="0" w:line="240" w:lineRule="atLeast"/>
                    <w:ind w:left="0" w:right="0"/>
                    <w:jc w:val="center"/>
                    <w:rPr>
                      <w:rFonts w:hint="default" w:eastAsia="宋体"/>
                      <w:color w:val="auto"/>
                      <w:szCs w:val="21"/>
                      <w:lang w:val="en-US" w:eastAsia="zh-CN"/>
                    </w:rPr>
                  </w:pPr>
                  <w:r>
                    <w:rPr>
                      <w:rFonts w:hint="eastAsia"/>
                      <w:color w:val="auto"/>
                      <w:szCs w:val="21"/>
                      <w:lang w:val="en-US" w:eastAsia="zh-CN"/>
                    </w:rPr>
                    <w:t>4500</w:t>
                  </w:r>
                </w:p>
              </w:tc>
            </w:tr>
          </w:tbl>
          <w:p w14:paraId="3291AD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val="en-US" w:eastAsia="zh-CN"/>
              </w:rPr>
              <w:t>7</w:t>
            </w:r>
            <w:r>
              <w:rPr>
                <w:rFonts w:hint="default" w:ascii="Times New Roman" w:hAnsi="Times New Roman" w:eastAsia="Times New Roman" w:cs="Times New Roman"/>
                <w:b/>
                <w:color w:val="auto"/>
                <w:sz w:val="24"/>
                <w:highlight w:val="none"/>
              </w:rPr>
              <w:t>.辅助设施情况</w:t>
            </w:r>
          </w:p>
          <w:p w14:paraId="37FA139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（1）供水：项目用水由</w:t>
            </w:r>
            <w:r>
              <w:rPr>
                <w:rFonts w:hint="default" w:ascii="Times New Roman" w:hAnsi="Times New Roman" w:eastAsia="Times New Roman" w:cs="Times New Roman"/>
                <w:color w:val="auto"/>
                <w:sz w:val="24"/>
                <w:highlight w:val="none"/>
                <w:lang w:val="en-US" w:eastAsia="zh-CN"/>
              </w:rPr>
              <w:t>园区供水</w:t>
            </w:r>
            <w:r>
              <w:rPr>
                <w:rFonts w:hint="default" w:ascii="Times New Roman" w:hAnsi="Times New Roman" w:eastAsia="Times New Roman" w:cs="Times New Roman"/>
                <w:color w:val="auto"/>
                <w:sz w:val="24"/>
                <w:highlight w:val="none"/>
              </w:rPr>
              <w:t>管网</w:t>
            </w:r>
            <w:r>
              <w:rPr>
                <w:rFonts w:hint="default" w:ascii="Times New Roman" w:hAnsi="Times New Roman" w:eastAsia="Times New Roman" w:cs="Times New Roman"/>
                <w:color w:val="auto"/>
                <w:sz w:val="24"/>
                <w:highlight w:val="none"/>
                <w:lang w:val="en-US" w:eastAsia="zh-CN"/>
              </w:rPr>
              <w:t>供应</w:t>
            </w:r>
            <w:r>
              <w:rPr>
                <w:rFonts w:hint="default" w:ascii="Times New Roman" w:hAnsi="Times New Roman" w:eastAsia="Times New Roman" w:cs="Times New Roman"/>
                <w:color w:val="auto"/>
                <w:sz w:val="24"/>
                <w:highlight w:val="none"/>
              </w:rPr>
              <w:t>，水质水量可以满足用水要求。</w:t>
            </w:r>
          </w:p>
          <w:p w14:paraId="4CFFE98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（2）排水：</w:t>
            </w:r>
            <w:r>
              <w:rPr>
                <w:rFonts w:hint="default" w:ascii="Times New Roman" w:hAnsi="Times New Roman" w:eastAsia="Times New Roman" w:cs="Times New Roman"/>
                <w:color w:val="auto"/>
                <w:sz w:val="24"/>
                <w:highlight w:val="none"/>
                <w:lang w:val="en-US" w:eastAsia="zh-CN"/>
              </w:rPr>
              <w:t>雨污分流。冷却水循环使用，不外排</w:t>
            </w:r>
            <w:r>
              <w:rPr>
                <w:rFonts w:hint="default" w:ascii="Times New Roman" w:hAnsi="Times New Roman" w:eastAsia="Times New Roman" w:cs="Times New Roman"/>
                <w:color w:val="auto"/>
                <w:sz w:val="24"/>
                <w:highlight w:val="none"/>
                <w:lang w:eastAsia="zh-CN"/>
              </w:rPr>
              <w:t>；</w:t>
            </w:r>
            <w:r>
              <w:rPr>
                <w:rFonts w:hint="eastAsia" w:eastAsia="Times New Roman" w:cs="Times New Roman"/>
                <w:color w:val="auto"/>
                <w:sz w:val="24"/>
                <w:highlight w:val="none"/>
                <w:lang w:val="en-US" w:eastAsia="zh-CN"/>
              </w:rPr>
              <w:t>生活污水</w:t>
            </w:r>
            <w:r>
              <w:rPr>
                <w:rFonts w:hint="default" w:ascii="Times New Roman" w:hAnsi="Times New Roman" w:eastAsia="Times New Roman" w:cs="Times New Roman"/>
                <w:color w:val="auto"/>
                <w:sz w:val="24"/>
                <w:highlight w:val="none"/>
                <w:lang w:val="en-US" w:eastAsia="zh-CN"/>
              </w:rPr>
              <w:t>经化粪池</w:t>
            </w:r>
            <w:r>
              <w:rPr>
                <w:rFonts w:hint="eastAsia" w:eastAsia="Times New Roman" w:cs="Times New Roman"/>
                <w:color w:val="auto"/>
                <w:sz w:val="24"/>
                <w:highlight w:val="none"/>
                <w:lang w:val="en-US" w:eastAsia="zh-CN"/>
              </w:rPr>
              <w:t>（10m</w:t>
            </w:r>
            <w:r>
              <w:rPr>
                <w:rFonts w:hint="eastAsia" w:eastAsia="Times New Roman" w:cs="Times New Roman"/>
                <w:color w:val="auto"/>
                <w:sz w:val="24"/>
                <w:highlight w:val="none"/>
                <w:vertAlign w:val="superscript"/>
                <w:lang w:val="en-US" w:eastAsia="zh-CN"/>
              </w:rPr>
              <w:t>3</w:t>
            </w:r>
            <w:r>
              <w:rPr>
                <w:rFonts w:hint="eastAsia" w:eastAsia="Times New Roman" w:cs="Times New Roman"/>
                <w:color w:val="auto"/>
                <w:sz w:val="24"/>
                <w:highlight w:val="none"/>
                <w:lang w:val="en-US" w:eastAsia="zh-CN"/>
              </w:rPr>
              <w:t>）</w:t>
            </w:r>
            <w:r>
              <w:rPr>
                <w:rFonts w:hint="default" w:ascii="Times New Roman" w:hAnsi="Times New Roman" w:eastAsia="Times New Roman" w:cs="Times New Roman"/>
                <w:color w:val="auto"/>
                <w:sz w:val="24"/>
                <w:highlight w:val="none"/>
                <w:lang w:val="en-US" w:eastAsia="zh-CN"/>
              </w:rPr>
              <w:t>预处理后，由园区管网进入汤阴县</w:t>
            </w:r>
            <w:r>
              <w:rPr>
                <w:rFonts w:hint="eastAsia" w:ascii="Times New Roman" w:hAnsi="Times New Roman" w:eastAsia="Times New Roman" w:cs="Times New Roman"/>
                <w:color w:val="auto"/>
                <w:sz w:val="24"/>
                <w:lang w:val="en-US" w:eastAsia="zh-CN"/>
              </w:rPr>
              <w:t>汤阴固现污水处理有限公司</w:t>
            </w:r>
            <w:r>
              <w:rPr>
                <w:rFonts w:hint="eastAsia" w:eastAsia="Times New Roman" w:cs="Times New Roman"/>
                <w:color w:val="auto"/>
                <w:sz w:val="24"/>
                <w:lang w:val="en-US" w:eastAsia="zh-CN"/>
              </w:rPr>
              <w:t>达标后排入汤河</w:t>
            </w:r>
            <w:r>
              <w:rPr>
                <w:rFonts w:hint="eastAsia" w:ascii="Times New Roman" w:hAnsi="Times New Roman" w:eastAsia="Times New Roman" w:cs="Times New Roman"/>
                <w:color w:val="auto"/>
                <w:sz w:val="24"/>
                <w:highlight w:val="none"/>
                <w:lang w:val="en-US" w:eastAsia="zh-CN"/>
              </w:rPr>
              <w:t>。</w:t>
            </w:r>
          </w:p>
          <w:p w14:paraId="69053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（3）供电：园区供电</w:t>
            </w:r>
            <w:r>
              <w:rPr>
                <w:rFonts w:hint="default" w:ascii="Times New Roman" w:hAnsi="Times New Roman" w:eastAsia="Times New Roman" w:cs="Times New Roman"/>
                <w:color w:val="auto"/>
                <w:sz w:val="24"/>
                <w:highlight w:val="none"/>
                <w:lang w:eastAsia="zh-CN"/>
              </w:rPr>
              <w:t>，</w:t>
            </w:r>
            <w:r>
              <w:rPr>
                <w:rFonts w:hint="default" w:ascii="Times New Roman" w:hAnsi="Times New Roman" w:eastAsia="Times New Roman" w:cs="Times New Roman"/>
                <w:color w:val="auto"/>
                <w:sz w:val="24"/>
                <w:highlight w:val="none"/>
              </w:rPr>
              <w:t>可以满足</w:t>
            </w:r>
            <w:r>
              <w:rPr>
                <w:rFonts w:hint="default" w:ascii="Times New Roman" w:hAnsi="Times New Roman" w:eastAsia="Times New Roman" w:cs="Times New Roman"/>
                <w:color w:val="auto"/>
                <w:sz w:val="24"/>
                <w:highlight w:val="none"/>
                <w:lang w:val="en-US" w:eastAsia="zh-CN"/>
              </w:rPr>
              <w:t>项目生活、生产</w:t>
            </w:r>
            <w:r>
              <w:rPr>
                <w:rFonts w:hint="default" w:ascii="Times New Roman" w:hAnsi="Times New Roman" w:eastAsia="Times New Roman" w:cs="Times New Roman"/>
                <w:color w:val="auto"/>
                <w:sz w:val="24"/>
                <w:highlight w:val="none"/>
              </w:rPr>
              <w:t>要求。</w:t>
            </w:r>
          </w:p>
          <w:p w14:paraId="2E93FEB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val="en-US" w:eastAsia="zh-CN"/>
              </w:rPr>
              <w:t>8</w:t>
            </w:r>
            <w:r>
              <w:rPr>
                <w:rFonts w:hint="default" w:ascii="Times New Roman" w:hAnsi="Times New Roman" w:eastAsia="Times New Roman" w:cs="Times New Roman"/>
                <w:b/>
                <w:color w:val="auto"/>
                <w:sz w:val="24"/>
                <w:highlight w:val="none"/>
              </w:rPr>
              <w:t>.项目水平衡图</w:t>
            </w:r>
          </w:p>
          <w:p w14:paraId="0E441D15">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sz w:val="24"/>
              </w:rPr>
            </w:pPr>
            <w:r>
              <w:rPr>
                <w:rFonts w:hint="eastAsia"/>
                <w:color w:val="auto"/>
                <w:sz w:val="24"/>
              </w:rPr>
              <w:t>本项目使用</w:t>
            </w:r>
            <w:r>
              <w:rPr>
                <w:rFonts w:hint="eastAsia"/>
                <w:color w:val="auto"/>
                <w:sz w:val="24"/>
                <w:lang w:val="en-US" w:eastAsia="zh-CN"/>
              </w:rPr>
              <w:t>6</w:t>
            </w:r>
            <w:r>
              <w:rPr>
                <w:rFonts w:hint="eastAsia"/>
                <w:color w:val="auto"/>
                <w:sz w:val="24"/>
              </w:rPr>
              <w:t>台</w:t>
            </w:r>
            <w:r>
              <w:rPr>
                <w:rFonts w:hint="eastAsia"/>
                <w:color w:val="auto"/>
                <w:sz w:val="24"/>
                <w:lang w:eastAsia="zh-CN"/>
              </w:rPr>
              <w:t>挤出（吹膜）</w:t>
            </w:r>
            <w:r>
              <w:rPr>
                <w:rFonts w:hint="eastAsia"/>
                <w:color w:val="auto"/>
                <w:sz w:val="24"/>
              </w:rPr>
              <w:t>机</w:t>
            </w:r>
            <w:r>
              <w:rPr>
                <w:rFonts w:hint="eastAsia"/>
                <w:color w:val="auto"/>
                <w:sz w:val="24"/>
                <w:lang w:eastAsia="zh-CN"/>
              </w:rPr>
              <w:t>（</w:t>
            </w:r>
            <w:r>
              <w:rPr>
                <w:rFonts w:hint="eastAsia"/>
                <w:color w:val="auto"/>
                <w:sz w:val="24"/>
                <w:lang w:val="en-US" w:eastAsia="zh-CN"/>
              </w:rPr>
              <w:t>5用1备</w:t>
            </w:r>
            <w:r>
              <w:rPr>
                <w:rFonts w:hint="eastAsia"/>
                <w:color w:val="auto"/>
                <w:sz w:val="24"/>
                <w:lang w:eastAsia="zh-CN"/>
              </w:rPr>
              <w:t>）</w:t>
            </w:r>
            <w:r>
              <w:rPr>
                <w:rFonts w:hint="eastAsia"/>
                <w:color w:val="auto"/>
                <w:sz w:val="24"/>
              </w:rPr>
              <w:t>，</w:t>
            </w:r>
            <w:r>
              <w:rPr>
                <w:rFonts w:hint="eastAsia"/>
                <w:color w:val="auto"/>
                <w:sz w:val="24"/>
                <w:lang w:eastAsia="zh-CN"/>
              </w:rPr>
              <w:t>项目原料</w:t>
            </w:r>
            <w:r>
              <w:rPr>
                <w:rFonts w:hint="eastAsia"/>
                <w:color w:val="auto"/>
                <w:sz w:val="24"/>
              </w:rPr>
              <w:t>经过吹膜工序成型后需用水冷却，每台吹膜机配套一条冷却水槽，单条冷却水槽有效容积为0.4m</w:t>
            </w:r>
            <w:r>
              <w:rPr>
                <w:rFonts w:hint="eastAsia"/>
                <w:color w:val="auto"/>
                <w:sz w:val="24"/>
                <w:vertAlign w:val="superscript"/>
              </w:rPr>
              <w:t>3</w:t>
            </w:r>
            <w:r>
              <w:rPr>
                <w:rFonts w:hint="eastAsia"/>
                <w:color w:val="auto"/>
                <w:sz w:val="24"/>
              </w:rPr>
              <w:t>，冷却水槽水质清洁，冷却水</w:t>
            </w:r>
            <w:r>
              <w:rPr>
                <w:rFonts w:hint="eastAsia"/>
                <w:color w:val="auto"/>
                <w:sz w:val="24"/>
                <w:lang w:eastAsia="zh-CN"/>
              </w:rPr>
              <w:t>循环使用，</w:t>
            </w:r>
            <w:r>
              <w:rPr>
                <w:rFonts w:hint="eastAsia"/>
                <w:color w:val="auto"/>
                <w:sz w:val="24"/>
              </w:rPr>
              <w:t>不外排，定期补充蒸发损失水量，</w:t>
            </w:r>
            <w:r>
              <w:rPr>
                <w:rFonts w:hint="eastAsia"/>
                <w:color w:val="auto"/>
                <w:sz w:val="24"/>
              </w:rPr>
              <w:t>每天补充约0.</w:t>
            </w:r>
            <w:r>
              <w:rPr>
                <w:rFonts w:hint="eastAsia"/>
                <w:color w:val="auto"/>
                <w:sz w:val="24"/>
                <w:lang w:val="en-US" w:eastAsia="zh-CN"/>
              </w:rPr>
              <w:t>3</w:t>
            </w:r>
            <w:r>
              <w:rPr>
                <w:rFonts w:hint="eastAsia"/>
                <w:color w:val="auto"/>
                <w:sz w:val="24"/>
              </w:rPr>
              <w:t>m</w:t>
            </w:r>
            <w:r>
              <w:rPr>
                <w:rFonts w:hint="eastAsia"/>
                <w:color w:val="auto"/>
                <w:sz w:val="24"/>
                <w:vertAlign w:val="superscript"/>
              </w:rPr>
              <w:t>3</w:t>
            </w:r>
            <w:r>
              <w:rPr>
                <w:rFonts w:hint="eastAsia"/>
                <w:color w:val="auto"/>
                <w:sz w:val="24"/>
              </w:rPr>
              <w:t>/d，合计用水</w:t>
            </w:r>
            <w:r>
              <w:rPr>
                <w:rFonts w:hint="eastAsia"/>
                <w:color w:val="auto"/>
                <w:sz w:val="24"/>
                <w:lang w:val="en-US" w:eastAsia="zh-CN"/>
              </w:rPr>
              <w:t>90</w:t>
            </w:r>
            <w:r>
              <w:rPr>
                <w:rFonts w:hint="eastAsia"/>
                <w:color w:val="auto"/>
                <w:sz w:val="24"/>
              </w:rPr>
              <w:t>m</w:t>
            </w:r>
            <w:r>
              <w:rPr>
                <w:rFonts w:hint="eastAsia"/>
                <w:color w:val="auto"/>
                <w:sz w:val="24"/>
                <w:vertAlign w:val="superscript"/>
              </w:rPr>
              <w:t>3</w:t>
            </w:r>
            <w:r>
              <w:rPr>
                <w:rFonts w:hint="eastAsia"/>
                <w:color w:val="auto"/>
                <w:sz w:val="24"/>
              </w:rPr>
              <w:t>/a。</w:t>
            </w:r>
          </w:p>
          <w:p w14:paraId="52E3CE53">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sz w:val="24"/>
              </w:rPr>
            </w:pPr>
            <w:r>
              <w:rPr>
                <w:rFonts w:hint="eastAsia"/>
                <w:color w:val="auto"/>
                <w:sz w:val="24"/>
              </w:rPr>
              <w:t>项目复合工序采取高频水加热复合，该工序用水循环使用，定期补充，补充水量约为0.</w:t>
            </w:r>
            <w:r>
              <w:rPr>
                <w:rFonts w:hint="eastAsia"/>
                <w:color w:val="auto"/>
                <w:sz w:val="24"/>
                <w:lang w:val="en-US" w:eastAsia="zh-CN"/>
              </w:rPr>
              <w:t>5</w:t>
            </w:r>
            <w:r>
              <w:rPr>
                <w:rFonts w:hint="eastAsia"/>
                <w:color w:val="auto"/>
                <w:sz w:val="24"/>
              </w:rPr>
              <w:t>m</w:t>
            </w:r>
            <w:r>
              <w:rPr>
                <w:rFonts w:hint="eastAsia"/>
                <w:color w:val="auto"/>
                <w:sz w:val="24"/>
                <w:vertAlign w:val="superscript"/>
              </w:rPr>
              <w:t>3</w:t>
            </w:r>
            <w:r>
              <w:rPr>
                <w:rFonts w:hint="eastAsia"/>
                <w:color w:val="auto"/>
                <w:sz w:val="24"/>
              </w:rPr>
              <w:t>/d，合计用水量</w:t>
            </w:r>
            <w:r>
              <w:rPr>
                <w:rFonts w:hint="eastAsia"/>
                <w:color w:val="auto"/>
                <w:sz w:val="24"/>
                <w:lang w:val="en-US" w:eastAsia="zh-CN"/>
              </w:rPr>
              <w:t>150</w:t>
            </w:r>
            <w:r>
              <w:rPr>
                <w:rFonts w:hint="eastAsia"/>
                <w:color w:val="auto"/>
                <w:sz w:val="24"/>
              </w:rPr>
              <w:t>m</w:t>
            </w:r>
            <w:r>
              <w:rPr>
                <w:rFonts w:hint="eastAsia"/>
                <w:color w:val="auto"/>
                <w:sz w:val="24"/>
                <w:vertAlign w:val="superscript"/>
              </w:rPr>
              <w:t>3</w:t>
            </w:r>
            <w:r>
              <w:rPr>
                <w:rFonts w:hint="eastAsia"/>
                <w:color w:val="auto"/>
                <w:sz w:val="24"/>
              </w:rPr>
              <w:t>/a。</w:t>
            </w:r>
          </w:p>
          <w:p w14:paraId="77E19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参考《工业循环冷却水处理设计规范》（GB_T50050-2017）“5补充水处理”蒸发水量公式为：Q</w:t>
            </w:r>
            <w:r>
              <w:rPr>
                <w:rFonts w:hint="eastAsia"/>
                <w:color w:val="auto"/>
                <w:sz w:val="24"/>
                <w:szCs w:val="24"/>
                <w:vertAlign w:val="subscript"/>
                <w:lang w:val="en-US" w:eastAsia="zh-CN"/>
              </w:rPr>
              <w:t>e</w:t>
            </w:r>
            <w:r>
              <w:rPr>
                <w:rFonts w:hint="eastAsia"/>
                <w:color w:val="auto"/>
                <w:sz w:val="24"/>
                <w:szCs w:val="24"/>
                <w:lang w:val="en-US" w:eastAsia="zh-CN"/>
              </w:rPr>
              <w:t>=k×Δt×Q</w:t>
            </w:r>
            <w:r>
              <w:rPr>
                <w:rFonts w:hint="eastAsia"/>
                <w:color w:val="auto"/>
                <w:sz w:val="24"/>
                <w:szCs w:val="24"/>
                <w:vertAlign w:val="subscript"/>
                <w:lang w:val="en-US" w:eastAsia="zh-CN"/>
              </w:rPr>
              <w:t>r</w:t>
            </w:r>
          </w:p>
          <w:p w14:paraId="5E167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其中：</w:t>
            </w:r>
          </w:p>
          <w:p w14:paraId="5377A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e</w:t>
            </w:r>
            <w:r>
              <w:rPr>
                <w:rFonts w:hint="eastAsia"/>
                <w:color w:val="auto"/>
                <w:sz w:val="24"/>
                <w:szCs w:val="24"/>
                <w:lang w:val="en-US" w:eastAsia="zh-CN"/>
              </w:rPr>
              <w:t>为蒸发水量（m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1D231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k为蒸发损失系数（1/℃），按照下表进行取值；</w:t>
            </w:r>
          </w:p>
          <w:p w14:paraId="561ED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r</w:t>
            </w:r>
            <w:r>
              <w:rPr>
                <w:rFonts w:hint="eastAsia"/>
                <w:color w:val="auto"/>
                <w:sz w:val="24"/>
                <w:szCs w:val="24"/>
                <w:lang w:val="en-US" w:eastAsia="zh-CN"/>
              </w:rPr>
              <w:t>为循环冷却水量（m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709C7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Δt为循环冷却水进出塔温度（℃），取20℃</w:t>
            </w:r>
          </w:p>
          <w:p w14:paraId="4930F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则该企业循环水量Q</w:t>
            </w:r>
            <w:r>
              <w:rPr>
                <w:rFonts w:hint="eastAsia"/>
                <w:color w:val="auto"/>
                <w:sz w:val="24"/>
                <w:szCs w:val="24"/>
                <w:vertAlign w:val="subscript"/>
                <w:lang w:val="en-US" w:eastAsia="zh-CN"/>
              </w:rPr>
              <w:t>r</w:t>
            </w:r>
            <w:r>
              <w:rPr>
                <w:rFonts w:hint="eastAsia"/>
                <w:color w:val="auto"/>
                <w:sz w:val="24"/>
                <w:szCs w:val="24"/>
                <w:vertAlign w:val="baseline"/>
                <w:lang w:val="en-US" w:eastAsia="zh-CN"/>
              </w:rPr>
              <w:t>=264/0.0014/20=9428.5714m</w:t>
            </w:r>
            <w:r>
              <w:rPr>
                <w:rFonts w:hint="eastAsia"/>
                <w:color w:val="auto"/>
                <w:sz w:val="24"/>
                <w:szCs w:val="24"/>
                <w:vertAlign w:val="superscript"/>
                <w:lang w:val="en-US" w:eastAsia="zh-CN"/>
              </w:rPr>
              <w:t>3</w:t>
            </w:r>
            <w:r>
              <w:rPr>
                <w:rFonts w:hint="eastAsia"/>
                <w:color w:val="auto"/>
                <w:sz w:val="24"/>
                <w:szCs w:val="24"/>
                <w:vertAlign w:val="baseline"/>
                <w:lang w:val="en-US" w:eastAsia="zh-CN"/>
              </w:rPr>
              <w:t>/a</w:t>
            </w:r>
          </w:p>
          <w:p w14:paraId="4BF12924">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b/>
                <w:bCs w:val="0"/>
                <w:color w:val="auto"/>
                <w:lang w:val="en-US" w:eastAsia="zh-CN"/>
              </w:rPr>
            </w:pPr>
            <w:r>
              <w:rPr>
                <w:rFonts w:hint="eastAsia"/>
                <w:b/>
                <w:bCs w:val="0"/>
                <w:color w:val="auto"/>
                <w:sz w:val="24"/>
                <w:szCs w:val="24"/>
                <w:lang w:val="en-US" w:eastAsia="zh-CN"/>
              </w:rPr>
              <w:t>蒸发损失系数k</w:t>
            </w:r>
          </w:p>
          <w:tbl>
            <w:tblPr>
              <w:tblStyle w:val="27"/>
              <w:tblW w:w="4991"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995"/>
              <w:gridCol w:w="971"/>
              <w:gridCol w:w="1143"/>
              <w:gridCol w:w="1065"/>
              <w:gridCol w:w="1195"/>
              <w:gridCol w:w="1224"/>
            </w:tblGrid>
            <w:tr w14:paraId="5A48A8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0255CF38">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进塔大气温度</w:t>
                  </w:r>
                </w:p>
              </w:tc>
              <w:tc>
                <w:tcPr>
                  <w:tcW w:w="613" w:type="pct"/>
                </w:tcPr>
                <w:p w14:paraId="3BEDF2A2">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598" w:type="pct"/>
                </w:tcPr>
                <w:p w14:paraId="4378C2EB">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w:t>
                  </w:r>
                </w:p>
              </w:tc>
              <w:tc>
                <w:tcPr>
                  <w:tcW w:w="704" w:type="pct"/>
                </w:tcPr>
                <w:p w14:paraId="6E6C1B28">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656" w:type="pct"/>
                </w:tcPr>
                <w:p w14:paraId="6A272992">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20</w:t>
                  </w:r>
                </w:p>
              </w:tc>
              <w:tc>
                <w:tcPr>
                  <w:tcW w:w="736" w:type="pct"/>
                </w:tcPr>
                <w:p w14:paraId="15CF4CE2">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30</w:t>
                  </w:r>
                </w:p>
              </w:tc>
              <w:tc>
                <w:tcPr>
                  <w:tcW w:w="752" w:type="pct"/>
                </w:tcPr>
                <w:p w14:paraId="03F90A22">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40</w:t>
                  </w:r>
                </w:p>
              </w:tc>
            </w:tr>
            <w:tr w14:paraId="6DECBD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11946B10">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k（1</w:t>
                  </w:r>
                  <w:r>
                    <w:rPr>
                      <w:rFonts w:hint="eastAsia"/>
                      <w:color w:val="auto"/>
                      <w:sz w:val="21"/>
                      <w:szCs w:val="21"/>
                      <w:vertAlign w:val="baseline"/>
                      <w:lang w:val="en-US" w:eastAsia="zh-CN"/>
                    </w:rPr>
                    <w:t>/</w:t>
                  </w:r>
                  <w:r>
                    <w:rPr>
                      <w:rFonts w:hint="eastAsia"/>
                      <w:color w:val="auto"/>
                      <w:sz w:val="21"/>
                      <w:szCs w:val="21"/>
                      <w:lang w:val="en-US" w:eastAsia="zh-CN"/>
                    </w:rPr>
                    <w:t>℃</w:t>
                  </w:r>
                  <w:r>
                    <w:rPr>
                      <w:rFonts w:hint="eastAsia"/>
                      <w:color w:val="auto"/>
                      <w:vertAlign w:val="baseline"/>
                      <w:lang w:val="en-US" w:eastAsia="zh-CN"/>
                    </w:rPr>
                    <w:t>）</w:t>
                  </w:r>
                </w:p>
              </w:tc>
              <w:tc>
                <w:tcPr>
                  <w:tcW w:w="613" w:type="pct"/>
                </w:tcPr>
                <w:p w14:paraId="0AFB26AC">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0.0008</w:t>
                  </w:r>
                </w:p>
              </w:tc>
              <w:tc>
                <w:tcPr>
                  <w:tcW w:w="598" w:type="pct"/>
                </w:tcPr>
                <w:p w14:paraId="56EA9E0C">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0.0010</w:t>
                  </w:r>
                </w:p>
              </w:tc>
              <w:tc>
                <w:tcPr>
                  <w:tcW w:w="704" w:type="pct"/>
                </w:tcPr>
                <w:p w14:paraId="1AFF108B">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0.0012</w:t>
                  </w:r>
                </w:p>
              </w:tc>
              <w:tc>
                <w:tcPr>
                  <w:tcW w:w="656" w:type="pct"/>
                </w:tcPr>
                <w:p w14:paraId="07BC4230">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vertAlign w:val="baseline"/>
                      <w:lang w:val="en-US" w:eastAsia="zh-CN"/>
                    </w:rPr>
                    <w:t>0.0014</w:t>
                  </w:r>
                </w:p>
              </w:tc>
              <w:tc>
                <w:tcPr>
                  <w:tcW w:w="736" w:type="pct"/>
                </w:tcPr>
                <w:p w14:paraId="6C98DFE6">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0.0015</w:t>
                  </w:r>
                </w:p>
              </w:tc>
              <w:tc>
                <w:tcPr>
                  <w:tcW w:w="752" w:type="pct"/>
                </w:tcPr>
                <w:p w14:paraId="4AF2AC84">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0.0016</w:t>
                  </w:r>
                </w:p>
              </w:tc>
            </w:tr>
            <w:tr w14:paraId="12C9B4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6EE4432F">
                  <w:pPr>
                    <w:keepNext w:val="0"/>
                    <w:keepLines w:val="0"/>
                    <w:suppressLineNumbers w:val="0"/>
                    <w:bidi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注：表中进塔大气温度指冷却塔设计干球温度</w:t>
                  </w:r>
                </w:p>
              </w:tc>
            </w:tr>
          </w:tbl>
          <w:p w14:paraId="7781218E">
            <w:pPr>
              <w:keepNext w:val="0"/>
              <w:keepLines w:val="0"/>
              <w:pageBreakBefore w:val="0"/>
              <w:widowControl w:val="0"/>
              <w:suppressLineNumbers w:val="0"/>
              <w:kinsoku/>
              <w:wordWrap w:val="0"/>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default"/>
                <w:color w:val="auto"/>
                <w:sz w:val="24"/>
                <w:szCs w:val="24"/>
              </w:rPr>
            </w:pPr>
            <w:r>
              <w:rPr>
                <w:rFonts w:hint="eastAsia"/>
                <w:color w:val="auto"/>
                <w:sz w:val="24"/>
                <w:szCs w:val="24"/>
              </w:rPr>
              <w:t>本项目废水主要是生活污水，</w:t>
            </w:r>
            <w:r>
              <w:rPr>
                <w:rFonts w:hint="eastAsia"/>
                <w:color w:val="auto"/>
                <w:sz w:val="24"/>
                <w:szCs w:val="24"/>
                <w:lang w:eastAsia="zh-CN"/>
              </w:rPr>
              <w:t>项目劳动定员</w:t>
            </w:r>
            <w:r>
              <w:rPr>
                <w:rFonts w:hint="eastAsia"/>
                <w:color w:val="auto"/>
                <w:sz w:val="24"/>
                <w:szCs w:val="24"/>
                <w:lang w:val="en-US" w:eastAsia="zh-CN"/>
              </w:rPr>
              <w:t>20人，年工作300天，</w:t>
            </w:r>
            <w:r>
              <w:rPr>
                <w:rFonts w:hint="eastAsia"/>
                <w:color w:val="auto"/>
                <w:sz w:val="24"/>
                <w:szCs w:val="24"/>
              </w:rPr>
              <w:t>均来自周边村庄，不在厂区内食宿，</w:t>
            </w:r>
            <w:r>
              <w:rPr>
                <w:rFonts w:hint="eastAsia"/>
                <w:color w:val="auto"/>
                <w:sz w:val="24"/>
                <w:szCs w:val="24"/>
                <w:lang w:val="en-US" w:eastAsia="zh-CN"/>
              </w:rPr>
              <w:t>参考《工业与城镇生活用水定额》（DB41/T 385-2020），员工生活用水量按城镇居民生活用水定额，以90L/人·d计，</w:t>
            </w:r>
            <w:r>
              <w:rPr>
                <w:rFonts w:hint="eastAsia"/>
                <w:color w:val="auto"/>
                <w:sz w:val="24"/>
                <w:szCs w:val="24"/>
              </w:rPr>
              <w:t>则生活用水量</w:t>
            </w:r>
            <w:r>
              <w:rPr>
                <w:rFonts w:hint="eastAsia"/>
                <w:color w:val="auto"/>
                <w:sz w:val="24"/>
                <w:szCs w:val="24"/>
                <w:lang w:eastAsia="zh-CN"/>
              </w:rPr>
              <w:t>为（</w:t>
            </w:r>
            <w:r>
              <w:rPr>
                <w:rFonts w:hint="eastAsia"/>
                <w:color w:val="auto"/>
                <w:sz w:val="24"/>
                <w:szCs w:val="24"/>
                <w:lang w:val="en-US" w:eastAsia="zh-CN"/>
              </w:rPr>
              <w:t>1.8</w:t>
            </w:r>
            <w:r>
              <w:rPr>
                <w:rFonts w:hint="eastAsia"/>
                <w:color w:val="auto"/>
                <w:sz w:val="24"/>
                <w:szCs w:val="24"/>
              </w:rPr>
              <w:t>m</w:t>
            </w:r>
            <w:r>
              <w:rPr>
                <w:rFonts w:hint="eastAsia"/>
                <w:color w:val="auto"/>
                <w:sz w:val="24"/>
                <w:szCs w:val="24"/>
                <w:vertAlign w:val="superscript"/>
                <w:lang w:val="en-US" w:eastAsia="zh-CN"/>
              </w:rPr>
              <w:t>3</w:t>
            </w:r>
            <w:r>
              <w:rPr>
                <w:rFonts w:hint="eastAsia"/>
                <w:color w:val="auto"/>
                <w:sz w:val="24"/>
                <w:szCs w:val="24"/>
              </w:rPr>
              <w:t>/</w:t>
            </w:r>
            <w:r>
              <w:rPr>
                <w:rFonts w:hint="eastAsia"/>
                <w:color w:val="auto"/>
                <w:sz w:val="24"/>
                <w:szCs w:val="24"/>
                <w:lang w:val="en-US" w:eastAsia="zh-CN"/>
              </w:rPr>
              <w:t>d</w:t>
            </w:r>
            <w:r>
              <w:rPr>
                <w:rFonts w:hint="eastAsia"/>
                <w:color w:val="auto"/>
                <w:sz w:val="24"/>
                <w:szCs w:val="24"/>
                <w:lang w:eastAsia="zh-CN"/>
              </w:rPr>
              <w:t>）</w:t>
            </w:r>
            <w:r>
              <w:rPr>
                <w:rFonts w:hint="eastAsia"/>
                <w:color w:val="auto"/>
                <w:sz w:val="24"/>
                <w:szCs w:val="24"/>
                <w:lang w:val="en-US" w:eastAsia="zh-CN"/>
              </w:rPr>
              <w:t>540</w:t>
            </w:r>
            <w:r>
              <w:rPr>
                <w:rFonts w:hint="eastAsia"/>
                <w:color w:val="auto"/>
                <w:sz w:val="24"/>
                <w:szCs w:val="24"/>
              </w:rPr>
              <w:t>m</w:t>
            </w:r>
            <w:r>
              <w:rPr>
                <w:rFonts w:hint="eastAsia"/>
                <w:color w:val="auto"/>
                <w:sz w:val="24"/>
                <w:szCs w:val="24"/>
                <w:vertAlign w:val="superscript"/>
                <w:lang w:val="en-US" w:eastAsia="zh-CN"/>
              </w:rPr>
              <w:t>3</w:t>
            </w:r>
            <w:r>
              <w:rPr>
                <w:rFonts w:hint="eastAsia"/>
                <w:color w:val="auto"/>
                <w:sz w:val="24"/>
                <w:szCs w:val="24"/>
              </w:rPr>
              <w:t>/a，生活污水产生量按用水量80%计，则生活污水量约为</w:t>
            </w:r>
            <w:r>
              <w:rPr>
                <w:rFonts w:hint="eastAsia"/>
                <w:color w:val="auto"/>
                <w:sz w:val="24"/>
                <w:szCs w:val="24"/>
                <w:lang w:val="en-US" w:eastAsia="zh-CN"/>
              </w:rPr>
              <w:t>1.44</w:t>
            </w:r>
            <w:r>
              <w:rPr>
                <w:rFonts w:hint="eastAsia"/>
                <w:color w:val="auto"/>
                <w:sz w:val="24"/>
                <w:szCs w:val="24"/>
              </w:rPr>
              <w:t>m</w:t>
            </w:r>
            <w:r>
              <w:rPr>
                <w:rFonts w:hint="eastAsia"/>
                <w:color w:val="auto"/>
                <w:sz w:val="24"/>
                <w:szCs w:val="24"/>
                <w:vertAlign w:val="superscript"/>
                <w:lang w:val="en-US" w:eastAsia="zh-CN"/>
              </w:rPr>
              <w:t>3</w:t>
            </w:r>
            <w:r>
              <w:rPr>
                <w:rFonts w:hint="eastAsia"/>
                <w:color w:val="auto"/>
                <w:sz w:val="24"/>
                <w:szCs w:val="24"/>
              </w:rPr>
              <w:t>/</w:t>
            </w:r>
            <w:r>
              <w:rPr>
                <w:rFonts w:hint="eastAsia"/>
                <w:color w:val="auto"/>
                <w:sz w:val="24"/>
                <w:szCs w:val="24"/>
                <w:lang w:val="en-US" w:eastAsia="zh-CN"/>
              </w:rPr>
              <w:t>d</w:t>
            </w:r>
            <w:r>
              <w:rPr>
                <w:rFonts w:hint="eastAsia"/>
                <w:color w:val="auto"/>
                <w:sz w:val="24"/>
                <w:szCs w:val="24"/>
              </w:rPr>
              <w:t>（</w:t>
            </w:r>
            <w:r>
              <w:rPr>
                <w:rFonts w:hint="eastAsia"/>
                <w:color w:val="auto"/>
                <w:sz w:val="24"/>
                <w:szCs w:val="24"/>
                <w:lang w:val="en-US" w:eastAsia="zh-CN"/>
              </w:rPr>
              <w:t>432</w:t>
            </w:r>
            <w:r>
              <w:rPr>
                <w:rFonts w:hint="eastAsia"/>
                <w:color w:val="auto"/>
                <w:sz w:val="24"/>
                <w:szCs w:val="24"/>
              </w:rPr>
              <w:t>m</w:t>
            </w:r>
            <w:r>
              <w:rPr>
                <w:rFonts w:hint="eastAsia"/>
                <w:color w:val="auto"/>
                <w:sz w:val="24"/>
                <w:szCs w:val="24"/>
                <w:vertAlign w:val="superscript"/>
                <w:lang w:val="en-US" w:eastAsia="zh-CN"/>
              </w:rPr>
              <w:t>3</w:t>
            </w:r>
            <w:r>
              <w:rPr>
                <w:rFonts w:hint="eastAsia"/>
                <w:color w:val="auto"/>
                <w:sz w:val="24"/>
                <w:szCs w:val="24"/>
              </w:rPr>
              <w:t>/a）</w:t>
            </w:r>
            <w:r>
              <w:rPr>
                <w:rFonts w:hint="eastAsia"/>
                <w:color w:val="auto"/>
                <w:sz w:val="24"/>
                <w:szCs w:val="24"/>
                <w:lang w:eastAsia="zh-CN"/>
              </w:rPr>
              <w:t>，生活污水经</w:t>
            </w:r>
            <w:r>
              <w:rPr>
                <w:rFonts w:hint="eastAsia"/>
                <w:color w:val="auto"/>
                <w:sz w:val="24"/>
                <w:szCs w:val="24"/>
                <w:lang w:val="en-US" w:eastAsia="zh-CN"/>
              </w:rPr>
              <w:t>化粪池（10m</w:t>
            </w:r>
            <w:r>
              <w:rPr>
                <w:rFonts w:hint="eastAsia"/>
                <w:color w:val="auto"/>
                <w:sz w:val="24"/>
                <w:szCs w:val="24"/>
                <w:vertAlign w:val="superscript"/>
                <w:lang w:val="en-US" w:eastAsia="zh-CN"/>
              </w:rPr>
              <w:t>3</w:t>
            </w:r>
            <w:r>
              <w:rPr>
                <w:rFonts w:hint="eastAsia"/>
                <w:color w:val="auto"/>
                <w:sz w:val="24"/>
                <w:szCs w:val="24"/>
                <w:lang w:val="en-US" w:eastAsia="zh-CN"/>
              </w:rPr>
              <w:t>）预处理后排入汤阴固现污水处理有限公司</w:t>
            </w:r>
            <w:r>
              <w:rPr>
                <w:rFonts w:hint="eastAsia"/>
                <w:color w:val="auto"/>
                <w:sz w:val="24"/>
                <w:szCs w:val="24"/>
              </w:rPr>
              <w:t>。</w:t>
            </w:r>
          </w:p>
          <w:p w14:paraId="242BF02C">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cs="Times New Roman"/>
                <w:color w:val="auto"/>
                <w:sz w:val="24"/>
                <w:highlight w:val="none"/>
                <w:lang w:eastAsia="zh-CN"/>
              </w:rPr>
            </w:pPr>
            <w:r>
              <w:rPr>
                <w:rFonts w:hint="default" w:ascii="Times New Roman" w:hAnsi="Times New Roman" w:eastAsia="Times New Roman" w:cs="Times New Roman"/>
                <w:color w:val="auto"/>
                <w:sz w:val="24"/>
                <w:highlight w:val="none"/>
              </w:rPr>
              <w:t>项目水平衡分析图如下</w:t>
            </w:r>
            <w:r>
              <w:rPr>
                <w:rFonts w:hint="eastAsia" w:eastAsia="宋体" w:cs="Times New Roman"/>
                <w:color w:val="auto"/>
                <w:sz w:val="24"/>
                <w:highlight w:val="none"/>
                <w:lang w:eastAsia="zh-CN"/>
              </w:rPr>
              <w:t>：</w:t>
            </w:r>
          </w:p>
          <w:p w14:paraId="1C84439B">
            <w:pPr>
              <w:keepNext w:val="0"/>
              <w:keepLines w:val="0"/>
              <w:suppressLineNumbers w:val="0"/>
              <w:adjustRightInd w:val="0"/>
              <w:snapToGrid w:val="0"/>
              <w:spacing w:before="0" w:beforeAutospacing="0" w:after="0" w:afterAutospacing="0" w:line="360" w:lineRule="auto"/>
              <w:ind w:left="0" w:right="0" w:firstLine="420" w:firstLineChars="200"/>
              <w:rPr>
                <w:rFonts w:hint="default" w:eastAsia="宋体" w:cs="Times New Roman"/>
                <w:b/>
                <w:bCs/>
                <w:color w:val="auto"/>
                <w:sz w:val="24"/>
                <w:highlight w:val="none"/>
                <w:lang w:eastAsia="zh-CN"/>
              </w:rPr>
            </w:pPr>
            <w:r>
              <w:rPr>
                <w:rFonts w:hint="eastAsia" w:eastAsiaTheme="minorEastAsia"/>
                <w:color w:val="auto"/>
                <w:lang w:eastAsia="zh-CN"/>
              </w:rPr>
              <w:drawing>
                <wp:inline distT="0" distB="0" distL="114300" distR="114300">
                  <wp:extent cx="4662170" cy="1815465"/>
                  <wp:effectExtent l="0" t="0" r="5080" b="13970"/>
                  <wp:docPr id="1" name="ECB019B1-382A-4266-B25C-5B523AA43C14-1" descr="C:/Users/Administrator/AppData/Local/Temp/wps.yITAi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yITAiJwps"/>
                          <pic:cNvPicPr>
                            <a:picLocks noChangeAspect="1"/>
                          </pic:cNvPicPr>
                        </pic:nvPicPr>
                        <pic:blipFill>
                          <a:blip r:embed="rId10"/>
                          <a:stretch>
                            <a:fillRect/>
                          </a:stretch>
                        </pic:blipFill>
                        <pic:spPr>
                          <a:xfrm>
                            <a:off x="0" y="0"/>
                            <a:ext cx="4662170" cy="1815465"/>
                          </a:xfrm>
                          <a:prstGeom prst="rect">
                            <a:avLst/>
                          </a:prstGeom>
                        </pic:spPr>
                      </pic:pic>
                    </a:graphicData>
                  </a:graphic>
                </wp:inline>
              </w:drawing>
            </w:r>
          </w:p>
          <w:p w14:paraId="6F83676F">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eastAsia"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rPr>
              <w:t>水平衡图    单位：m</w:t>
            </w:r>
            <w:r>
              <w:rPr>
                <w:rFonts w:hint="default" w:ascii="Times New Roman" w:hAnsi="Times New Roman" w:eastAsia="Times New Roman" w:cs="Times New Roman"/>
                <w:b/>
                <w:color w:val="auto"/>
                <w:sz w:val="24"/>
                <w:highlight w:val="none"/>
                <w:vertAlign w:val="superscript"/>
              </w:rPr>
              <w:t>3</w:t>
            </w:r>
            <w:r>
              <w:rPr>
                <w:rFonts w:hint="default" w:ascii="Times New Roman" w:hAnsi="Times New Roman" w:eastAsia="Times New Roman" w:cs="Times New Roman"/>
                <w:b/>
                <w:color w:val="auto"/>
                <w:sz w:val="24"/>
                <w:highlight w:val="none"/>
              </w:rPr>
              <w:t>/</w:t>
            </w:r>
            <w:r>
              <w:rPr>
                <w:rFonts w:hint="eastAsia" w:eastAsia="宋体" w:cs="Times New Roman"/>
                <w:b/>
                <w:color w:val="auto"/>
                <w:sz w:val="24"/>
                <w:highlight w:val="none"/>
                <w:lang w:val="en-US" w:eastAsia="zh-CN"/>
              </w:rPr>
              <w:t>a</w:t>
            </w:r>
          </w:p>
          <w:p w14:paraId="1876580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highlight w:val="none"/>
                <w:lang w:val="en-US" w:eastAsia="zh-CN"/>
              </w:rPr>
            </w:pPr>
            <w:r>
              <w:rPr>
                <w:rFonts w:hint="eastAsia" w:eastAsia="Times New Roman" w:cs="Times New Roman"/>
                <w:b/>
                <w:color w:val="auto"/>
                <w:sz w:val="24"/>
                <w:highlight w:val="none"/>
                <w:lang w:val="en-US" w:eastAsia="zh-CN"/>
              </w:rPr>
              <w:t>9</w:t>
            </w:r>
            <w:r>
              <w:rPr>
                <w:rFonts w:hint="default" w:ascii="Times New Roman" w:hAnsi="Times New Roman" w:eastAsia="Times New Roman" w:cs="Times New Roman"/>
                <w:b/>
                <w:color w:val="auto"/>
                <w:sz w:val="24"/>
                <w:highlight w:val="none"/>
                <w:lang w:val="en-US" w:eastAsia="zh-CN"/>
              </w:rPr>
              <w:t>.项目物料平衡</w:t>
            </w:r>
            <w:r>
              <w:rPr>
                <w:rFonts w:hint="eastAsia" w:eastAsia="Times New Roman" w:cs="Times New Roman"/>
                <w:b/>
                <w:color w:val="auto"/>
                <w:sz w:val="24"/>
                <w:highlight w:val="none"/>
                <w:lang w:val="en-US" w:eastAsia="zh-CN"/>
              </w:rPr>
              <w:t>表</w:t>
            </w:r>
          </w:p>
          <w:p w14:paraId="4B36E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b w:val="0"/>
                <w:bCs/>
                <w:color w:val="auto"/>
                <w:sz w:val="24"/>
                <w:highlight w:val="none"/>
                <w:lang w:val="en-US" w:eastAsia="zh-CN"/>
              </w:rPr>
            </w:pPr>
            <w:r>
              <w:rPr>
                <w:rFonts w:hint="default" w:ascii="Times New Roman" w:hAnsi="Times New Roman" w:eastAsia="Times New Roman" w:cs="Times New Roman"/>
                <w:b w:val="0"/>
                <w:bCs/>
                <w:color w:val="auto"/>
                <w:sz w:val="24"/>
                <w:highlight w:val="none"/>
                <w:lang w:val="en-US" w:eastAsia="zh-CN"/>
              </w:rPr>
              <w:t>项目物料平衡分析</w:t>
            </w:r>
            <w:r>
              <w:rPr>
                <w:rFonts w:hint="eastAsia" w:eastAsia="Times New Roman" w:cs="Times New Roman"/>
                <w:b w:val="0"/>
                <w:bCs/>
                <w:color w:val="auto"/>
                <w:sz w:val="24"/>
                <w:highlight w:val="none"/>
                <w:lang w:val="en-US" w:eastAsia="zh-CN"/>
              </w:rPr>
              <w:t>表</w:t>
            </w:r>
            <w:r>
              <w:rPr>
                <w:rFonts w:hint="default" w:ascii="Times New Roman" w:hAnsi="Times New Roman" w:eastAsia="Times New Roman" w:cs="Times New Roman"/>
                <w:b w:val="0"/>
                <w:bCs/>
                <w:color w:val="auto"/>
                <w:sz w:val="24"/>
                <w:highlight w:val="none"/>
                <w:lang w:val="en-US" w:eastAsia="zh-CN"/>
              </w:rPr>
              <w:t>如下：</w:t>
            </w:r>
          </w:p>
          <w:p w14:paraId="7D53DB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项目物料平衡分析</w:t>
            </w:r>
            <w:r>
              <w:rPr>
                <w:rFonts w:hint="eastAsia" w:eastAsia="Times New Roman" w:cs="Times New Roman"/>
                <w:b/>
                <w:bCs w:val="0"/>
                <w:color w:val="auto"/>
                <w:sz w:val="24"/>
                <w:highlight w:val="none"/>
                <w:lang w:val="en-US" w:eastAsia="zh-CN"/>
              </w:rPr>
              <w:t>表</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1732"/>
              <w:gridCol w:w="2613"/>
              <w:gridCol w:w="1639"/>
            </w:tblGrid>
            <w:tr w14:paraId="42E748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4" w:type="pct"/>
                  <w:gridSpan w:val="2"/>
                  <w:tcBorders>
                    <w:tl2br w:val="nil"/>
                    <w:tr2bl w:val="nil"/>
                  </w:tcBorders>
                  <w:noWrap w:val="0"/>
                  <w:vAlign w:val="center"/>
                </w:tcPr>
                <w:p w14:paraId="615F2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napToGrid w:val="0"/>
                      <w:color w:val="auto"/>
                      <w:kern w:val="21"/>
                      <w:sz w:val="21"/>
                      <w:szCs w:val="21"/>
                      <w:u w:val="none"/>
                      <w:vertAlign w:val="baseline"/>
                      <w:lang w:val="en-US" w:eastAsia="zh-CN"/>
                    </w:rPr>
                  </w:pPr>
                  <w:r>
                    <w:rPr>
                      <w:rFonts w:hint="eastAsia" w:ascii="Times New Roman" w:hAnsi="Times New Roman" w:eastAsia="宋体" w:cs="Times New Roman"/>
                      <w:b/>
                      <w:bCs/>
                      <w:snapToGrid w:val="0"/>
                      <w:color w:val="auto"/>
                      <w:kern w:val="21"/>
                      <w:sz w:val="21"/>
                      <w:szCs w:val="21"/>
                      <w:u w:val="none"/>
                      <w:vertAlign w:val="baseline"/>
                      <w:lang w:val="en-US" w:eastAsia="zh-CN"/>
                    </w:rPr>
                    <w:t>投入</w:t>
                  </w:r>
                </w:p>
              </w:tc>
              <w:tc>
                <w:tcPr>
                  <w:tcW w:w="2615" w:type="pct"/>
                  <w:gridSpan w:val="2"/>
                  <w:tcBorders>
                    <w:tl2br w:val="nil"/>
                    <w:tr2bl w:val="nil"/>
                  </w:tcBorders>
                  <w:noWrap w:val="0"/>
                  <w:vAlign w:val="center"/>
                </w:tcPr>
                <w:p w14:paraId="726A2B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napToGrid w:val="0"/>
                      <w:color w:val="auto"/>
                      <w:kern w:val="21"/>
                      <w:sz w:val="21"/>
                      <w:szCs w:val="21"/>
                      <w:u w:val="none"/>
                      <w:vertAlign w:val="baseline"/>
                      <w:lang w:val="en-US" w:eastAsia="zh-CN"/>
                    </w:rPr>
                  </w:pPr>
                  <w:r>
                    <w:rPr>
                      <w:rFonts w:hint="eastAsia" w:ascii="Times New Roman" w:hAnsi="Times New Roman" w:eastAsia="宋体" w:cs="Times New Roman"/>
                      <w:b/>
                      <w:bCs/>
                      <w:snapToGrid w:val="0"/>
                      <w:color w:val="auto"/>
                      <w:kern w:val="21"/>
                      <w:sz w:val="21"/>
                      <w:szCs w:val="21"/>
                      <w:u w:val="none"/>
                      <w:vertAlign w:val="baseline"/>
                      <w:lang w:val="en-US" w:eastAsia="zh-CN"/>
                    </w:rPr>
                    <w:t>产出</w:t>
                  </w:r>
                </w:p>
              </w:tc>
            </w:tr>
            <w:tr w14:paraId="5D0345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42E88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90"/>
                      <w:rFonts w:hint="eastAsia"/>
                      <w:color w:val="auto"/>
                      <w:sz w:val="21"/>
                      <w:szCs w:val="21"/>
                      <w:u w:val="none"/>
                      <w:lang w:eastAsia="zh-CN"/>
                    </w:rPr>
                  </w:pPr>
                  <w:bookmarkStart w:id="5" w:name="OLE_LINK70" w:colFirst="3" w:colLast="3"/>
                  <w:bookmarkStart w:id="6" w:name="OLE_LINK304" w:colFirst="3" w:colLast="3"/>
                  <w:r>
                    <w:rPr>
                      <w:rStyle w:val="90"/>
                      <w:rFonts w:hint="eastAsia"/>
                      <w:color w:val="auto"/>
                      <w:sz w:val="21"/>
                      <w:szCs w:val="21"/>
                      <w:u w:val="none"/>
                      <w:lang w:eastAsia="zh-CN"/>
                    </w:rPr>
                    <w:t>名称</w:t>
                  </w:r>
                </w:p>
              </w:tc>
              <w:tc>
                <w:tcPr>
                  <w:tcW w:w="1064" w:type="pct"/>
                  <w:tcBorders>
                    <w:tl2br w:val="nil"/>
                    <w:tr2bl w:val="nil"/>
                  </w:tcBorders>
                  <w:noWrap w:val="0"/>
                  <w:vAlign w:val="center"/>
                </w:tcPr>
                <w:p w14:paraId="44D777D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投入量（t/a）</w:t>
                  </w:r>
                </w:p>
              </w:tc>
              <w:tc>
                <w:tcPr>
                  <w:tcW w:w="1607" w:type="pct"/>
                  <w:tcBorders>
                    <w:tl2br w:val="nil"/>
                    <w:tr2bl w:val="nil"/>
                  </w:tcBorders>
                  <w:noWrap w:val="0"/>
                  <w:vAlign w:val="center"/>
                </w:tcPr>
                <w:p w14:paraId="18A257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kern w:val="2"/>
                      <w:sz w:val="21"/>
                      <w:szCs w:val="21"/>
                      <w:u w:val="none"/>
                      <w:lang w:val="en-US" w:eastAsia="zh-CN"/>
                    </w:rPr>
                  </w:pPr>
                  <w:r>
                    <w:rPr>
                      <w:rFonts w:hint="eastAsia" w:cs="Times New Roman"/>
                      <w:color w:val="auto"/>
                      <w:kern w:val="2"/>
                      <w:sz w:val="21"/>
                      <w:szCs w:val="21"/>
                      <w:u w:val="none"/>
                      <w:lang w:val="en-US" w:eastAsia="zh-CN"/>
                    </w:rPr>
                    <w:t>名称</w:t>
                  </w:r>
                </w:p>
              </w:tc>
              <w:tc>
                <w:tcPr>
                  <w:tcW w:w="1008" w:type="pct"/>
                  <w:tcBorders>
                    <w:tl2br w:val="nil"/>
                    <w:tr2bl w:val="nil"/>
                  </w:tcBorders>
                  <w:noWrap w:val="0"/>
                  <w:vAlign w:val="center"/>
                </w:tcPr>
                <w:p w14:paraId="70375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产生量（t/a）</w:t>
                  </w:r>
                </w:p>
              </w:tc>
            </w:tr>
            <w:tr w14:paraId="58A34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pct"/>
                  <w:tcBorders>
                    <w:tl2br w:val="nil"/>
                    <w:tr2bl w:val="nil"/>
                  </w:tcBorders>
                  <w:noWrap w:val="0"/>
                  <w:vAlign w:val="center"/>
                </w:tcPr>
                <w:p w14:paraId="1D2CA88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u w:val="none"/>
                      <w:vertAlign w:val="baseline"/>
                      <w:lang w:val="en-US" w:eastAsia="zh-CN"/>
                    </w:rPr>
                  </w:pPr>
                  <w:r>
                    <w:rPr>
                      <w:rFonts w:hint="default" w:ascii="Times New Roman" w:hAnsi="Times New Roman" w:cs="Times New Roman"/>
                      <w:color w:val="auto"/>
                      <w:sz w:val="21"/>
                      <w:szCs w:val="21"/>
                    </w:rPr>
                    <w:t>聚乙烯颗粒</w:t>
                  </w:r>
                </w:p>
              </w:tc>
              <w:tc>
                <w:tcPr>
                  <w:tcW w:w="1775" w:type="dxa"/>
                  <w:tcBorders>
                    <w:tl2br w:val="nil"/>
                    <w:tr2bl w:val="nil"/>
                  </w:tcBorders>
                  <w:noWrap w:val="0"/>
                  <w:vAlign w:val="center"/>
                </w:tcPr>
                <w:p w14:paraId="0E7D74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2589.5175</w:t>
                  </w:r>
                </w:p>
              </w:tc>
              <w:tc>
                <w:tcPr>
                  <w:tcW w:w="1607" w:type="pct"/>
                  <w:vMerge w:val="restart"/>
                  <w:tcBorders>
                    <w:tl2br w:val="nil"/>
                    <w:tr2bl w:val="nil"/>
                  </w:tcBorders>
                  <w:noWrap w:val="0"/>
                  <w:vAlign w:val="center"/>
                </w:tcPr>
                <w:p w14:paraId="2936F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ascii="Times New Roman" w:hAnsi="Times New Roman" w:eastAsia="宋体" w:cs="Times New Roman"/>
                      <w:snapToGrid w:val="0"/>
                      <w:color w:val="auto"/>
                      <w:kern w:val="21"/>
                      <w:sz w:val="21"/>
                      <w:szCs w:val="21"/>
                      <w:u w:val="none"/>
                      <w:vertAlign w:val="baseline"/>
                      <w:lang w:val="en-US" w:eastAsia="zh-CN"/>
                    </w:rPr>
                    <w:t>编织水带</w:t>
                  </w:r>
                </w:p>
              </w:tc>
              <w:tc>
                <w:tcPr>
                  <w:tcW w:w="1639" w:type="dxa"/>
                  <w:vMerge w:val="restart"/>
                  <w:tcBorders>
                    <w:tl2br w:val="nil"/>
                    <w:tr2bl w:val="nil"/>
                  </w:tcBorders>
                  <w:noWrap w:val="0"/>
                  <w:vAlign w:val="center"/>
                </w:tcPr>
                <w:p w14:paraId="17624F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5618.956</w:t>
                  </w:r>
                </w:p>
              </w:tc>
            </w:tr>
            <w:tr w14:paraId="649A3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50EB60C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u w:val="none"/>
                      <w:vertAlign w:val="baseline"/>
                      <w:lang w:val="en-US" w:eastAsia="zh-CN"/>
                    </w:rPr>
                  </w:pPr>
                  <w:r>
                    <w:rPr>
                      <w:rFonts w:hint="default" w:ascii="Times New Roman" w:hAnsi="Times New Roman" w:cs="Times New Roman"/>
                      <w:color w:val="auto"/>
                      <w:sz w:val="21"/>
                      <w:szCs w:val="21"/>
                    </w:rPr>
                    <w:t>热熔胶颗粒</w:t>
                  </w:r>
                </w:p>
              </w:tc>
              <w:tc>
                <w:tcPr>
                  <w:tcW w:w="1775" w:type="dxa"/>
                  <w:tcBorders>
                    <w:tl2br w:val="nil"/>
                    <w:tr2bl w:val="nil"/>
                  </w:tcBorders>
                  <w:noWrap w:val="0"/>
                  <w:vAlign w:val="center"/>
                </w:tcPr>
                <w:p w14:paraId="1EA694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18</w:t>
                  </w:r>
                </w:p>
              </w:tc>
              <w:tc>
                <w:tcPr>
                  <w:tcW w:w="1607" w:type="pct"/>
                  <w:vMerge w:val="continue"/>
                  <w:tcBorders>
                    <w:tl2br w:val="nil"/>
                    <w:tr2bl w:val="nil"/>
                  </w:tcBorders>
                  <w:noWrap w:val="0"/>
                  <w:vAlign w:val="center"/>
                </w:tcPr>
                <w:p w14:paraId="251C5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p>
              </w:tc>
              <w:tc>
                <w:tcPr>
                  <w:tcW w:w="1008" w:type="pct"/>
                  <w:vMerge w:val="continue"/>
                  <w:tcBorders>
                    <w:tl2br w:val="nil"/>
                    <w:tr2bl w:val="nil"/>
                  </w:tcBorders>
                  <w:noWrap w:val="0"/>
                  <w:vAlign w:val="center"/>
                </w:tcPr>
                <w:p w14:paraId="250B29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p>
              </w:tc>
            </w:tr>
            <w:tr w14:paraId="2A6BF6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61140C9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snapToGrid w:val="0"/>
                      <w:color w:val="auto"/>
                      <w:kern w:val="21"/>
                      <w:sz w:val="21"/>
                      <w:szCs w:val="21"/>
                      <w:u w:val="none"/>
                      <w:vertAlign w:val="baseline"/>
                      <w:lang w:val="en-US" w:eastAsia="zh-CN"/>
                    </w:rPr>
                  </w:pPr>
                  <w:r>
                    <w:rPr>
                      <w:rFonts w:hint="default" w:ascii="Times New Roman" w:hAnsi="Times New Roman" w:cs="Times New Roman"/>
                      <w:color w:val="auto"/>
                      <w:sz w:val="21"/>
                      <w:szCs w:val="21"/>
                    </w:rPr>
                    <w:t>丙纶丝</w:t>
                  </w:r>
                </w:p>
              </w:tc>
              <w:tc>
                <w:tcPr>
                  <w:tcW w:w="1775" w:type="dxa"/>
                  <w:tcBorders>
                    <w:tl2br w:val="nil"/>
                    <w:tr2bl w:val="nil"/>
                  </w:tcBorders>
                  <w:noWrap w:val="0"/>
                  <w:vAlign w:val="center"/>
                </w:tcPr>
                <w:p w14:paraId="40AF19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1575</w:t>
                  </w:r>
                </w:p>
              </w:tc>
              <w:tc>
                <w:tcPr>
                  <w:tcW w:w="1607" w:type="pct"/>
                  <w:tcBorders>
                    <w:tl2br w:val="nil"/>
                    <w:tr2bl w:val="nil"/>
                  </w:tcBorders>
                  <w:noWrap w:val="0"/>
                  <w:vAlign w:val="center"/>
                </w:tcPr>
                <w:p w14:paraId="174D8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ascii="Times New Roman" w:hAnsi="Times New Roman" w:eastAsia="宋体" w:cs="Times New Roman"/>
                      <w:snapToGrid w:val="0"/>
                      <w:color w:val="auto"/>
                      <w:kern w:val="21"/>
                      <w:sz w:val="21"/>
                      <w:szCs w:val="21"/>
                      <w:u w:val="none"/>
                      <w:vertAlign w:val="baseline"/>
                      <w:lang w:val="en-US" w:eastAsia="zh-CN"/>
                    </w:rPr>
                    <w:t>有组织排放VOCs</w:t>
                  </w:r>
                </w:p>
              </w:tc>
              <w:tc>
                <w:tcPr>
                  <w:tcW w:w="1639" w:type="dxa"/>
                  <w:tcBorders>
                    <w:tl2br w:val="nil"/>
                    <w:tr2bl w:val="nil"/>
                  </w:tcBorders>
                  <w:noWrap w:val="0"/>
                  <w:vAlign w:val="center"/>
                </w:tcPr>
                <w:p w14:paraId="1ABD5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0.3715</w:t>
                  </w:r>
                </w:p>
              </w:tc>
            </w:tr>
            <w:tr w14:paraId="7DCC69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pct"/>
                  <w:tcBorders>
                    <w:tl2br w:val="nil"/>
                    <w:tr2bl w:val="nil"/>
                  </w:tcBorders>
                  <w:noWrap w:val="0"/>
                  <w:vAlign w:val="center"/>
                </w:tcPr>
                <w:p w14:paraId="0E95DE7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color w:val="auto"/>
                      <w:sz w:val="21"/>
                      <w:szCs w:val="21"/>
                      <w:lang w:eastAsia="zh-CN"/>
                    </w:rPr>
                    <w:t>聚乙烯丝</w:t>
                  </w:r>
                </w:p>
              </w:tc>
              <w:tc>
                <w:tcPr>
                  <w:tcW w:w="1775" w:type="dxa"/>
                  <w:tcBorders>
                    <w:tl2br w:val="nil"/>
                    <w:tr2bl w:val="nil"/>
                  </w:tcBorders>
                  <w:noWrap w:val="0"/>
                  <w:vAlign w:val="center"/>
                </w:tcPr>
                <w:p w14:paraId="11A8CB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 w:val="21"/>
                      <w:szCs w:val="21"/>
                      <w:u w:val="none"/>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1443</w:t>
                  </w:r>
                </w:p>
              </w:tc>
              <w:tc>
                <w:tcPr>
                  <w:tcW w:w="1607" w:type="pct"/>
                  <w:tcBorders>
                    <w:tl2br w:val="nil"/>
                    <w:tr2bl w:val="nil"/>
                  </w:tcBorders>
                  <w:noWrap w:val="0"/>
                  <w:vAlign w:val="center"/>
                </w:tcPr>
                <w:p w14:paraId="02BF9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无组织排放</w:t>
                  </w:r>
                  <w:r>
                    <w:rPr>
                      <w:rFonts w:hint="eastAsia" w:ascii="Times New Roman" w:hAnsi="Times New Roman" w:eastAsia="宋体" w:cs="Times New Roman"/>
                      <w:snapToGrid w:val="0"/>
                      <w:color w:val="auto"/>
                      <w:kern w:val="21"/>
                      <w:sz w:val="21"/>
                      <w:szCs w:val="21"/>
                      <w:u w:val="none"/>
                      <w:vertAlign w:val="baseline"/>
                      <w:lang w:val="en-US" w:eastAsia="zh-CN"/>
                    </w:rPr>
                    <w:t>VOCs</w:t>
                  </w:r>
                </w:p>
              </w:tc>
              <w:tc>
                <w:tcPr>
                  <w:tcW w:w="1639" w:type="dxa"/>
                  <w:tcBorders>
                    <w:tl2br w:val="nil"/>
                    <w:tr2bl w:val="nil"/>
                  </w:tcBorders>
                  <w:noWrap w:val="0"/>
                  <w:vAlign w:val="center"/>
                </w:tcPr>
                <w:p w14:paraId="58FD4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0.3259</w:t>
                  </w:r>
                </w:p>
              </w:tc>
            </w:tr>
            <w:tr w14:paraId="2AA630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19" w:type="pct"/>
                  <w:tcBorders>
                    <w:tl2br w:val="nil"/>
                    <w:tr2bl w:val="nil"/>
                  </w:tcBorders>
                  <w:noWrap w:val="0"/>
                  <w:vAlign w:val="center"/>
                </w:tcPr>
                <w:p w14:paraId="1FBFF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ascii="Times New Roman" w:hAnsi="Times New Roman" w:eastAsia="宋体" w:cs="Times New Roman"/>
                      <w:snapToGrid w:val="0"/>
                      <w:color w:val="auto"/>
                      <w:kern w:val="21"/>
                      <w:sz w:val="21"/>
                      <w:szCs w:val="21"/>
                      <w:u w:val="none"/>
                      <w:vertAlign w:val="baseline"/>
                      <w:lang w:val="en-US" w:eastAsia="zh-CN"/>
                    </w:rPr>
                    <w:t>水性墨水</w:t>
                  </w:r>
                </w:p>
              </w:tc>
              <w:tc>
                <w:tcPr>
                  <w:tcW w:w="1732" w:type="dxa"/>
                  <w:tcBorders>
                    <w:tl2br w:val="nil"/>
                    <w:tr2bl w:val="nil"/>
                  </w:tcBorders>
                  <w:noWrap w:val="0"/>
                  <w:vAlign w:val="center"/>
                </w:tcPr>
                <w:p w14:paraId="1AE6E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ascii="Times New Roman" w:hAnsi="Times New Roman" w:eastAsia="宋体" w:cs="Times New Roman"/>
                      <w:snapToGrid w:val="0"/>
                      <w:color w:val="auto"/>
                      <w:kern w:val="21"/>
                      <w:sz w:val="21"/>
                      <w:szCs w:val="21"/>
                      <w:u w:val="none"/>
                      <w:vertAlign w:val="baseline"/>
                      <w:lang w:val="en-US" w:eastAsia="zh-CN"/>
                    </w:rPr>
                    <w:t>0.01</w:t>
                  </w:r>
                </w:p>
              </w:tc>
              <w:tc>
                <w:tcPr>
                  <w:tcW w:w="1607" w:type="pct"/>
                  <w:tcBorders>
                    <w:tl2br w:val="nil"/>
                    <w:tr2bl w:val="nil"/>
                  </w:tcBorders>
                  <w:noWrap w:val="0"/>
                  <w:vAlign w:val="center"/>
                </w:tcPr>
                <w:p w14:paraId="78092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边角料、不合格产品</w:t>
                  </w:r>
                </w:p>
              </w:tc>
              <w:tc>
                <w:tcPr>
                  <w:tcW w:w="1639" w:type="dxa"/>
                  <w:tcBorders>
                    <w:tl2br w:val="nil"/>
                    <w:tr2bl w:val="nil"/>
                  </w:tcBorders>
                  <w:noWrap w:val="0"/>
                  <w:vAlign w:val="center"/>
                </w:tcPr>
                <w:p w14:paraId="29118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19.6663</w:t>
                  </w:r>
                </w:p>
              </w:tc>
            </w:tr>
            <w:tr w14:paraId="29813E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319" w:type="pct"/>
                  <w:tcBorders>
                    <w:tl2br w:val="nil"/>
                    <w:tr2bl w:val="nil"/>
                  </w:tcBorders>
                  <w:noWrap w:val="0"/>
                  <w:vAlign w:val="center"/>
                </w:tcPr>
                <w:p w14:paraId="6D996A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边角料、不合格产品</w:t>
                  </w:r>
                </w:p>
              </w:tc>
              <w:tc>
                <w:tcPr>
                  <w:tcW w:w="1732" w:type="dxa"/>
                  <w:tcBorders>
                    <w:tl2br w:val="nil"/>
                    <w:tr2bl w:val="nil"/>
                  </w:tcBorders>
                  <w:noWrap w:val="0"/>
                  <w:vAlign w:val="center"/>
                </w:tcPr>
                <w:p w14:paraId="16B1EB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19.6663</w:t>
                  </w:r>
                </w:p>
              </w:tc>
              <w:tc>
                <w:tcPr>
                  <w:tcW w:w="1607" w:type="pct"/>
                  <w:tcBorders>
                    <w:tl2br w:val="nil"/>
                    <w:tr2bl w:val="nil"/>
                  </w:tcBorders>
                  <w:noWrap w:val="0"/>
                  <w:vAlign w:val="center"/>
                </w:tcPr>
                <w:p w14:paraId="5AA4EB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活性炭脱附</w:t>
                  </w:r>
                  <w:r>
                    <w:rPr>
                      <w:rFonts w:hint="eastAsia" w:ascii="Times New Roman" w:hAnsi="Times New Roman" w:eastAsia="宋体" w:cs="Times New Roman"/>
                      <w:snapToGrid w:val="0"/>
                      <w:color w:val="auto"/>
                      <w:kern w:val="21"/>
                      <w:sz w:val="21"/>
                      <w:szCs w:val="21"/>
                      <w:u w:val="none"/>
                      <w:vertAlign w:val="baseline"/>
                      <w:lang w:val="en-US" w:eastAsia="zh-CN"/>
                    </w:rPr>
                    <w:t>VOCs</w:t>
                  </w:r>
                </w:p>
              </w:tc>
              <w:tc>
                <w:tcPr>
                  <w:tcW w:w="1639" w:type="dxa"/>
                  <w:tcBorders>
                    <w:tl2br w:val="nil"/>
                    <w:tr2bl w:val="nil"/>
                  </w:tcBorders>
                  <w:noWrap w:val="0"/>
                  <w:vAlign w:val="center"/>
                </w:tcPr>
                <w:p w14:paraId="6AAEDC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5.8741</w:t>
                  </w:r>
                </w:p>
              </w:tc>
            </w:tr>
            <w:bookmarkEnd w:id="5"/>
            <w:tr w14:paraId="3F40F8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19" w:type="pct"/>
                  <w:tcBorders>
                    <w:tl2br w:val="nil"/>
                    <w:tr2bl w:val="nil"/>
                  </w:tcBorders>
                  <w:noWrap w:val="0"/>
                  <w:vAlign w:val="center"/>
                </w:tcPr>
                <w:p w14:paraId="5029FC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合计</w:t>
                  </w:r>
                </w:p>
              </w:tc>
              <w:tc>
                <w:tcPr>
                  <w:tcW w:w="1732" w:type="dxa"/>
                  <w:tcBorders>
                    <w:tl2br w:val="nil"/>
                    <w:tr2bl w:val="nil"/>
                  </w:tcBorders>
                  <w:noWrap w:val="0"/>
                  <w:vAlign w:val="center"/>
                </w:tcPr>
                <w:p w14:paraId="166C6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5645.1938</w:t>
                  </w:r>
                </w:p>
              </w:tc>
              <w:tc>
                <w:tcPr>
                  <w:tcW w:w="1607" w:type="pct"/>
                  <w:tcBorders>
                    <w:tl2br w:val="nil"/>
                    <w:tr2bl w:val="nil"/>
                  </w:tcBorders>
                  <w:noWrap w:val="0"/>
                  <w:vAlign w:val="center"/>
                </w:tcPr>
                <w:p w14:paraId="352070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合计</w:t>
                  </w:r>
                </w:p>
              </w:tc>
              <w:tc>
                <w:tcPr>
                  <w:tcW w:w="1639" w:type="dxa"/>
                  <w:tcBorders>
                    <w:tl2br w:val="nil"/>
                    <w:tr2bl w:val="nil"/>
                  </w:tcBorders>
                  <w:noWrap w:val="0"/>
                  <w:vAlign w:val="center"/>
                </w:tcPr>
                <w:p w14:paraId="0942D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snapToGrid w:val="0"/>
                      <w:color w:val="auto"/>
                      <w:kern w:val="21"/>
                      <w:sz w:val="21"/>
                      <w:szCs w:val="21"/>
                      <w:u w:val="none"/>
                      <w:vertAlign w:val="baseline"/>
                      <w:lang w:val="en-US" w:eastAsia="zh-CN"/>
                    </w:rPr>
                  </w:pPr>
                  <w:r>
                    <w:rPr>
                      <w:rFonts w:hint="eastAsia" w:cs="Times New Roman"/>
                      <w:snapToGrid w:val="0"/>
                      <w:color w:val="auto"/>
                      <w:kern w:val="21"/>
                      <w:sz w:val="21"/>
                      <w:szCs w:val="21"/>
                      <w:u w:val="none"/>
                      <w:vertAlign w:val="baseline"/>
                      <w:lang w:val="en-US" w:eastAsia="zh-CN"/>
                    </w:rPr>
                    <w:t>5645.1938</w:t>
                  </w:r>
                </w:p>
              </w:tc>
            </w:tr>
            <w:bookmarkEnd w:id="6"/>
          </w:tbl>
          <w:p w14:paraId="41975DD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lang w:val="en-US" w:eastAsia="zh-CN"/>
              </w:rPr>
            </w:pPr>
            <w:r>
              <w:rPr>
                <w:rFonts w:hint="eastAsia" w:eastAsia="Times New Roman" w:cs="Times New Roman"/>
                <w:b/>
                <w:color w:val="auto"/>
                <w:sz w:val="24"/>
                <w:highlight w:val="none"/>
                <w:lang w:val="en-US" w:eastAsia="zh-CN"/>
              </w:rPr>
              <w:t>10</w:t>
            </w:r>
            <w:r>
              <w:rPr>
                <w:rFonts w:hint="default" w:ascii="Times New Roman" w:hAnsi="Times New Roman" w:eastAsia="Times New Roman" w:cs="Times New Roman"/>
                <w:b/>
                <w:color w:val="auto"/>
                <w:sz w:val="24"/>
                <w:highlight w:val="none"/>
                <w:lang w:val="en-US" w:eastAsia="zh-CN"/>
              </w:rPr>
              <w:t>.劳动定员及生产班制</w:t>
            </w:r>
          </w:p>
          <w:p w14:paraId="303FE4D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lang w:val="en-US" w:eastAsia="zh-CN"/>
              </w:rPr>
              <w:t>企业劳动定员</w:t>
            </w:r>
            <w:r>
              <w:rPr>
                <w:rFonts w:hint="eastAsia" w:eastAsia="Times New Roman" w:cs="Times New Roman"/>
                <w:color w:val="auto"/>
                <w:sz w:val="24"/>
                <w:highlight w:val="none"/>
                <w:lang w:val="en-US" w:eastAsia="zh-CN"/>
              </w:rPr>
              <w:t>20</w:t>
            </w:r>
            <w:r>
              <w:rPr>
                <w:rFonts w:hint="default" w:ascii="Times New Roman" w:hAnsi="Times New Roman" w:eastAsia="Times New Roman" w:cs="Times New Roman"/>
                <w:color w:val="auto"/>
                <w:sz w:val="24"/>
                <w:highlight w:val="none"/>
                <w:lang w:val="en-US" w:eastAsia="zh-CN"/>
              </w:rPr>
              <w:t>人，</w:t>
            </w:r>
            <w:r>
              <w:rPr>
                <w:rFonts w:hint="default" w:ascii="Times New Roman" w:hAnsi="Times New Roman" w:eastAsia="Times New Roman" w:cs="Times New Roman"/>
                <w:color w:val="auto"/>
                <w:sz w:val="24"/>
                <w:highlight w:val="none"/>
              </w:rPr>
              <w:t>厂区无食宿人员，不设洗浴设施。厂区实行</w:t>
            </w:r>
            <w:r>
              <w:rPr>
                <w:rFonts w:hint="eastAsia" w:eastAsia="宋体" w:cs="Times New Roman"/>
                <w:color w:val="auto"/>
                <w:sz w:val="24"/>
                <w:highlight w:val="none"/>
                <w:lang w:eastAsia="zh-CN"/>
              </w:rPr>
              <w:t>单班</w:t>
            </w:r>
            <w:r>
              <w:rPr>
                <w:rFonts w:hint="default" w:ascii="Times New Roman" w:hAnsi="Times New Roman" w:eastAsia="Times New Roman" w:cs="Times New Roman"/>
                <w:color w:val="auto"/>
                <w:sz w:val="24"/>
                <w:highlight w:val="none"/>
                <w:lang w:val="en-US" w:eastAsia="zh-CN"/>
              </w:rPr>
              <w:t>工作制，</w:t>
            </w:r>
            <w:r>
              <w:rPr>
                <w:rFonts w:hint="eastAsia" w:eastAsia="Times New Roman" w:cs="Times New Roman"/>
                <w:color w:val="auto"/>
                <w:sz w:val="24"/>
                <w:highlight w:val="none"/>
                <w:lang w:val="en-US" w:eastAsia="zh-CN"/>
              </w:rPr>
              <w:t>每班</w:t>
            </w:r>
            <w:r>
              <w:rPr>
                <w:rFonts w:hint="default" w:ascii="Times New Roman" w:hAnsi="Times New Roman" w:eastAsia="Times New Roman" w:cs="Times New Roman"/>
                <w:color w:val="auto"/>
                <w:sz w:val="24"/>
                <w:highlight w:val="none"/>
                <w:lang w:val="en-US" w:eastAsia="zh-CN"/>
              </w:rPr>
              <w:t>工作8h</w:t>
            </w:r>
            <w:r>
              <w:rPr>
                <w:rFonts w:hint="default" w:ascii="Times New Roman" w:hAnsi="Times New Roman" w:eastAsia="Times New Roman" w:cs="Times New Roman"/>
                <w:color w:val="auto"/>
                <w:sz w:val="24"/>
                <w:highlight w:val="none"/>
              </w:rPr>
              <w:t>，年生产</w:t>
            </w:r>
            <w:r>
              <w:rPr>
                <w:rFonts w:hint="eastAsia" w:eastAsia="宋体" w:cs="Times New Roman"/>
                <w:color w:val="auto"/>
                <w:sz w:val="24"/>
                <w:highlight w:val="none"/>
                <w:lang w:val="en-US" w:eastAsia="zh-CN"/>
              </w:rPr>
              <w:t>300</w:t>
            </w:r>
            <w:r>
              <w:rPr>
                <w:rFonts w:hint="default" w:ascii="Times New Roman" w:hAnsi="Times New Roman" w:eastAsia="Times New Roman" w:cs="Times New Roman"/>
                <w:color w:val="auto"/>
                <w:sz w:val="24"/>
                <w:highlight w:val="none"/>
              </w:rPr>
              <w:t>天。</w:t>
            </w:r>
          </w:p>
          <w:p w14:paraId="53069DB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auto"/>
                <w:sz w:val="24"/>
                <w:szCs w:val="24"/>
                <w:highlight w:val="none"/>
                <w:u w:val="none" w:color="auto"/>
                <w:lang w:val="en-US" w:eastAsia="zh-CN"/>
              </w:rPr>
            </w:pPr>
            <w:r>
              <w:rPr>
                <w:rFonts w:hint="eastAsia" w:ascii="Times New Roman" w:hAnsi="Times New Roman" w:eastAsia="宋体" w:cs="Times New Roman"/>
                <w:b/>
                <w:bCs/>
                <w:color w:val="auto"/>
                <w:sz w:val="24"/>
                <w:szCs w:val="24"/>
                <w:highlight w:val="none"/>
                <w:u w:val="none" w:color="auto"/>
                <w:lang w:val="en-US" w:eastAsia="zh-CN"/>
              </w:rPr>
              <w:t>1</w:t>
            </w:r>
            <w:r>
              <w:rPr>
                <w:rFonts w:hint="eastAsia" w:cs="Times New Roman"/>
                <w:b/>
                <w:bCs/>
                <w:color w:val="auto"/>
                <w:sz w:val="24"/>
                <w:szCs w:val="24"/>
                <w:highlight w:val="none"/>
                <w:u w:val="none" w:color="auto"/>
                <w:lang w:val="en-US" w:eastAsia="zh-CN"/>
              </w:rPr>
              <w:t>1</w:t>
            </w:r>
            <w:r>
              <w:rPr>
                <w:rFonts w:hint="default" w:ascii="Times New Roman" w:hAnsi="Times New Roman" w:eastAsia="宋体" w:cs="Times New Roman"/>
                <w:b/>
                <w:bCs/>
                <w:color w:val="auto"/>
                <w:sz w:val="24"/>
                <w:szCs w:val="24"/>
                <w:highlight w:val="none"/>
                <w:u w:val="none" w:color="auto"/>
                <w:lang w:val="en-US" w:eastAsia="zh-CN"/>
              </w:rPr>
              <w:t>.平面布置</w:t>
            </w:r>
          </w:p>
          <w:p w14:paraId="17E153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lang w:val="en-US" w:eastAsia="zh-CN"/>
              </w:rPr>
            </w:pPr>
            <w:bookmarkStart w:id="7" w:name="_Toc139393165"/>
            <w:r>
              <w:rPr>
                <w:rFonts w:hint="eastAsia" w:eastAsia="宋体"/>
                <w:b w:val="0"/>
                <w:bCs w:val="0"/>
                <w:color w:val="auto"/>
                <w:kern w:val="2"/>
                <w:sz w:val="24"/>
                <w:szCs w:val="24"/>
              </w:rPr>
              <w:t>本项目</w:t>
            </w:r>
            <w:bookmarkEnd w:id="7"/>
            <w:r>
              <w:rPr>
                <w:rFonts w:hint="eastAsia" w:eastAsia="宋体"/>
                <w:b w:val="0"/>
                <w:bCs w:val="0"/>
                <w:color w:val="auto"/>
                <w:kern w:val="2"/>
                <w:sz w:val="24"/>
                <w:szCs w:val="24"/>
              </w:rPr>
              <w:t>车间内平面布置分区明确，车间内按照工艺流程，物料输送方向布置，工艺路线短捷、降低能耗，满足工艺流程、安全生产、检修、运输的要求，保证人员安全。</w:t>
            </w:r>
            <w:r>
              <w:rPr>
                <w:rFonts w:hint="eastAsia" w:eastAsia="宋体"/>
                <w:b w:val="0"/>
                <w:bCs w:val="0"/>
                <w:color w:val="auto"/>
                <w:kern w:val="2"/>
                <w:sz w:val="24"/>
                <w:szCs w:val="24"/>
                <w:lang w:eastAsia="zh-CN"/>
              </w:rPr>
              <w:t>平面布局见附图</w:t>
            </w:r>
            <w:r>
              <w:rPr>
                <w:rFonts w:hint="eastAsia" w:eastAsia="宋体"/>
                <w:b w:val="0"/>
                <w:bCs w:val="0"/>
                <w:color w:val="auto"/>
                <w:kern w:val="2"/>
                <w:sz w:val="24"/>
                <w:szCs w:val="24"/>
                <w:lang w:val="en-US" w:eastAsia="zh-CN"/>
              </w:rPr>
              <w:t>3</w:t>
            </w:r>
          </w:p>
        </w:tc>
      </w:tr>
      <w:tr w14:paraId="53504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55" w:type="dxa"/>
            <w:noWrap w:val="0"/>
            <w:vAlign w:val="center"/>
          </w:tcPr>
          <w:p w14:paraId="057661FC">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4"/>
                <w:highlight w:val="none"/>
              </w:rPr>
            </w:pPr>
            <w:r>
              <w:rPr>
                <w:rFonts w:hint="default" w:ascii="Times New Roman" w:hAnsi="Times New Roman" w:eastAsia="Times New Roman" w:cs="Times New Roman"/>
                <w:color w:val="auto"/>
                <w:szCs w:val="24"/>
                <w:highlight w:val="none"/>
              </w:rPr>
              <w:t>工艺流程和产排污环节</w:t>
            </w:r>
          </w:p>
        </w:tc>
        <w:tc>
          <w:tcPr>
            <w:tcW w:w="8348" w:type="dxa"/>
            <w:noWrap w:val="0"/>
            <w:vAlign w:val="top"/>
          </w:tcPr>
          <w:p w14:paraId="3C4EB401">
            <w:pPr>
              <w:keepNext w:val="0"/>
              <w:keepLines w:val="0"/>
              <w:suppressLineNumbers w:val="0"/>
              <w:adjustRightInd w:val="0"/>
              <w:snapToGrid w:val="0"/>
              <w:spacing w:before="120" w:beforeLines="5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1.施工期工艺流程及产污环节</w:t>
            </w:r>
          </w:p>
          <w:p w14:paraId="642EED8A">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w:t>
            </w:r>
            <w:r>
              <w:rPr>
                <w:rFonts w:hint="eastAsia" w:eastAsia="宋体" w:cs="Times New Roman"/>
                <w:color w:val="auto"/>
                <w:sz w:val="24"/>
                <w:highlight w:val="none"/>
                <w:lang w:eastAsia="zh-CN"/>
              </w:rPr>
              <w:t>租赁</w:t>
            </w:r>
            <w:r>
              <w:rPr>
                <w:rFonts w:hint="eastAsia" w:cs="Times New Roman"/>
                <w:color w:val="auto"/>
                <w:sz w:val="24"/>
                <w:highlight w:val="none"/>
                <w:lang w:eastAsia="zh-CN"/>
              </w:rPr>
              <w:t>现有</w:t>
            </w:r>
            <w:r>
              <w:rPr>
                <w:rFonts w:hint="eastAsia" w:eastAsia="宋体" w:cs="Times New Roman"/>
                <w:color w:val="auto"/>
                <w:sz w:val="24"/>
                <w:highlight w:val="none"/>
                <w:lang w:eastAsia="zh-CN"/>
              </w:rPr>
              <w:t>厂房</w:t>
            </w:r>
            <w:r>
              <w:rPr>
                <w:rFonts w:hint="eastAsia" w:cs="Times New Roman"/>
                <w:color w:val="auto"/>
                <w:sz w:val="24"/>
                <w:highlight w:val="none"/>
                <w:lang w:eastAsia="zh-CN"/>
              </w:rPr>
              <w:t>，</w:t>
            </w:r>
            <w:r>
              <w:rPr>
                <w:rFonts w:hint="default" w:ascii="Times New Roman" w:hAnsi="Times New Roman" w:eastAsia="Times New Roman" w:cs="Times New Roman"/>
                <w:color w:val="auto"/>
                <w:sz w:val="24"/>
                <w:highlight w:val="none"/>
              </w:rPr>
              <w:t>施工期主要建设内容为</w:t>
            </w:r>
            <w:r>
              <w:rPr>
                <w:rFonts w:hint="default" w:ascii="Times New Roman" w:hAnsi="Times New Roman" w:eastAsia="Times New Roman" w:cs="Times New Roman"/>
                <w:color w:val="auto"/>
                <w:sz w:val="24"/>
                <w:highlight w:val="none"/>
                <w:lang w:val="en-US" w:eastAsia="zh-CN"/>
              </w:rPr>
              <w:t>安装</w:t>
            </w:r>
            <w:r>
              <w:rPr>
                <w:rFonts w:hint="default" w:ascii="Times New Roman" w:hAnsi="Times New Roman" w:eastAsia="Times New Roman" w:cs="Times New Roman"/>
                <w:color w:val="auto"/>
                <w:sz w:val="24"/>
                <w:highlight w:val="none"/>
              </w:rPr>
              <w:t>生产设备及环保设施。</w:t>
            </w:r>
            <w:r>
              <w:rPr>
                <w:rFonts w:hint="default" w:ascii="Times New Roman" w:hAnsi="Times New Roman" w:eastAsia="Times New Roman" w:cs="Times New Roman"/>
                <w:color w:val="auto"/>
                <w:sz w:val="24"/>
                <w:highlight w:val="none"/>
                <w:lang w:val="en-US" w:eastAsia="zh-CN"/>
              </w:rPr>
              <w:t>施工期</w:t>
            </w:r>
            <w:r>
              <w:rPr>
                <w:rFonts w:hint="default" w:ascii="Times New Roman" w:hAnsi="Times New Roman" w:eastAsia="Times New Roman" w:cs="Times New Roman"/>
                <w:color w:val="auto"/>
                <w:sz w:val="24"/>
                <w:highlight w:val="none"/>
              </w:rPr>
              <w:t>主要污染为噪声，对周边环境造成的影响很小。</w:t>
            </w:r>
          </w:p>
          <w:p w14:paraId="7452AE1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2.营运期工艺流程及产污环节</w:t>
            </w:r>
          </w:p>
          <w:p w14:paraId="5E264DAF">
            <w:pPr>
              <w:keepNext w:val="0"/>
              <w:keepLines w:val="0"/>
              <w:suppressLineNumbers w:val="0"/>
              <w:adjustRightInd w:val="0"/>
              <w:snapToGrid w:val="0"/>
              <w:spacing w:before="0" w:beforeAutospacing="0" w:after="0" w:afterAutospacing="0" w:line="360" w:lineRule="auto"/>
              <w:ind w:left="0" w:right="0" w:firstLine="482"/>
              <w:jc w:val="left"/>
              <w:rPr>
                <w:rFonts w:hint="eastAsia" w:ascii="Times New Roman" w:hAnsi="Times New Roman" w:eastAsia="宋体" w:cs="Times New Roman"/>
                <w:b/>
                <w:color w:val="auto"/>
                <w:sz w:val="24"/>
                <w:highlight w:val="none"/>
                <w:lang w:eastAsia="zh-CN"/>
              </w:rPr>
            </w:pPr>
            <w:r>
              <w:rPr>
                <w:rFonts w:hint="default" w:ascii="Times New Roman" w:hAnsi="Times New Roman" w:eastAsia="Times New Roman" w:cs="Times New Roman"/>
                <w:b/>
                <w:color w:val="auto"/>
                <w:sz w:val="24"/>
                <w:highlight w:val="none"/>
              </w:rPr>
              <w:t>（1）工艺流程</w:t>
            </w:r>
          </w:p>
          <w:p w14:paraId="435BA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jc w:val="left"/>
              <w:textAlignment w:val="auto"/>
              <w:rPr>
                <w:rFonts w:hint="eastAsia"/>
                <w:color w:val="auto"/>
                <w:lang w:val="en-US" w:eastAsia="zh-CN"/>
              </w:rPr>
            </w:pPr>
            <w:r>
              <w:rPr>
                <w:rFonts w:hint="default" w:ascii="Times New Roman" w:hAnsi="Times New Roman" w:eastAsia="Times New Roman" w:cs="Times New Roman"/>
                <w:color w:val="auto"/>
                <w:sz w:val="24"/>
                <w:highlight w:val="none"/>
              </w:rPr>
              <w:t>项目</w:t>
            </w:r>
            <w:r>
              <w:rPr>
                <w:rFonts w:hint="default" w:ascii="Times New Roman" w:hAnsi="Times New Roman" w:eastAsia="Times New Roman" w:cs="Times New Roman"/>
                <w:color w:val="auto"/>
                <w:sz w:val="24"/>
                <w:highlight w:val="none"/>
                <w:lang w:val="en-US" w:eastAsia="zh-CN"/>
              </w:rPr>
              <w:t>具体工艺见下图</w:t>
            </w:r>
            <w:r>
              <w:rPr>
                <w:rFonts w:hint="eastAsia" w:ascii="Times New Roman" w:hAnsi="Times New Roman" w:eastAsia="Times New Roman" w:cs="Times New Roman"/>
                <w:color w:val="auto"/>
                <w:sz w:val="24"/>
                <w:highlight w:val="none"/>
                <w:lang w:val="en-US" w:eastAsia="zh-CN"/>
              </w:rPr>
              <w:t>：</w:t>
            </w:r>
          </w:p>
          <w:p w14:paraId="19DCF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highlight w:val="none"/>
                <w:lang w:val="en-US" w:eastAsia="zh-CN"/>
              </w:rPr>
            </w:pPr>
            <w:r>
              <w:rPr>
                <w:rFonts w:hint="eastAsia" w:eastAsiaTheme="minorEastAsia"/>
                <w:color w:val="auto"/>
                <w:lang w:eastAsia="zh-CN"/>
              </w:rPr>
              <w:drawing>
                <wp:inline distT="0" distB="0" distL="114300" distR="114300">
                  <wp:extent cx="2519680" cy="3792855"/>
                  <wp:effectExtent l="0" t="0" r="0" b="0"/>
                  <wp:docPr id="2" name="ECB019B1-382A-4266-B25C-5B523AA43C14-2" descr="C:/Users/Administrator/AppData/Local/Temp/wps.bRhmy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Administrator/AppData/Local/Temp/wps.bRhmybwps"/>
                          <pic:cNvPicPr>
                            <a:picLocks noChangeAspect="1"/>
                          </pic:cNvPicPr>
                        </pic:nvPicPr>
                        <pic:blipFill>
                          <a:blip r:embed="rId11"/>
                          <a:stretch>
                            <a:fillRect/>
                          </a:stretch>
                        </pic:blipFill>
                        <pic:spPr>
                          <a:xfrm>
                            <a:off x="0" y="0"/>
                            <a:ext cx="2519680" cy="3792855"/>
                          </a:xfrm>
                          <a:prstGeom prst="rect">
                            <a:avLst/>
                          </a:prstGeom>
                        </pic:spPr>
                      </pic:pic>
                    </a:graphicData>
                  </a:graphic>
                </wp:inline>
              </w:drawing>
            </w:r>
          </w:p>
          <w:p w14:paraId="14AEF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color w:val="auto"/>
                <w:sz w:val="24"/>
                <w:highlight w:val="yellow"/>
              </w:rPr>
            </w:pPr>
            <w:r>
              <w:rPr>
                <w:rFonts w:hint="default" w:ascii="Times New Roman" w:hAnsi="Times New Roman" w:eastAsia="Times New Roman" w:cs="Times New Roman"/>
                <w:b/>
                <w:color w:val="auto"/>
                <w:sz w:val="24"/>
                <w:szCs w:val="24"/>
                <w:highlight w:val="none"/>
                <w:lang w:val="en-US" w:eastAsia="zh-CN"/>
              </w:rPr>
              <w:t>生产工艺流程及产污环节图</w:t>
            </w:r>
          </w:p>
          <w:p w14:paraId="36320C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72" w:firstLineChars="196"/>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工艺说明：</w:t>
            </w:r>
          </w:p>
          <w:p w14:paraId="3AE48697">
            <w:pPr>
              <w:keepNext w:val="0"/>
              <w:keepLines w:val="0"/>
              <w:numPr>
                <w:ilvl w:val="0"/>
                <w:numId w:val="6"/>
              </w:numPr>
              <w:suppressLineNumbers w:val="0"/>
              <w:spacing w:before="0" w:beforeAutospacing="0" w:after="0" w:afterAutospacing="0" w:line="360" w:lineRule="auto"/>
              <w:ind w:left="0" w:right="0" w:firstLine="480" w:firstLineChars="200"/>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吹膜：将外购的原料聚乙烯颗粒、热熔胶颗粒按照一定比例采取气力输送（自动投料器）的方式分别投加至吹膜机料斗内，经加热融化后吹成薄膜状内膜，吹膜温度控制在160℃~200℃；内膜经冷却水槽降温后定型。</w:t>
            </w:r>
          </w:p>
          <w:p w14:paraId="0C3568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吹膜机工作原理：将聚乙烯颗粒及热熔胶颗粒加入下料斗中（使用外购颗粒料，投料过程无粉尘产生），依靠粒料本身的重量从料斗进入螺杆，当粒料与螺纹斜棱接触后，旋转的斜棱面对塑料产生与斜棱面相垂直的推力，将塑料粒子向前推移，推移过程中，由于塑料与螺杆、塑料与机筒之间的摩擦以及粒子间的碰撞</w:t>
            </w:r>
            <w:r>
              <w:rPr>
                <w:rFonts w:hint="eastAsia"/>
                <w:color w:val="auto"/>
                <w:sz w:val="24"/>
                <w:szCs w:val="24"/>
                <w:lang w:eastAsia="zh-CN"/>
              </w:rPr>
              <w:t>摩擦</w:t>
            </w:r>
            <w:r>
              <w:rPr>
                <w:rFonts w:hint="eastAsia" w:ascii="Times New Roman" w:hAnsi="Times New Roman"/>
                <w:color w:val="auto"/>
                <w:sz w:val="24"/>
                <w:szCs w:val="24"/>
                <w:lang w:eastAsia="zh-CN"/>
              </w:rPr>
              <w:t>，同时还由于料筒外部加热而逐步熔化。熔融的塑料经机头从模头模口出来，经冷却水槽降温后收卷即为半成品。</w:t>
            </w:r>
          </w:p>
          <w:p w14:paraId="45702840">
            <w:pPr>
              <w:keepNext w:val="0"/>
              <w:keepLines w:val="0"/>
              <w:numPr>
                <w:ilvl w:val="0"/>
                <w:numId w:val="6"/>
              </w:numPr>
              <w:suppressLineNumbers w:val="0"/>
              <w:spacing w:before="0" w:beforeAutospacing="0" w:after="0" w:afterAutospacing="0" w:line="360" w:lineRule="auto"/>
              <w:ind w:left="0" w:right="0" w:firstLine="480" w:firstLineChars="200"/>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编织：先将外购丙纶丝</w:t>
            </w:r>
            <w:r>
              <w:rPr>
                <w:rFonts w:hint="eastAsia"/>
                <w:color w:val="auto"/>
                <w:sz w:val="24"/>
                <w:szCs w:val="24"/>
                <w:lang w:eastAsia="zh-CN"/>
              </w:rPr>
              <w:t>、聚乙烯丝</w:t>
            </w:r>
            <w:r>
              <w:rPr>
                <w:rFonts w:hint="eastAsia" w:ascii="Times New Roman" w:hAnsi="Times New Roman"/>
                <w:color w:val="auto"/>
                <w:sz w:val="24"/>
                <w:szCs w:val="24"/>
                <w:lang w:eastAsia="zh-CN"/>
              </w:rPr>
              <w:t>倒丝成小卷，再利用圆周编织机围绕内膜进行编织，该过程无废气产生。</w:t>
            </w:r>
          </w:p>
          <w:p w14:paraId="36AA6A19">
            <w:pPr>
              <w:keepNext w:val="0"/>
              <w:keepLines w:val="0"/>
              <w:numPr>
                <w:ilvl w:val="0"/>
                <w:numId w:val="6"/>
              </w:numPr>
              <w:suppressLineNumbers w:val="0"/>
              <w:spacing w:before="0" w:beforeAutospacing="0" w:after="0" w:afterAutospacing="0" w:line="360" w:lineRule="auto"/>
              <w:ind w:left="0" w:right="0" w:firstLine="480" w:firstLineChars="200"/>
              <w:rPr>
                <w:rFonts w:hint="eastAsia"/>
                <w:color w:val="auto"/>
                <w:lang w:eastAsia="zh-CN"/>
              </w:rPr>
            </w:pPr>
            <w:r>
              <w:rPr>
                <w:rFonts w:hint="eastAsia"/>
                <w:color w:val="auto"/>
                <w:sz w:val="24"/>
                <w:szCs w:val="24"/>
                <w:lang w:eastAsia="zh-CN"/>
              </w:rPr>
              <w:t>高频物理合成（高频复合）、粘合：由于项目产品的厚度不同，项目内膜与编织外层连接的方式有两种，一种是通过高频物理合成（高频复合）进行连接</w:t>
            </w:r>
            <w:r>
              <w:rPr>
                <w:rFonts w:hint="eastAsia" w:ascii="Times New Roman" w:hAnsi="Times New Roman"/>
                <w:color w:val="auto"/>
                <w:sz w:val="24"/>
                <w:szCs w:val="24"/>
                <w:lang w:eastAsia="zh-CN"/>
              </w:rPr>
              <w:t>：编织成型的水带通过高频复合机进行复合，高频复合机利用水为介质，采用电加热方式，温度控制在50℃~</w:t>
            </w:r>
            <w:r>
              <w:rPr>
                <w:rFonts w:hint="eastAsia"/>
                <w:color w:val="auto"/>
                <w:sz w:val="24"/>
                <w:szCs w:val="24"/>
                <w:lang w:val="en-US" w:eastAsia="zh-CN"/>
              </w:rPr>
              <w:t>6</w:t>
            </w:r>
            <w:r>
              <w:rPr>
                <w:rFonts w:hint="eastAsia" w:ascii="Times New Roman" w:hAnsi="Times New Roman"/>
                <w:color w:val="auto"/>
                <w:sz w:val="24"/>
                <w:szCs w:val="24"/>
                <w:lang w:eastAsia="zh-CN"/>
              </w:rPr>
              <w:t>0℃，将内膜中的热熔胶软化，使内膜与编织外层复合</w:t>
            </w:r>
            <w:r>
              <w:rPr>
                <w:rFonts w:hint="eastAsia"/>
                <w:color w:val="auto"/>
                <w:sz w:val="24"/>
                <w:szCs w:val="24"/>
                <w:lang w:eastAsia="zh-CN"/>
              </w:rPr>
              <w:t>。一种是通过</w:t>
            </w:r>
            <w:r>
              <w:rPr>
                <w:rFonts w:hint="eastAsia" w:ascii="Times New Roman" w:hAnsi="Times New Roman" w:eastAsia="宋体" w:cs="Times New Roman"/>
                <w:b w:val="0"/>
                <w:bCs w:val="0"/>
                <w:color w:val="auto"/>
                <w:sz w:val="24"/>
                <w:lang w:val="en-US" w:eastAsia="zh-CN"/>
              </w:rPr>
              <w:t>水带</w:t>
            </w:r>
            <w:r>
              <w:rPr>
                <w:rFonts w:hint="eastAsia" w:cs="Times New Roman"/>
                <w:b w:val="0"/>
                <w:bCs w:val="0"/>
                <w:color w:val="auto"/>
                <w:sz w:val="24"/>
                <w:lang w:val="en-US" w:eastAsia="zh-CN"/>
              </w:rPr>
              <w:t>粘合机进行连接：</w:t>
            </w:r>
            <w:r>
              <w:rPr>
                <w:rFonts w:hint="eastAsia" w:ascii="Times New Roman" w:hAnsi="Times New Roman" w:eastAsia="宋体" w:cs="Times New Roman"/>
                <w:b w:val="0"/>
                <w:bCs w:val="0"/>
                <w:color w:val="auto"/>
                <w:sz w:val="24"/>
                <w:lang w:val="en-US" w:eastAsia="zh-CN"/>
              </w:rPr>
              <w:t>水粘机水粘段利用电热丝将内膜外侧热熔胶</w:t>
            </w:r>
            <w:r>
              <w:rPr>
                <w:rFonts w:hint="eastAsia" w:cs="Times New Roman"/>
                <w:b w:val="0"/>
                <w:bCs w:val="0"/>
                <w:color w:val="auto"/>
                <w:sz w:val="24"/>
                <w:lang w:val="en-US" w:eastAsia="zh-CN"/>
              </w:rPr>
              <w:t>软化</w:t>
            </w:r>
            <w:r>
              <w:rPr>
                <w:rFonts w:hint="eastAsia" w:ascii="Times New Roman" w:hAnsi="Times New Roman" w:eastAsia="宋体" w:cs="Times New Roman"/>
                <w:b w:val="0"/>
                <w:bCs w:val="0"/>
                <w:color w:val="auto"/>
                <w:sz w:val="24"/>
                <w:lang w:val="en-US" w:eastAsia="zh-CN"/>
              </w:rPr>
              <w:t>，</w:t>
            </w:r>
            <w:r>
              <w:rPr>
                <w:rFonts w:hint="eastAsia" w:cs="Times New Roman"/>
                <w:b w:val="0"/>
                <w:bCs w:val="0"/>
                <w:color w:val="auto"/>
                <w:sz w:val="24"/>
                <w:lang w:val="en-US" w:eastAsia="zh-CN"/>
              </w:rPr>
              <w:t>温度控制在</w:t>
            </w:r>
            <w:r>
              <w:rPr>
                <w:rFonts w:hint="eastAsia" w:ascii="Times New Roman" w:hAnsi="Times New Roman"/>
                <w:color w:val="auto"/>
                <w:sz w:val="24"/>
                <w:szCs w:val="24"/>
                <w:lang w:eastAsia="zh-CN"/>
              </w:rPr>
              <w:t>50℃~</w:t>
            </w:r>
            <w:r>
              <w:rPr>
                <w:rFonts w:hint="eastAsia"/>
                <w:color w:val="auto"/>
                <w:sz w:val="24"/>
                <w:szCs w:val="24"/>
                <w:lang w:val="en-US" w:eastAsia="zh-CN"/>
              </w:rPr>
              <w:t>80</w:t>
            </w:r>
            <w:r>
              <w:rPr>
                <w:rFonts w:hint="eastAsia" w:ascii="Times New Roman" w:hAnsi="Times New Roman"/>
                <w:color w:val="auto"/>
                <w:sz w:val="24"/>
                <w:szCs w:val="24"/>
                <w:lang w:eastAsia="zh-CN"/>
              </w:rPr>
              <w:t>℃，</w:t>
            </w:r>
            <w:r>
              <w:rPr>
                <w:rFonts w:hint="eastAsia" w:ascii="Times New Roman" w:hAnsi="Times New Roman" w:eastAsia="宋体" w:cs="Times New Roman"/>
                <w:b w:val="0"/>
                <w:bCs w:val="0"/>
                <w:color w:val="auto"/>
                <w:sz w:val="24"/>
                <w:lang w:val="en-US" w:eastAsia="zh-CN"/>
              </w:rPr>
              <w:t>将水带内膜外侧与水带外编织网粘合在一起</w:t>
            </w:r>
            <w:r>
              <w:rPr>
                <w:rFonts w:hint="eastAsia" w:cs="Times New Roman"/>
                <w:b w:val="0"/>
                <w:bCs w:val="0"/>
                <w:color w:val="auto"/>
                <w:sz w:val="24"/>
                <w:lang w:val="en-US" w:eastAsia="zh-CN"/>
              </w:rPr>
              <w:t>，不会达到热熔胶和聚乙烯的熔化温度。</w:t>
            </w:r>
            <w:r>
              <w:rPr>
                <w:rFonts w:hint="eastAsia"/>
                <w:color w:val="auto"/>
                <w:sz w:val="24"/>
                <w:szCs w:val="24"/>
                <w:lang w:eastAsia="zh-CN"/>
              </w:rPr>
              <w:t>该过程温度较低，产生的挥发性有机物的量很少。</w:t>
            </w:r>
          </w:p>
          <w:p w14:paraId="6A4F322F">
            <w:pPr>
              <w:keepNext w:val="0"/>
              <w:keepLines w:val="0"/>
              <w:numPr>
                <w:ilvl w:val="0"/>
                <w:numId w:val="6"/>
              </w:numPr>
              <w:suppressLineNumbers w:val="0"/>
              <w:spacing w:before="0" w:beforeAutospacing="0" w:after="0" w:afterAutospacing="0" w:line="360" w:lineRule="auto"/>
              <w:ind w:left="0" w:right="0" w:firstLine="480" w:firstLineChars="200"/>
              <w:rPr>
                <w:rFonts w:hint="eastAsia"/>
                <w:color w:val="auto"/>
                <w:lang w:eastAsia="zh-CN"/>
              </w:rPr>
            </w:pPr>
            <w:r>
              <w:rPr>
                <w:rFonts w:hint="eastAsia"/>
                <w:color w:val="auto"/>
                <w:sz w:val="24"/>
                <w:szCs w:val="24"/>
                <w:lang w:eastAsia="zh-CN"/>
              </w:rPr>
              <w:t>收卷：</w:t>
            </w:r>
            <w:r>
              <w:rPr>
                <w:rFonts w:hint="eastAsia" w:ascii="Times New Roman" w:hAnsi="Times New Roman" w:eastAsia="宋体" w:cs="Times New Roman"/>
                <w:b w:val="0"/>
                <w:bCs w:val="0"/>
                <w:color w:val="auto"/>
                <w:sz w:val="24"/>
                <w:lang w:val="en-US" w:eastAsia="zh-CN"/>
              </w:rPr>
              <w:t>通过打卷形成编织水带。</w:t>
            </w:r>
          </w:p>
          <w:p w14:paraId="3624F88D">
            <w:pPr>
              <w:keepNext w:val="0"/>
              <w:keepLines w:val="0"/>
              <w:numPr>
                <w:ilvl w:val="0"/>
                <w:numId w:val="6"/>
              </w:numPr>
              <w:suppressLineNumbers w:val="0"/>
              <w:spacing w:before="0" w:beforeAutospacing="0" w:after="0" w:afterAutospacing="0" w:line="360" w:lineRule="auto"/>
              <w:ind w:left="0" w:right="0" w:firstLine="480" w:firstLineChars="200"/>
              <w:rPr>
                <w:rFonts w:hint="eastAsia" w:ascii="Times New Roman" w:hAnsi="Times New Roman"/>
                <w:color w:val="auto"/>
                <w:sz w:val="24"/>
                <w:szCs w:val="24"/>
                <w:highlight w:val="none"/>
                <w:lang w:eastAsia="zh-CN"/>
              </w:rPr>
            </w:pPr>
            <w:r>
              <w:rPr>
                <w:rFonts w:hint="eastAsia"/>
                <w:color w:val="auto"/>
                <w:sz w:val="24"/>
                <w:szCs w:val="24"/>
                <w:lang w:eastAsia="zh-CN"/>
              </w:rPr>
              <w:t>覆膜、喷码、包装</w:t>
            </w:r>
            <w:r>
              <w:rPr>
                <w:rFonts w:hint="eastAsia" w:ascii="Times New Roman" w:hAnsi="Times New Roman"/>
                <w:color w:val="auto"/>
                <w:sz w:val="24"/>
                <w:szCs w:val="24"/>
                <w:lang w:eastAsia="zh-CN"/>
              </w:rPr>
              <w:t>：</w:t>
            </w:r>
            <w:r>
              <w:rPr>
                <w:rFonts w:hint="eastAsia"/>
                <w:color w:val="auto"/>
                <w:sz w:val="24"/>
                <w:szCs w:val="24"/>
                <w:lang w:eastAsia="zh-CN"/>
              </w:rPr>
              <w:t>收卷后的编织水带使用封膜机进行封膜，通过喷码机进行喷码，随后进行包装成</w:t>
            </w:r>
            <w:r>
              <w:rPr>
                <w:rFonts w:hint="eastAsia" w:ascii="Times New Roman" w:hAnsi="Times New Roman"/>
                <w:color w:val="auto"/>
                <w:sz w:val="24"/>
                <w:szCs w:val="24"/>
                <w:lang w:eastAsia="zh-CN"/>
              </w:rPr>
              <w:t>为成品</w:t>
            </w:r>
            <w:r>
              <w:rPr>
                <w:rFonts w:hint="eastAsia"/>
                <w:color w:val="auto"/>
                <w:sz w:val="24"/>
                <w:szCs w:val="24"/>
                <w:lang w:eastAsia="zh-CN"/>
              </w:rPr>
              <w:t>，封膜工序不涉及加热，不产生废气</w:t>
            </w:r>
            <w:r>
              <w:rPr>
                <w:rFonts w:hint="eastAsia" w:ascii="Times New Roman" w:hAnsi="Times New Roman"/>
                <w:color w:val="auto"/>
                <w:sz w:val="24"/>
                <w:szCs w:val="24"/>
                <w:lang w:eastAsia="zh-CN"/>
              </w:rPr>
              <w:t>。</w:t>
            </w:r>
          </w:p>
          <w:p w14:paraId="739E91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cs="Times New Roman" w:eastAsia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产污环节</w:t>
            </w:r>
            <w:r>
              <w:rPr>
                <w:rFonts w:hint="eastAsia" w:asciiTheme="minorEastAsia" w:hAnsiTheme="minorEastAsia" w:eastAsiaTheme="minorEastAsia" w:cstheme="minorEastAsia"/>
                <w:b/>
                <w:color w:val="auto"/>
                <w:sz w:val="24"/>
                <w:highlight w:val="none"/>
                <w:lang w:eastAsia="zh-CN"/>
              </w:rPr>
              <w:t>：</w:t>
            </w:r>
          </w:p>
          <w:p w14:paraId="4C56E8B6">
            <w:pPr>
              <w:keepNext w:val="0"/>
              <w:keepLines w:val="0"/>
              <w:suppressLineNumbers w:val="0"/>
              <w:tabs>
                <w:tab w:val="left" w:pos="734"/>
              </w:tabs>
              <w:spacing w:before="0" w:beforeAutospacing="0" w:after="0" w:afterAutospacing="0" w:line="360" w:lineRule="auto"/>
              <w:ind w:left="0" w:right="0" w:firstLine="480" w:firstLineChars="200"/>
              <w:rPr>
                <w:rFonts w:hint="default"/>
                <w:b/>
                <w:bCs/>
                <w:color w:val="auto"/>
                <w:kern w:val="0"/>
                <w:sz w:val="24"/>
                <w:szCs w:val="24"/>
              </w:rPr>
            </w:pPr>
            <w:r>
              <w:rPr>
                <w:rFonts w:hint="default"/>
                <w:color w:val="auto"/>
                <w:sz w:val="24"/>
                <w:szCs w:val="24"/>
              </w:rPr>
              <w:t>项目营运期主要污染工序见</w:t>
            </w:r>
            <w:r>
              <w:rPr>
                <w:rFonts w:hint="eastAsia"/>
                <w:color w:val="auto"/>
                <w:sz w:val="24"/>
                <w:szCs w:val="24"/>
                <w:lang w:eastAsia="zh-CN"/>
              </w:rPr>
              <w:t>下表</w:t>
            </w:r>
            <w:r>
              <w:rPr>
                <w:rFonts w:hint="default"/>
                <w:color w:val="auto"/>
                <w:sz w:val="24"/>
                <w:szCs w:val="24"/>
              </w:rPr>
              <w:t>。</w:t>
            </w:r>
          </w:p>
          <w:p w14:paraId="24DBA7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eastAsia="宋体"/>
                <w:b/>
                <w:bCs/>
                <w:color w:val="auto"/>
                <w:kern w:val="0"/>
                <w:sz w:val="24"/>
                <w:szCs w:val="24"/>
                <w:lang w:eastAsia="zh-CN"/>
              </w:rPr>
            </w:pPr>
            <w:r>
              <w:rPr>
                <w:rFonts w:hint="default"/>
                <w:b/>
                <w:bCs/>
                <w:color w:val="auto"/>
                <w:kern w:val="0"/>
                <w:sz w:val="24"/>
                <w:szCs w:val="24"/>
              </w:rPr>
              <w:t>营运期主要污染</w:t>
            </w:r>
            <w:r>
              <w:rPr>
                <w:rFonts w:hint="eastAsia"/>
                <w:b/>
                <w:bCs/>
                <w:color w:val="auto"/>
                <w:kern w:val="0"/>
                <w:sz w:val="24"/>
                <w:szCs w:val="24"/>
                <w:lang w:eastAsia="zh-CN"/>
              </w:rPr>
              <w:t>环节及治理措施一览表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716"/>
              <w:gridCol w:w="1559"/>
              <w:gridCol w:w="1942"/>
              <w:gridCol w:w="1412"/>
              <w:gridCol w:w="1078"/>
              <w:gridCol w:w="787"/>
            </w:tblGrid>
            <w:tr w14:paraId="7C0BF2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noWrap w:val="0"/>
                  <w:vAlign w:val="center"/>
                </w:tcPr>
                <w:p w14:paraId="467F760C">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时段</w:t>
                  </w:r>
                </w:p>
              </w:tc>
              <w:tc>
                <w:tcPr>
                  <w:tcW w:w="444" w:type="pct"/>
                  <w:noWrap w:val="0"/>
                  <w:vAlign w:val="center"/>
                </w:tcPr>
                <w:p w14:paraId="1FE198FF">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污染类别</w:t>
                  </w:r>
                </w:p>
              </w:tc>
              <w:tc>
                <w:tcPr>
                  <w:tcW w:w="962" w:type="pct"/>
                  <w:noWrap w:val="0"/>
                  <w:vAlign w:val="center"/>
                </w:tcPr>
                <w:p w14:paraId="280BB534">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名称</w:t>
                  </w:r>
                </w:p>
              </w:tc>
              <w:tc>
                <w:tcPr>
                  <w:tcW w:w="1198" w:type="pct"/>
                  <w:noWrap w:val="0"/>
                  <w:vAlign w:val="center"/>
                </w:tcPr>
                <w:p w14:paraId="73D70319">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产生工序</w:t>
                  </w:r>
                </w:p>
              </w:tc>
              <w:tc>
                <w:tcPr>
                  <w:tcW w:w="872" w:type="pct"/>
                  <w:noWrap w:val="0"/>
                  <w:vAlign w:val="center"/>
                </w:tcPr>
                <w:p w14:paraId="206D0BF4">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主要污染因子</w:t>
                  </w:r>
                </w:p>
              </w:tc>
              <w:tc>
                <w:tcPr>
                  <w:tcW w:w="1128" w:type="pct"/>
                  <w:gridSpan w:val="2"/>
                  <w:noWrap w:val="0"/>
                  <w:vAlign w:val="center"/>
                </w:tcPr>
                <w:p w14:paraId="36E3AC58">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治理措施</w:t>
                  </w:r>
                </w:p>
              </w:tc>
            </w:tr>
            <w:tr w14:paraId="37B3A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restart"/>
                  <w:noWrap w:val="0"/>
                  <w:vAlign w:val="center"/>
                </w:tcPr>
                <w:p w14:paraId="40B147F6">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营运期</w:t>
                  </w:r>
                </w:p>
              </w:tc>
              <w:tc>
                <w:tcPr>
                  <w:tcW w:w="444" w:type="pct"/>
                  <w:vMerge w:val="restart"/>
                  <w:noWrap w:val="0"/>
                  <w:vAlign w:val="center"/>
                </w:tcPr>
                <w:p w14:paraId="4FF35C1C">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废水</w:t>
                  </w:r>
                </w:p>
              </w:tc>
              <w:tc>
                <w:tcPr>
                  <w:tcW w:w="962" w:type="pct"/>
                  <w:noWrap w:val="0"/>
                  <w:vAlign w:val="center"/>
                </w:tcPr>
                <w:p w14:paraId="3D398504">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default"/>
                      <w:color w:val="auto"/>
                      <w:sz w:val="21"/>
                      <w:szCs w:val="21"/>
                    </w:rPr>
                    <w:t>生活污水</w:t>
                  </w:r>
                </w:p>
              </w:tc>
              <w:tc>
                <w:tcPr>
                  <w:tcW w:w="1198" w:type="pct"/>
                  <w:noWrap w:val="0"/>
                  <w:vAlign w:val="center"/>
                </w:tcPr>
                <w:p w14:paraId="580C9C45">
                  <w:pPr>
                    <w:keepNext w:val="0"/>
                    <w:keepLines w:val="0"/>
                    <w:suppressLineNumbers w:val="0"/>
                    <w:spacing w:before="0" w:beforeAutospacing="0" w:after="0" w:afterAutospacing="0" w:line="0" w:lineRule="atLeast"/>
                    <w:ind w:left="0" w:right="0"/>
                    <w:jc w:val="center"/>
                    <w:rPr>
                      <w:rFonts w:hint="eastAsia" w:eastAsia="宋体"/>
                      <w:color w:val="auto"/>
                      <w:kern w:val="2"/>
                      <w:sz w:val="21"/>
                      <w:szCs w:val="21"/>
                      <w:lang w:val="en-US" w:eastAsia="zh-CN" w:bidi="ar-SA"/>
                    </w:rPr>
                  </w:pPr>
                  <w:r>
                    <w:rPr>
                      <w:rFonts w:hint="eastAsia" w:eastAsia="宋体"/>
                      <w:color w:val="auto"/>
                      <w:kern w:val="2"/>
                      <w:sz w:val="21"/>
                      <w:szCs w:val="21"/>
                      <w:lang w:val="en-US" w:eastAsia="zh-CN" w:bidi="ar-SA"/>
                    </w:rPr>
                    <w:t>员工生活</w:t>
                  </w:r>
                </w:p>
              </w:tc>
              <w:tc>
                <w:tcPr>
                  <w:tcW w:w="872" w:type="pct"/>
                  <w:noWrap w:val="0"/>
                  <w:vAlign w:val="center"/>
                </w:tcPr>
                <w:p w14:paraId="13AB7056">
                  <w:pPr>
                    <w:keepNext w:val="0"/>
                    <w:keepLines w:val="0"/>
                    <w:suppressLineNumbers w:val="0"/>
                    <w:spacing w:before="0" w:beforeAutospacing="0" w:after="0" w:afterAutospacing="0" w:line="0" w:lineRule="atLeast"/>
                    <w:ind w:left="0" w:right="0"/>
                    <w:jc w:val="center"/>
                    <w:rPr>
                      <w:rFonts w:hint="default" w:eastAsia="宋体"/>
                      <w:color w:val="auto"/>
                      <w:kern w:val="2"/>
                      <w:sz w:val="21"/>
                      <w:szCs w:val="21"/>
                      <w:lang w:val="en-US" w:eastAsia="zh-CN" w:bidi="ar-SA"/>
                    </w:rPr>
                  </w:pPr>
                  <w:bookmarkStart w:id="8" w:name="OLE_LINK102"/>
                  <w:r>
                    <w:rPr>
                      <w:rFonts w:hint="eastAsia"/>
                      <w:color w:val="auto"/>
                      <w:kern w:val="2"/>
                      <w:sz w:val="21"/>
                      <w:szCs w:val="21"/>
                      <w:lang w:val="en-US" w:eastAsia="zh-CN" w:bidi="ar-SA"/>
                    </w:rPr>
                    <w:t>COD、BOD</w:t>
                  </w:r>
                  <w:r>
                    <w:rPr>
                      <w:rFonts w:hint="eastAsia"/>
                      <w:color w:val="auto"/>
                      <w:kern w:val="2"/>
                      <w:sz w:val="21"/>
                      <w:szCs w:val="21"/>
                      <w:vertAlign w:val="subscript"/>
                      <w:lang w:val="en-US" w:eastAsia="zh-CN" w:bidi="ar-SA"/>
                    </w:rPr>
                    <w:t>5</w:t>
                  </w:r>
                  <w:r>
                    <w:rPr>
                      <w:rFonts w:hint="eastAsia"/>
                      <w:color w:val="auto"/>
                      <w:kern w:val="2"/>
                      <w:sz w:val="21"/>
                      <w:szCs w:val="21"/>
                      <w:lang w:val="en-US" w:eastAsia="zh-CN" w:bidi="ar-SA"/>
                    </w:rPr>
                    <w:t>、SS、</w:t>
                  </w:r>
                  <w:r>
                    <w:rPr>
                      <w:rFonts w:hint="default"/>
                      <w:color w:val="auto"/>
                      <w:sz w:val="21"/>
                      <w:szCs w:val="21"/>
                    </w:rPr>
                    <w:t>氨氮</w:t>
                  </w:r>
                  <w:bookmarkEnd w:id="8"/>
                  <w:r>
                    <w:rPr>
                      <w:rFonts w:hint="eastAsia"/>
                      <w:color w:val="auto"/>
                      <w:sz w:val="21"/>
                      <w:szCs w:val="21"/>
                      <w:lang w:eastAsia="zh-CN"/>
                    </w:rPr>
                    <w:t>、</w:t>
                  </w:r>
                  <w:r>
                    <w:rPr>
                      <w:rFonts w:hint="eastAsia"/>
                      <w:color w:val="auto"/>
                      <w:sz w:val="21"/>
                      <w:szCs w:val="21"/>
                      <w:lang w:val="en-US" w:eastAsia="zh-CN"/>
                    </w:rPr>
                    <w:t>pH、总磷、总氮</w:t>
                  </w:r>
                </w:p>
              </w:tc>
              <w:tc>
                <w:tcPr>
                  <w:tcW w:w="641" w:type="pct"/>
                  <w:noWrap w:val="0"/>
                  <w:vAlign w:val="center"/>
                </w:tcPr>
                <w:p w14:paraId="15AF6DFB">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化粪池（10m</w:t>
                  </w:r>
                  <w:r>
                    <w:rPr>
                      <w:rFonts w:hint="eastAsia"/>
                      <w:color w:val="auto"/>
                      <w:kern w:val="2"/>
                      <w:sz w:val="21"/>
                      <w:szCs w:val="21"/>
                      <w:vertAlign w:val="superscript"/>
                      <w:lang w:val="en-US" w:eastAsia="zh-CN" w:bidi="ar-SA"/>
                    </w:rPr>
                    <w:t>3</w:t>
                  </w:r>
                  <w:r>
                    <w:rPr>
                      <w:rFonts w:hint="eastAsia"/>
                      <w:color w:val="auto"/>
                      <w:kern w:val="2"/>
                      <w:sz w:val="21"/>
                      <w:szCs w:val="21"/>
                      <w:lang w:val="en-US" w:eastAsia="zh-CN" w:bidi="ar-SA"/>
                    </w:rPr>
                    <w:t>）预处理</w:t>
                  </w:r>
                </w:p>
              </w:tc>
              <w:tc>
                <w:tcPr>
                  <w:tcW w:w="487" w:type="pct"/>
                  <w:noWrap w:val="0"/>
                  <w:vAlign w:val="center"/>
                </w:tcPr>
                <w:p w14:paraId="6003048B">
                  <w:pPr>
                    <w:keepNext w:val="0"/>
                    <w:keepLines w:val="0"/>
                    <w:suppressLineNumbers w:val="0"/>
                    <w:spacing w:before="0" w:beforeAutospacing="0" w:after="0" w:afterAutospacing="0" w:line="0" w:lineRule="atLeast"/>
                    <w:ind w:left="0" w:right="0"/>
                    <w:jc w:val="center"/>
                    <w:rPr>
                      <w:rFonts w:hint="eastAsia"/>
                      <w:color w:val="auto"/>
                      <w:kern w:val="2"/>
                      <w:sz w:val="21"/>
                      <w:szCs w:val="21"/>
                      <w:lang w:val="en-US" w:eastAsia="zh-CN" w:bidi="ar-SA"/>
                    </w:rPr>
                  </w:pPr>
                  <w:r>
                    <w:rPr>
                      <w:rFonts w:hint="eastAsia"/>
                      <w:color w:val="auto"/>
                      <w:kern w:val="2"/>
                      <w:sz w:val="21"/>
                      <w:szCs w:val="21"/>
                      <w:lang w:val="en-US" w:eastAsia="zh-CN" w:bidi="ar-SA"/>
                    </w:rPr>
                    <w:t>排入汤阴固现污水处理有限公司</w:t>
                  </w:r>
                </w:p>
              </w:tc>
            </w:tr>
            <w:tr w14:paraId="6BDD35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7A335E4F">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5BD34526">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962" w:type="pct"/>
                  <w:noWrap w:val="0"/>
                  <w:vAlign w:val="center"/>
                </w:tcPr>
                <w:p w14:paraId="7F8D8F32">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冷却水</w:t>
                  </w:r>
                </w:p>
              </w:tc>
              <w:tc>
                <w:tcPr>
                  <w:tcW w:w="1198" w:type="pct"/>
                  <w:noWrap w:val="0"/>
                  <w:vAlign w:val="center"/>
                </w:tcPr>
                <w:p w14:paraId="0FBAC128">
                  <w:pPr>
                    <w:keepNext w:val="0"/>
                    <w:keepLines w:val="0"/>
                    <w:suppressLineNumbers w:val="0"/>
                    <w:spacing w:before="0" w:beforeAutospacing="0" w:after="0" w:afterAutospacing="0" w:line="0" w:lineRule="atLeast"/>
                    <w:ind w:left="0" w:right="0"/>
                    <w:jc w:val="center"/>
                    <w:rPr>
                      <w:rFonts w:hint="eastAsia"/>
                      <w:color w:val="auto"/>
                      <w:sz w:val="21"/>
                      <w:szCs w:val="21"/>
                    </w:rPr>
                  </w:pPr>
                  <w:r>
                    <w:rPr>
                      <w:rFonts w:hint="eastAsia" w:eastAsia="宋体"/>
                      <w:color w:val="auto"/>
                      <w:sz w:val="21"/>
                      <w:szCs w:val="21"/>
                      <w:lang w:eastAsia="zh-CN"/>
                    </w:rPr>
                    <w:t>挤出（吹塑）、高频复合</w:t>
                  </w:r>
                </w:p>
              </w:tc>
              <w:tc>
                <w:tcPr>
                  <w:tcW w:w="872" w:type="pct"/>
                  <w:noWrap w:val="0"/>
                  <w:vAlign w:val="center"/>
                </w:tcPr>
                <w:p w14:paraId="147A06B6">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SS</w:t>
                  </w:r>
                </w:p>
              </w:tc>
              <w:tc>
                <w:tcPr>
                  <w:tcW w:w="1128" w:type="pct"/>
                  <w:gridSpan w:val="2"/>
                  <w:noWrap w:val="0"/>
                  <w:vAlign w:val="center"/>
                </w:tcPr>
                <w:p w14:paraId="6A5C2F0F">
                  <w:pPr>
                    <w:keepNext w:val="0"/>
                    <w:keepLines w:val="0"/>
                    <w:suppressLineNumbers w:val="0"/>
                    <w:spacing w:before="0" w:beforeAutospacing="0" w:after="0" w:afterAutospacing="0" w:line="0" w:lineRule="atLeast"/>
                    <w:ind w:left="0" w:right="0"/>
                    <w:jc w:val="center"/>
                    <w:rPr>
                      <w:rFonts w:hint="default"/>
                      <w:color w:val="auto"/>
                      <w:kern w:val="2"/>
                      <w:sz w:val="21"/>
                      <w:szCs w:val="21"/>
                      <w:lang w:val="en-US" w:eastAsia="zh-CN" w:bidi="ar-SA"/>
                    </w:rPr>
                  </w:pPr>
                  <w:r>
                    <w:rPr>
                      <w:rFonts w:hint="eastAsia"/>
                      <w:color w:val="auto"/>
                      <w:kern w:val="2"/>
                      <w:sz w:val="21"/>
                      <w:szCs w:val="21"/>
                      <w:lang w:val="en-US" w:eastAsia="zh-CN" w:bidi="ar-SA"/>
                    </w:rPr>
                    <w:t>循环使用，不外排</w:t>
                  </w:r>
                </w:p>
              </w:tc>
            </w:tr>
            <w:tr w14:paraId="02A716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4F8B8541">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restart"/>
                  <w:noWrap w:val="0"/>
                  <w:vAlign w:val="center"/>
                </w:tcPr>
                <w:p w14:paraId="7647BF97">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废气</w:t>
                  </w:r>
                </w:p>
              </w:tc>
              <w:tc>
                <w:tcPr>
                  <w:tcW w:w="962" w:type="pct"/>
                  <w:noWrap w:val="0"/>
                  <w:vAlign w:val="center"/>
                </w:tcPr>
                <w:p w14:paraId="5350CB5A">
                  <w:pPr>
                    <w:keepNext w:val="0"/>
                    <w:keepLines w:val="0"/>
                    <w:suppressLineNumbers w:val="0"/>
                    <w:spacing w:before="0" w:beforeAutospacing="0" w:after="0" w:afterAutospacing="0" w:line="0" w:lineRule="atLeast"/>
                    <w:ind w:left="0" w:right="0"/>
                    <w:jc w:val="both"/>
                    <w:rPr>
                      <w:rFonts w:hint="eastAsia" w:eastAsia="宋体"/>
                      <w:color w:val="auto"/>
                      <w:sz w:val="21"/>
                      <w:szCs w:val="21"/>
                      <w:lang w:eastAsia="zh-CN"/>
                    </w:rPr>
                  </w:pPr>
                  <w:r>
                    <w:rPr>
                      <w:rFonts w:hint="eastAsia" w:eastAsia="宋体"/>
                      <w:color w:val="auto"/>
                      <w:sz w:val="21"/>
                      <w:szCs w:val="21"/>
                      <w:lang w:eastAsia="zh-CN"/>
                    </w:rPr>
                    <w:t>挤出（吹塑）废气</w:t>
                  </w:r>
                </w:p>
              </w:tc>
              <w:tc>
                <w:tcPr>
                  <w:tcW w:w="1198" w:type="pct"/>
                  <w:noWrap w:val="0"/>
                  <w:vAlign w:val="center"/>
                </w:tcPr>
                <w:p w14:paraId="305CFE4E">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eastAsia="宋体"/>
                      <w:color w:val="auto"/>
                      <w:sz w:val="21"/>
                      <w:szCs w:val="21"/>
                      <w:lang w:eastAsia="zh-CN"/>
                    </w:rPr>
                    <w:t>挤出（吹塑）</w:t>
                  </w:r>
                </w:p>
              </w:tc>
              <w:tc>
                <w:tcPr>
                  <w:tcW w:w="872" w:type="pct"/>
                  <w:noWrap w:val="0"/>
                  <w:vAlign w:val="center"/>
                </w:tcPr>
                <w:p w14:paraId="3FEA517C">
                  <w:pPr>
                    <w:keepNext w:val="0"/>
                    <w:keepLines w:val="0"/>
                    <w:suppressLineNumbers w:val="0"/>
                    <w:spacing w:before="0" w:beforeAutospacing="0" w:after="0" w:afterAutospacing="0" w:line="0" w:lineRule="atLeast"/>
                    <w:ind w:left="0" w:right="0"/>
                    <w:jc w:val="center"/>
                    <w:rPr>
                      <w:rFonts w:hint="default"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128" w:type="pct"/>
                  <w:gridSpan w:val="2"/>
                  <w:vMerge w:val="restart"/>
                  <w:noWrap w:val="0"/>
                  <w:vAlign w:val="center"/>
                </w:tcPr>
                <w:p w14:paraId="1E555AE4">
                  <w:pPr>
                    <w:keepNext w:val="0"/>
                    <w:keepLines w:val="0"/>
                    <w:suppressLineNumbers w:val="0"/>
                    <w:spacing w:before="0" w:beforeAutospacing="0" w:after="0" w:afterAutospacing="0" w:line="0" w:lineRule="atLeast"/>
                    <w:ind w:left="0" w:right="0"/>
                    <w:jc w:val="both"/>
                    <w:rPr>
                      <w:rFonts w:hint="default"/>
                      <w:color w:val="auto"/>
                      <w:sz w:val="21"/>
                      <w:szCs w:val="21"/>
                      <w:lang w:val="en-US" w:eastAsia="zh-CN"/>
                    </w:rPr>
                  </w:pPr>
                  <w:r>
                    <w:rPr>
                      <w:rFonts w:hint="eastAsia"/>
                      <w:color w:val="auto"/>
                      <w:sz w:val="21"/>
                      <w:szCs w:val="21"/>
                      <w:lang w:eastAsia="zh-CN"/>
                    </w:rPr>
                    <w:t>集气罩</w:t>
                  </w:r>
                  <w:r>
                    <w:rPr>
                      <w:rFonts w:hint="eastAsia"/>
                      <w:color w:val="auto"/>
                      <w:sz w:val="21"/>
                      <w:szCs w:val="21"/>
                      <w:lang w:val="en-US" w:eastAsia="zh-CN"/>
                    </w:rPr>
                    <w:t>+1套吸附、脱附+催化燃烧装置+1根15m高排气筒</w:t>
                  </w:r>
                </w:p>
              </w:tc>
            </w:tr>
            <w:tr w14:paraId="21ED9C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095EA839">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39D5BFF3">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962" w:type="pct"/>
                  <w:noWrap w:val="0"/>
                  <w:vAlign w:val="center"/>
                </w:tcPr>
                <w:p w14:paraId="1D4CF10C">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高频复合废气</w:t>
                  </w:r>
                </w:p>
              </w:tc>
              <w:tc>
                <w:tcPr>
                  <w:tcW w:w="1198" w:type="pct"/>
                  <w:noWrap w:val="0"/>
                  <w:vAlign w:val="center"/>
                </w:tcPr>
                <w:p w14:paraId="3CB6F4CE">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高频复合</w:t>
                  </w:r>
                </w:p>
              </w:tc>
              <w:tc>
                <w:tcPr>
                  <w:tcW w:w="872" w:type="pct"/>
                  <w:noWrap w:val="0"/>
                  <w:vAlign w:val="center"/>
                </w:tcPr>
                <w:p w14:paraId="1DDF1FDE">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128" w:type="pct"/>
                  <w:gridSpan w:val="2"/>
                  <w:vMerge w:val="continue"/>
                  <w:noWrap w:val="0"/>
                  <w:vAlign w:val="center"/>
                </w:tcPr>
                <w:p w14:paraId="23FE073E">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3927E3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650B2AA8">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59011BFE">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962" w:type="pct"/>
                  <w:noWrap w:val="0"/>
                  <w:vAlign w:val="center"/>
                </w:tcPr>
                <w:p w14:paraId="4639F276">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粘合废气</w:t>
                  </w:r>
                </w:p>
              </w:tc>
              <w:tc>
                <w:tcPr>
                  <w:tcW w:w="1198" w:type="pct"/>
                  <w:noWrap w:val="0"/>
                  <w:vAlign w:val="center"/>
                </w:tcPr>
                <w:p w14:paraId="2B904B76">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粘合</w:t>
                  </w:r>
                </w:p>
              </w:tc>
              <w:tc>
                <w:tcPr>
                  <w:tcW w:w="872" w:type="pct"/>
                  <w:noWrap w:val="0"/>
                  <w:vAlign w:val="center"/>
                </w:tcPr>
                <w:p w14:paraId="6CC44E89">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128" w:type="pct"/>
                  <w:gridSpan w:val="2"/>
                  <w:vMerge w:val="continue"/>
                  <w:noWrap w:val="0"/>
                  <w:vAlign w:val="center"/>
                </w:tcPr>
                <w:p w14:paraId="6E412BC2">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2FB508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69B819A0">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0E1237D8">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962" w:type="pct"/>
                  <w:noWrap w:val="0"/>
                  <w:vAlign w:val="center"/>
                </w:tcPr>
                <w:p w14:paraId="0DAFB048">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eastAsia="宋体"/>
                      <w:color w:val="auto"/>
                      <w:sz w:val="21"/>
                      <w:szCs w:val="21"/>
                      <w:lang w:eastAsia="zh-CN"/>
                    </w:rPr>
                    <w:t>喷码废气</w:t>
                  </w:r>
                </w:p>
              </w:tc>
              <w:tc>
                <w:tcPr>
                  <w:tcW w:w="1198" w:type="pct"/>
                  <w:noWrap w:val="0"/>
                  <w:vAlign w:val="center"/>
                </w:tcPr>
                <w:p w14:paraId="3EDDAB06">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eastAsia="宋体"/>
                      <w:color w:val="auto"/>
                      <w:sz w:val="21"/>
                      <w:szCs w:val="21"/>
                      <w:lang w:eastAsia="zh-CN"/>
                    </w:rPr>
                    <w:t>喷码</w:t>
                  </w:r>
                </w:p>
              </w:tc>
              <w:tc>
                <w:tcPr>
                  <w:tcW w:w="872" w:type="pct"/>
                  <w:noWrap w:val="0"/>
                  <w:vAlign w:val="center"/>
                </w:tcPr>
                <w:p w14:paraId="4241D575">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128" w:type="pct"/>
                  <w:gridSpan w:val="2"/>
                  <w:vMerge w:val="continue"/>
                  <w:noWrap w:val="0"/>
                  <w:vAlign w:val="center"/>
                </w:tcPr>
                <w:p w14:paraId="1CCDFFF2">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p>
              </w:tc>
            </w:tr>
            <w:tr w14:paraId="6836B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5E69DDA3">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7C899624">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962" w:type="pct"/>
                  <w:noWrap w:val="0"/>
                  <w:vAlign w:val="center"/>
                </w:tcPr>
                <w:p w14:paraId="7A797DE3">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危废间废气</w:t>
                  </w:r>
                </w:p>
              </w:tc>
              <w:tc>
                <w:tcPr>
                  <w:tcW w:w="1198" w:type="pct"/>
                  <w:noWrap w:val="0"/>
                  <w:vAlign w:val="center"/>
                </w:tcPr>
                <w:p w14:paraId="0E56AB9C">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r>
                    <w:rPr>
                      <w:rFonts w:hint="eastAsia"/>
                      <w:color w:val="auto"/>
                      <w:sz w:val="21"/>
                      <w:szCs w:val="21"/>
                      <w:lang w:eastAsia="zh-CN"/>
                    </w:rPr>
                    <w:t>危废间废气</w:t>
                  </w:r>
                </w:p>
              </w:tc>
              <w:tc>
                <w:tcPr>
                  <w:tcW w:w="872" w:type="pct"/>
                  <w:noWrap w:val="0"/>
                  <w:vAlign w:val="center"/>
                </w:tcPr>
                <w:p w14:paraId="3CD039C9">
                  <w:pPr>
                    <w:keepNext w:val="0"/>
                    <w:keepLines w:val="0"/>
                    <w:suppressLineNumbers w:val="0"/>
                    <w:spacing w:before="0" w:beforeAutospacing="0" w:after="0" w:afterAutospacing="0" w:line="0" w:lineRule="atLeast"/>
                    <w:ind w:left="0" w:right="0"/>
                    <w:jc w:val="center"/>
                    <w:rPr>
                      <w:rFonts w:hint="eastAsia" w:eastAsia="宋体"/>
                      <w:color w:val="auto"/>
                      <w:sz w:val="21"/>
                      <w:szCs w:val="21"/>
                      <w:vertAlign w:val="baseline"/>
                      <w:lang w:val="en-US" w:eastAsia="zh-CN"/>
                    </w:rPr>
                  </w:pPr>
                  <w:r>
                    <w:rPr>
                      <w:rFonts w:hint="eastAsia" w:eastAsia="宋体"/>
                      <w:color w:val="auto"/>
                      <w:sz w:val="21"/>
                      <w:szCs w:val="21"/>
                      <w:vertAlign w:val="baseline"/>
                      <w:lang w:val="en-US" w:eastAsia="zh-CN"/>
                    </w:rPr>
                    <w:t>VOCs</w:t>
                  </w:r>
                </w:p>
              </w:tc>
              <w:tc>
                <w:tcPr>
                  <w:tcW w:w="1128" w:type="pct"/>
                  <w:gridSpan w:val="2"/>
                  <w:noWrap w:val="0"/>
                  <w:vAlign w:val="center"/>
                </w:tcPr>
                <w:p w14:paraId="7FFEDACF">
                  <w:pPr>
                    <w:keepNext w:val="0"/>
                    <w:keepLines w:val="0"/>
                    <w:suppressLineNumbers w:val="0"/>
                    <w:spacing w:before="0" w:beforeAutospacing="0" w:after="0" w:afterAutospacing="0" w:line="0" w:lineRule="atLeast"/>
                    <w:ind w:left="0" w:right="0"/>
                    <w:jc w:val="both"/>
                    <w:rPr>
                      <w:rFonts w:hint="eastAsia"/>
                      <w:color w:val="auto"/>
                      <w:sz w:val="21"/>
                      <w:szCs w:val="21"/>
                      <w:lang w:eastAsia="zh-CN"/>
                    </w:rPr>
                  </w:pPr>
                  <w:r>
                    <w:rPr>
                      <w:rFonts w:hint="eastAsia"/>
                      <w:color w:val="auto"/>
                      <w:sz w:val="21"/>
                      <w:szCs w:val="21"/>
                      <w:lang w:eastAsia="zh-CN"/>
                    </w:rPr>
                    <w:t>事故状态下引入“</w:t>
                  </w:r>
                  <w:r>
                    <w:rPr>
                      <w:rFonts w:hint="eastAsia"/>
                      <w:color w:val="auto"/>
                      <w:sz w:val="21"/>
                      <w:szCs w:val="21"/>
                      <w:lang w:val="en-US" w:eastAsia="zh-CN"/>
                    </w:rPr>
                    <w:t>吸附、脱附+催化燃烧装置“”+1根15m高排气筒</w:t>
                  </w:r>
                </w:p>
              </w:tc>
            </w:tr>
            <w:tr w14:paraId="281A74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551B6C9A">
                  <w:pPr>
                    <w:pStyle w:val="85"/>
                    <w:keepNext w:val="0"/>
                    <w:keepLines w:val="0"/>
                    <w:suppressLineNumbers w:val="0"/>
                    <w:spacing w:before="0" w:beforeAutospacing="0" w:after="0" w:afterAutospacing="0" w:line="0" w:lineRule="atLeast"/>
                    <w:ind w:left="0" w:right="0"/>
                    <w:rPr>
                      <w:rFonts w:hint="default" w:ascii="Times New Roman" w:hAnsi="Times New Roman"/>
                      <w:color w:val="auto"/>
                      <w:sz w:val="21"/>
                      <w:szCs w:val="21"/>
                    </w:rPr>
                  </w:pPr>
                </w:p>
              </w:tc>
              <w:tc>
                <w:tcPr>
                  <w:tcW w:w="444" w:type="pct"/>
                  <w:noWrap w:val="0"/>
                  <w:vAlign w:val="center"/>
                </w:tcPr>
                <w:p w14:paraId="3EDD728A">
                  <w:pPr>
                    <w:pStyle w:val="85"/>
                    <w:keepNext w:val="0"/>
                    <w:keepLines w:val="0"/>
                    <w:suppressLineNumbers w:val="0"/>
                    <w:spacing w:before="0" w:beforeAutospacing="0" w:after="0" w:afterAutospacing="0" w:line="0" w:lineRule="atLeast"/>
                    <w:ind w:left="0" w:right="0"/>
                    <w:rPr>
                      <w:rFonts w:hint="default" w:ascii="Times New Roman" w:hAnsi="Times New Roman"/>
                      <w:color w:val="auto"/>
                      <w:sz w:val="21"/>
                      <w:szCs w:val="21"/>
                    </w:rPr>
                  </w:pPr>
                  <w:r>
                    <w:rPr>
                      <w:rFonts w:hint="default" w:ascii="Times New Roman" w:hAnsi="Times New Roman"/>
                      <w:color w:val="auto"/>
                      <w:sz w:val="21"/>
                      <w:szCs w:val="21"/>
                    </w:rPr>
                    <w:t>噪声</w:t>
                  </w:r>
                </w:p>
              </w:tc>
              <w:tc>
                <w:tcPr>
                  <w:tcW w:w="962" w:type="pct"/>
                  <w:noWrap w:val="0"/>
                  <w:vAlign w:val="center"/>
                </w:tcPr>
                <w:p w14:paraId="79D4497C">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噪声</w:t>
                  </w:r>
                </w:p>
              </w:tc>
              <w:tc>
                <w:tcPr>
                  <w:tcW w:w="1198" w:type="pct"/>
                  <w:noWrap w:val="0"/>
                  <w:vAlign w:val="center"/>
                </w:tcPr>
                <w:p w14:paraId="640939AC">
                  <w:pPr>
                    <w:keepNext w:val="0"/>
                    <w:keepLines w:val="0"/>
                    <w:suppressLineNumbers w:val="0"/>
                    <w:spacing w:before="0" w:beforeAutospacing="0" w:after="0" w:afterAutospacing="0" w:line="0" w:lineRule="atLeast"/>
                    <w:ind w:left="0" w:right="0"/>
                    <w:jc w:val="center"/>
                    <w:rPr>
                      <w:rFonts w:hint="eastAsia"/>
                      <w:color w:val="auto"/>
                      <w:sz w:val="21"/>
                      <w:szCs w:val="21"/>
                    </w:rPr>
                  </w:pPr>
                  <w:r>
                    <w:rPr>
                      <w:rFonts w:hint="eastAsia"/>
                      <w:color w:val="auto"/>
                      <w:sz w:val="21"/>
                      <w:szCs w:val="21"/>
                    </w:rPr>
                    <w:t>设备噪声</w:t>
                  </w:r>
                </w:p>
              </w:tc>
              <w:tc>
                <w:tcPr>
                  <w:tcW w:w="872" w:type="pct"/>
                  <w:noWrap w:val="0"/>
                  <w:vAlign w:val="center"/>
                </w:tcPr>
                <w:p w14:paraId="6DD712BA">
                  <w:pPr>
                    <w:pStyle w:val="6"/>
                    <w:keepNext w:val="0"/>
                    <w:keepLines w:val="0"/>
                    <w:suppressLineNumbers w:val="0"/>
                    <w:spacing w:before="0" w:beforeAutospacing="0" w:after="0" w:afterAutospacing="0" w:line="0" w:lineRule="atLeast"/>
                    <w:ind w:left="0" w:right="0"/>
                    <w:rPr>
                      <w:rFonts w:hint="default"/>
                      <w:color w:val="auto"/>
                      <w:sz w:val="21"/>
                      <w:szCs w:val="21"/>
                    </w:rPr>
                  </w:pPr>
                  <w:r>
                    <w:rPr>
                      <w:rFonts w:hint="default"/>
                      <w:color w:val="auto"/>
                      <w:sz w:val="21"/>
                      <w:szCs w:val="21"/>
                    </w:rPr>
                    <w:t>噪声</w:t>
                  </w:r>
                </w:p>
              </w:tc>
              <w:tc>
                <w:tcPr>
                  <w:tcW w:w="1128" w:type="pct"/>
                  <w:gridSpan w:val="2"/>
                  <w:noWrap w:val="0"/>
                  <w:vAlign w:val="center"/>
                </w:tcPr>
                <w:p w14:paraId="74475845">
                  <w:pPr>
                    <w:pStyle w:val="6"/>
                    <w:keepNext w:val="0"/>
                    <w:keepLines w:val="0"/>
                    <w:suppressLineNumbers w:val="0"/>
                    <w:spacing w:before="0" w:beforeAutospacing="0" w:after="0" w:afterAutospacing="0" w:line="0" w:lineRule="atLeast"/>
                    <w:ind w:left="0" w:right="0"/>
                    <w:rPr>
                      <w:rFonts w:hint="eastAsia" w:eastAsia="宋体"/>
                      <w:color w:val="auto"/>
                      <w:sz w:val="21"/>
                      <w:szCs w:val="21"/>
                      <w:lang w:eastAsia="zh-CN"/>
                    </w:rPr>
                  </w:pPr>
                  <w:r>
                    <w:rPr>
                      <w:rFonts w:hint="eastAsia"/>
                      <w:color w:val="auto"/>
                      <w:sz w:val="21"/>
                      <w:szCs w:val="21"/>
                      <w:lang w:eastAsia="zh-CN"/>
                    </w:rPr>
                    <w:t>减振、隔声</w:t>
                  </w:r>
                </w:p>
              </w:tc>
            </w:tr>
            <w:tr w14:paraId="38137E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94" w:type="pct"/>
                  <w:vMerge w:val="continue"/>
                  <w:noWrap w:val="0"/>
                  <w:vAlign w:val="center"/>
                </w:tcPr>
                <w:p w14:paraId="3B53F828">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restart"/>
                  <w:noWrap w:val="0"/>
                  <w:vAlign w:val="center"/>
                </w:tcPr>
                <w:p w14:paraId="08EA1619">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r>
                    <w:rPr>
                      <w:rFonts w:hint="default"/>
                      <w:color w:val="auto"/>
                      <w:sz w:val="21"/>
                      <w:szCs w:val="21"/>
                    </w:rPr>
                    <w:t>固废</w:t>
                  </w:r>
                </w:p>
              </w:tc>
              <w:tc>
                <w:tcPr>
                  <w:tcW w:w="962" w:type="pct"/>
                  <w:noWrap w:val="0"/>
                  <w:vAlign w:val="center"/>
                </w:tcPr>
                <w:p w14:paraId="452974D4">
                  <w:pPr>
                    <w:pStyle w:val="85"/>
                    <w:keepNext w:val="0"/>
                    <w:keepLines w:val="0"/>
                    <w:suppressLineNumbers w:val="0"/>
                    <w:spacing w:before="0" w:beforeAutospacing="0" w:after="0" w:afterAutospacing="0" w:line="0" w:lineRule="atLeast"/>
                    <w:ind w:left="0" w:right="0"/>
                    <w:rPr>
                      <w:rFonts w:hint="default" w:ascii="Times New Roman" w:hAnsi="Times New Roman"/>
                      <w:color w:val="auto"/>
                      <w:sz w:val="21"/>
                      <w:szCs w:val="21"/>
                    </w:rPr>
                  </w:pPr>
                  <w:r>
                    <w:rPr>
                      <w:rFonts w:hint="default" w:ascii="Times New Roman" w:hAnsi="Times New Roman"/>
                      <w:color w:val="auto"/>
                      <w:sz w:val="21"/>
                      <w:szCs w:val="21"/>
                    </w:rPr>
                    <w:t>生活垃圾</w:t>
                  </w:r>
                </w:p>
              </w:tc>
              <w:tc>
                <w:tcPr>
                  <w:tcW w:w="1198" w:type="pct"/>
                  <w:noWrap w:val="0"/>
                  <w:vAlign w:val="center"/>
                </w:tcPr>
                <w:p w14:paraId="253DB689">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0"/>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员工办公</w:t>
                  </w:r>
                </w:p>
              </w:tc>
              <w:tc>
                <w:tcPr>
                  <w:tcW w:w="872" w:type="pct"/>
                  <w:noWrap w:val="0"/>
                  <w:vAlign w:val="center"/>
                </w:tcPr>
                <w:p w14:paraId="1D1CB062">
                  <w:pPr>
                    <w:keepNext w:val="0"/>
                    <w:keepLines w:val="0"/>
                    <w:suppressLineNumbers w:val="0"/>
                    <w:spacing w:before="0" w:beforeAutospacing="0" w:after="0" w:afterAutospacing="0" w:line="0" w:lineRule="atLeast"/>
                    <w:ind w:left="0" w:right="0"/>
                    <w:jc w:val="center"/>
                    <w:rPr>
                      <w:rFonts w:hint="default"/>
                      <w:color w:val="auto"/>
                      <w:sz w:val="21"/>
                      <w:szCs w:val="21"/>
                    </w:rPr>
                  </w:pPr>
                  <w:r>
                    <w:rPr>
                      <w:rFonts w:hint="default"/>
                      <w:color w:val="auto"/>
                      <w:sz w:val="21"/>
                      <w:szCs w:val="21"/>
                    </w:rPr>
                    <w:t>生活垃圾</w:t>
                  </w:r>
                </w:p>
              </w:tc>
              <w:tc>
                <w:tcPr>
                  <w:tcW w:w="1128" w:type="pct"/>
                  <w:gridSpan w:val="2"/>
                  <w:noWrap w:val="0"/>
                  <w:vAlign w:val="center"/>
                </w:tcPr>
                <w:p w14:paraId="4D3B7D4E">
                  <w:pPr>
                    <w:keepNext w:val="0"/>
                    <w:keepLines w:val="0"/>
                    <w:suppressLineNumbers w:val="0"/>
                    <w:spacing w:before="0" w:beforeAutospacing="0" w:after="0" w:afterAutospacing="0" w:line="0" w:lineRule="atLeast"/>
                    <w:ind w:left="0" w:right="0"/>
                    <w:jc w:val="center"/>
                    <w:rPr>
                      <w:rFonts w:hint="eastAsia" w:eastAsia="宋体"/>
                      <w:color w:val="auto"/>
                      <w:sz w:val="21"/>
                      <w:szCs w:val="21"/>
                      <w:lang w:eastAsia="zh-CN"/>
                    </w:rPr>
                  </w:pPr>
                  <w:bookmarkStart w:id="9" w:name="OLE_LINK103"/>
                  <w:r>
                    <w:rPr>
                      <w:rFonts w:hint="eastAsia"/>
                      <w:color w:val="auto"/>
                      <w:sz w:val="21"/>
                      <w:szCs w:val="21"/>
                      <w:lang w:eastAsia="zh-CN"/>
                    </w:rPr>
                    <w:t>环卫部门清运</w:t>
                  </w:r>
                  <w:bookmarkEnd w:id="9"/>
                </w:p>
              </w:tc>
            </w:tr>
            <w:tr w14:paraId="5F3E23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4" w:type="pct"/>
                  <w:vMerge w:val="continue"/>
                  <w:noWrap w:val="0"/>
                  <w:vAlign w:val="center"/>
                </w:tcPr>
                <w:p w14:paraId="0D588406">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65D150E8">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962" w:type="pct"/>
                  <w:noWrap w:val="0"/>
                  <w:vAlign w:val="center"/>
                </w:tcPr>
                <w:p w14:paraId="6BB9DC7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eastAsia="zh-CN"/>
                    </w:rPr>
                    <w:t>废</w:t>
                  </w:r>
                  <w:r>
                    <w:rPr>
                      <w:rFonts w:hint="eastAsia" w:ascii="宋体" w:hAnsi="宋体" w:cs="宋体"/>
                      <w:bCs/>
                      <w:color w:val="auto"/>
                      <w:kern w:val="0"/>
                      <w:sz w:val="21"/>
                      <w:szCs w:val="21"/>
                      <w:lang w:eastAsia="zh-CN"/>
                    </w:rPr>
                    <w:t>包装</w:t>
                  </w:r>
                </w:p>
              </w:tc>
              <w:tc>
                <w:tcPr>
                  <w:tcW w:w="1198" w:type="pct"/>
                  <w:noWrap w:val="0"/>
                  <w:vAlign w:val="center"/>
                </w:tcPr>
                <w:p w14:paraId="217D51E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原料使用</w:t>
                  </w:r>
                </w:p>
              </w:tc>
              <w:tc>
                <w:tcPr>
                  <w:tcW w:w="872" w:type="pct"/>
                  <w:noWrap w:val="0"/>
                  <w:vAlign w:val="center"/>
                </w:tcPr>
                <w:p w14:paraId="0C94601F">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包装袋</w:t>
                  </w:r>
                </w:p>
              </w:tc>
              <w:tc>
                <w:tcPr>
                  <w:tcW w:w="1128" w:type="pct"/>
                  <w:gridSpan w:val="2"/>
                  <w:noWrap w:val="0"/>
                  <w:vAlign w:val="center"/>
                </w:tcPr>
                <w:p w14:paraId="67BC628C">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一般固废间暂存，供货厂家回收</w:t>
                  </w:r>
                </w:p>
              </w:tc>
            </w:tr>
            <w:tr w14:paraId="1D5726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4" w:type="pct"/>
                  <w:vMerge w:val="continue"/>
                  <w:noWrap w:val="0"/>
                  <w:vAlign w:val="center"/>
                </w:tcPr>
                <w:p w14:paraId="6DAB23A7">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1E4D8AF8">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962" w:type="pct"/>
                  <w:noWrap w:val="0"/>
                  <w:vAlign w:val="center"/>
                </w:tcPr>
                <w:p w14:paraId="7B070AEF">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边角料、不合格产品</w:t>
                  </w:r>
                </w:p>
              </w:tc>
              <w:tc>
                <w:tcPr>
                  <w:tcW w:w="1198" w:type="pct"/>
                  <w:noWrap w:val="0"/>
                  <w:vAlign w:val="center"/>
                </w:tcPr>
                <w:p w14:paraId="0D6722C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编织、高频复合、收卷、</w:t>
                  </w:r>
                </w:p>
              </w:tc>
              <w:tc>
                <w:tcPr>
                  <w:tcW w:w="872" w:type="pct"/>
                  <w:noWrap w:val="0"/>
                  <w:vAlign w:val="center"/>
                </w:tcPr>
                <w:p w14:paraId="04B38AAE">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ascii="宋体" w:hAnsi="宋体" w:cs="宋体"/>
                      <w:bCs/>
                      <w:color w:val="auto"/>
                      <w:kern w:val="0"/>
                      <w:sz w:val="21"/>
                      <w:szCs w:val="21"/>
                      <w:lang w:eastAsia="zh-CN"/>
                    </w:rPr>
                    <w:t>边角料、不合格产品</w:t>
                  </w:r>
                </w:p>
              </w:tc>
              <w:tc>
                <w:tcPr>
                  <w:tcW w:w="1128" w:type="pct"/>
                  <w:gridSpan w:val="2"/>
                  <w:noWrap w:val="0"/>
                  <w:vAlign w:val="center"/>
                </w:tcPr>
                <w:p w14:paraId="2680BDAF">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回用于生产</w:t>
                  </w:r>
                </w:p>
              </w:tc>
            </w:tr>
            <w:tr w14:paraId="6E08D4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4" w:type="pct"/>
                  <w:vMerge w:val="continue"/>
                  <w:noWrap w:val="0"/>
                  <w:vAlign w:val="center"/>
                </w:tcPr>
                <w:p w14:paraId="0BE2120E">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7D177815">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962" w:type="pct"/>
                  <w:noWrap w:val="0"/>
                  <w:vAlign w:val="center"/>
                </w:tcPr>
                <w:p w14:paraId="150768DC">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eastAsia="zh-CN"/>
                    </w:rPr>
                    <w:t>废活性炭</w:t>
                  </w:r>
                </w:p>
              </w:tc>
              <w:tc>
                <w:tcPr>
                  <w:tcW w:w="1198" w:type="pct"/>
                  <w:noWrap w:val="0"/>
                  <w:vAlign w:val="center"/>
                </w:tcPr>
                <w:p w14:paraId="2F125F9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废气处理</w:t>
                  </w:r>
                </w:p>
              </w:tc>
              <w:tc>
                <w:tcPr>
                  <w:tcW w:w="872" w:type="pct"/>
                  <w:noWrap w:val="0"/>
                  <w:vAlign w:val="center"/>
                </w:tcPr>
                <w:p w14:paraId="1BF50BCD">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ascii="宋体" w:hAnsi="宋体" w:eastAsia="宋体" w:cs="宋体"/>
                      <w:bCs/>
                      <w:color w:val="auto"/>
                      <w:kern w:val="0"/>
                      <w:sz w:val="21"/>
                      <w:szCs w:val="21"/>
                      <w:lang w:eastAsia="zh-CN"/>
                    </w:rPr>
                    <w:t>废活性炭</w:t>
                  </w:r>
                </w:p>
              </w:tc>
              <w:tc>
                <w:tcPr>
                  <w:tcW w:w="1128" w:type="pct"/>
                  <w:gridSpan w:val="2"/>
                  <w:noWrap w:val="0"/>
                  <w:vAlign w:val="center"/>
                </w:tcPr>
                <w:p w14:paraId="138EC85A">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危废间暂存，委托有资质单位处置</w:t>
                  </w:r>
                </w:p>
              </w:tc>
            </w:tr>
            <w:tr w14:paraId="406B39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4" w:type="pct"/>
                  <w:vMerge w:val="continue"/>
                  <w:noWrap w:val="0"/>
                  <w:vAlign w:val="center"/>
                </w:tcPr>
                <w:p w14:paraId="6A2E90EF">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46BBD992">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962" w:type="pct"/>
                  <w:noWrap w:val="0"/>
                  <w:vAlign w:val="center"/>
                </w:tcPr>
                <w:p w14:paraId="61D5E5B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废催化剂</w:t>
                  </w:r>
                </w:p>
              </w:tc>
              <w:tc>
                <w:tcPr>
                  <w:tcW w:w="1198" w:type="pct"/>
                  <w:noWrap w:val="0"/>
                  <w:vAlign w:val="center"/>
                </w:tcPr>
                <w:p w14:paraId="1E3B73E3">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cs="Times New Roman"/>
                      <w:color w:val="auto"/>
                      <w:kern w:val="0"/>
                      <w:sz w:val="21"/>
                      <w:szCs w:val="21"/>
                      <w:vertAlign w:val="baseline"/>
                      <w:lang w:val="en-US" w:eastAsia="zh-CN" w:bidi="ar-SA"/>
                    </w:rPr>
                  </w:pPr>
                  <w:r>
                    <w:rPr>
                      <w:rFonts w:hint="eastAsia" w:cs="Times New Roman"/>
                      <w:color w:val="auto"/>
                      <w:kern w:val="0"/>
                      <w:sz w:val="21"/>
                      <w:szCs w:val="21"/>
                      <w:vertAlign w:val="baseline"/>
                      <w:lang w:val="en-US" w:eastAsia="zh-CN" w:bidi="ar-SA"/>
                    </w:rPr>
                    <w:t>废气处理</w:t>
                  </w:r>
                </w:p>
              </w:tc>
              <w:tc>
                <w:tcPr>
                  <w:tcW w:w="872" w:type="pct"/>
                  <w:noWrap w:val="0"/>
                  <w:vAlign w:val="center"/>
                </w:tcPr>
                <w:p w14:paraId="4719878C">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ascii="宋体" w:hAnsi="宋体" w:cs="宋体"/>
                      <w:bCs/>
                      <w:color w:val="auto"/>
                      <w:kern w:val="0"/>
                      <w:sz w:val="21"/>
                      <w:szCs w:val="21"/>
                      <w:lang w:eastAsia="zh-CN"/>
                    </w:rPr>
                    <w:t>废催化剂</w:t>
                  </w:r>
                </w:p>
              </w:tc>
              <w:tc>
                <w:tcPr>
                  <w:tcW w:w="1128" w:type="pct"/>
                  <w:gridSpan w:val="2"/>
                  <w:noWrap w:val="0"/>
                  <w:vAlign w:val="center"/>
                </w:tcPr>
                <w:p w14:paraId="69A0D3AB">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危废间暂存，委托有资质单位处置</w:t>
                  </w:r>
                </w:p>
              </w:tc>
            </w:tr>
            <w:tr w14:paraId="4EB74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4" w:type="pct"/>
                  <w:vMerge w:val="continue"/>
                  <w:noWrap w:val="0"/>
                  <w:vAlign w:val="center"/>
                </w:tcPr>
                <w:p w14:paraId="02B0F7CE">
                  <w:pPr>
                    <w:keepNext w:val="0"/>
                    <w:keepLines w:val="0"/>
                    <w:suppressLineNumbers w:val="0"/>
                    <w:spacing w:before="0" w:beforeAutospacing="0" w:after="0" w:afterAutospacing="0" w:line="0" w:lineRule="atLeast"/>
                    <w:ind w:left="0" w:right="0"/>
                    <w:jc w:val="center"/>
                    <w:rPr>
                      <w:rFonts w:hint="default"/>
                      <w:color w:val="auto"/>
                      <w:sz w:val="21"/>
                      <w:szCs w:val="21"/>
                    </w:rPr>
                  </w:pPr>
                </w:p>
              </w:tc>
              <w:tc>
                <w:tcPr>
                  <w:tcW w:w="444" w:type="pct"/>
                  <w:vMerge w:val="continue"/>
                  <w:noWrap w:val="0"/>
                  <w:vAlign w:val="center"/>
                </w:tcPr>
                <w:p w14:paraId="3B611EB7">
                  <w:pPr>
                    <w:keepNext w:val="0"/>
                    <w:keepLines w:val="0"/>
                    <w:suppressLineNumbers w:val="0"/>
                    <w:spacing w:before="0" w:beforeAutospacing="0" w:after="0" w:afterAutospacing="0" w:line="0" w:lineRule="atLeast"/>
                    <w:ind w:left="0" w:right="0"/>
                    <w:jc w:val="center"/>
                    <w:rPr>
                      <w:rFonts w:hint="default"/>
                      <w:color w:val="auto"/>
                      <w:sz w:val="21"/>
                      <w:szCs w:val="21"/>
                      <w:u w:val="single"/>
                    </w:rPr>
                  </w:pPr>
                </w:p>
              </w:tc>
              <w:tc>
                <w:tcPr>
                  <w:tcW w:w="962" w:type="pct"/>
                  <w:noWrap w:val="0"/>
                  <w:vAlign w:val="center"/>
                </w:tcPr>
                <w:p w14:paraId="7E8679A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lang w:eastAsia="zh-CN"/>
                    </w:rPr>
                    <w:t>废润滑油桶</w:t>
                  </w:r>
                </w:p>
              </w:tc>
              <w:tc>
                <w:tcPr>
                  <w:tcW w:w="1198" w:type="pct"/>
                  <w:noWrap w:val="0"/>
                  <w:vAlign w:val="center"/>
                </w:tcPr>
                <w:p w14:paraId="0B110EB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color w:val="auto"/>
                      <w:sz w:val="21"/>
                      <w:szCs w:val="21"/>
                      <w:vertAlign w:val="baseline"/>
                      <w:lang w:eastAsia="zh-CN"/>
                    </w:rPr>
                  </w:pPr>
                  <w:r>
                    <w:rPr>
                      <w:rFonts w:hint="eastAsia" w:cs="Times New Roman"/>
                      <w:color w:val="auto"/>
                      <w:sz w:val="21"/>
                      <w:szCs w:val="21"/>
                      <w:vertAlign w:val="baseline"/>
                      <w:lang w:eastAsia="zh-CN"/>
                    </w:rPr>
                    <w:t>设备润滑</w:t>
                  </w:r>
                </w:p>
              </w:tc>
              <w:tc>
                <w:tcPr>
                  <w:tcW w:w="872" w:type="pct"/>
                  <w:noWrap w:val="0"/>
                  <w:vAlign w:val="center"/>
                </w:tcPr>
                <w:p w14:paraId="6F6F99D8">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ascii="宋体" w:hAnsi="宋体" w:eastAsia="宋体" w:cs="宋体"/>
                      <w:bCs/>
                      <w:color w:val="auto"/>
                      <w:kern w:val="0"/>
                      <w:sz w:val="21"/>
                      <w:szCs w:val="21"/>
                      <w:lang w:eastAsia="zh-CN"/>
                    </w:rPr>
                    <w:t>废润滑油桶</w:t>
                  </w:r>
                </w:p>
              </w:tc>
              <w:tc>
                <w:tcPr>
                  <w:tcW w:w="1128" w:type="pct"/>
                  <w:gridSpan w:val="2"/>
                  <w:noWrap w:val="0"/>
                  <w:vAlign w:val="center"/>
                </w:tcPr>
                <w:p w14:paraId="424E4D0A">
                  <w:pPr>
                    <w:keepNext w:val="0"/>
                    <w:keepLines w:val="0"/>
                    <w:suppressLineNumbers w:val="0"/>
                    <w:spacing w:before="0" w:beforeAutospacing="0" w:after="0" w:afterAutospacing="0" w:line="0" w:lineRule="atLeast"/>
                    <w:ind w:left="0" w:right="0"/>
                    <w:jc w:val="center"/>
                    <w:rPr>
                      <w:rFonts w:hint="eastAsia"/>
                      <w:color w:val="auto"/>
                      <w:sz w:val="21"/>
                      <w:szCs w:val="21"/>
                      <w:lang w:eastAsia="zh-CN"/>
                    </w:rPr>
                  </w:pPr>
                  <w:r>
                    <w:rPr>
                      <w:rFonts w:hint="eastAsia"/>
                      <w:color w:val="auto"/>
                      <w:sz w:val="21"/>
                      <w:szCs w:val="21"/>
                      <w:lang w:eastAsia="zh-CN"/>
                    </w:rPr>
                    <w:t>危废间暂存，委托有资质单位处置</w:t>
                  </w:r>
                </w:p>
              </w:tc>
            </w:tr>
          </w:tbl>
          <w:p w14:paraId="1AF85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p>
        </w:tc>
      </w:tr>
      <w:tr w14:paraId="4B1D9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655" w:type="dxa"/>
            <w:noWrap w:val="0"/>
            <w:vAlign w:val="center"/>
          </w:tcPr>
          <w:p w14:paraId="0EEDE7DA">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Cs w:val="24"/>
                <w:highlight w:val="none"/>
              </w:rPr>
            </w:pPr>
            <w:r>
              <w:rPr>
                <w:rFonts w:hint="default" w:ascii="Times New Roman" w:hAnsi="Times New Roman" w:eastAsia="Times New Roman" w:cs="Times New Roman"/>
                <w:bCs/>
                <w:color w:val="auto"/>
                <w:kern w:val="2"/>
                <w:szCs w:val="24"/>
                <w:highlight w:val="none"/>
              </w:rPr>
              <w:t>与项目有关的原有环境污染问题</w:t>
            </w:r>
          </w:p>
        </w:tc>
        <w:tc>
          <w:tcPr>
            <w:tcW w:w="8348" w:type="dxa"/>
            <w:noWrap w:val="0"/>
            <w:vAlign w:val="center"/>
          </w:tcPr>
          <w:p w14:paraId="4B5B5B54">
            <w:pPr>
              <w:pStyle w:val="13"/>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28"/>
                <w:lang w:val="en-US" w:eastAsia="zh-CN"/>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安阳市雨露节水灌溉科技有限公司成立于2018年，现厂址位于</w:t>
            </w:r>
            <w:r>
              <w:rPr>
                <w:rFonts w:hint="eastAsia" w:ascii="Times New Roman" w:hAnsi="Times New Roman" w:cs="Times New Roman"/>
                <w:color w:val="auto"/>
                <w:sz w:val="24"/>
                <w:szCs w:val="28"/>
              </w:rPr>
              <w:t>安阳市</w:t>
            </w:r>
            <w:r>
              <w:rPr>
                <w:rFonts w:hint="eastAsia" w:ascii="Times New Roman" w:hAnsi="Times New Roman" w:cs="Times New Roman"/>
                <w:color w:val="auto"/>
                <w:sz w:val="24"/>
                <w:szCs w:val="28"/>
                <w:lang w:eastAsia="zh-CN"/>
              </w:rPr>
              <w:t>汤阴县宜沟镇工业区，</w:t>
            </w:r>
            <w:r>
              <w:rPr>
                <w:rFonts w:hint="eastAsia" w:ascii="Times New Roman" w:hAnsi="Times New Roman" w:cs="Times New Roman"/>
                <w:color w:val="auto"/>
                <w:sz w:val="24"/>
                <w:szCs w:val="28"/>
                <w:lang w:val="en-US" w:eastAsia="zh-CN"/>
              </w:rPr>
              <w:t>建有</w:t>
            </w:r>
            <w:r>
              <w:rPr>
                <w:rFonts w:hint="eastAsia" w:ascii="Times New Roman" w:hAnsi="Times New Roman"/>
                <w:color w:val="auto"/>
                <w:sz w:val="24"/>
                <w:szCs w:val="24"/>
              </w:rPr>
              <w:t>环保水带建设</w:t>
            </w:r>
            <w:r>
              <w:rPr>
                <w:rFonts w:hint="eastAsia" w:ascii="Times New Roman" w:hAnsi="Times New Roman" w:cs="Times New Roman"/>
                <w:color w:val="auto"/>
                <w:sz w:val="24"/>
                <w:szCs w:val="28"/>
              </w:rPr>
              <w:t>项目</w:t>
            </w:r>
            <w:r>
              <w:rPr>
                <w:rFonts w:hint="eastAsia" w:ascii="Times New Roman" w:hAnsi="Times New Roman" w:cs="Times New Roman"/>
                <w:color w:val="auto"/>
                <w:sz w:val="24"/>
                <w:szCs w:val="28"/>
                <w:lang w:eastAsia="zh-CN"/>
              </w:rPr>
              <w:t>。</w:t>
            </w:r>
            <w:r>
              <w:rPr>
                <w:rFonts w:hint="eastAsia" w:ascii="Times New Roman" w:hAnsi="Times New Roman" w:cs="Times New Roman"/>
                <w:color w:val="auto"/>
                <w:sz w:val="24"/>
                <w:szCs w:val="28"/>
                <w:lang w:val="en-US" w:eastAsia="zh-CN"/>
              </w:rPr>
              <w:t>现有工程环境影响报告表于2021年10月28日由</w:t>
            </w:r>
            <w:r>
              <w:rPr>
                <w:rFonts w:hint="eastAsia" w:ascii="Times New Roman" w:hAnsi="Times New Roman" w:cs="Times New Roman"/>
                <w:color w:val="auto"/>
                <w:sz w:val="24"/>
                <w:szCs w:val="28"/>
                <w:lang w:val="en-US" w:eastAsia="zh-CN"/>
              </w:rPr>
              <w:t>安阳市生态环境局汤阴分局以</w:t>
            </w:r>
            <w:r>
              <w:rPr>
                <w:rFonts w:hint="eastAsia" w:ascii="Times New Roman" w:hAnsi="Times New Roman" w:cs="Times New Roman"/>
                <w:color w:val="auto"/>
                <w:sz w:val="24"/>
                <w:szCs w:val="28"/>
                <w:lang w:val="en-US" w:eastAsia="zh-CN"/>
              </w:rPr>
              <w:t>“汤环管字</w:t>
            </w:r>
            <w:r>
              <w:rPr>
                <w:rFonts w:hint="default" w:ascii="Times New Roman" w:hAnsi="Times New Roman" w:eastAsia="宋体" w:cs="Times New Roman"/>
                <w:color w:val="auto"/>
                <w:sz w:val="24"/>
                <w:szCs w:val="28"/>
                <w:lang w:val="en-US" w:eastAsia="zh-CN"/>
              </w:rPr>
              <w:t>〔2021〕</w:t>
            </w:r>
            <w:r>
              <w:rPr>
                <w:rFonts w:hint="eastAsia" w:ascii="Times New Roman" w:hAnsi="Times New Roman" w:cs="Times New Roman"/>
                <w:color w:val="auto"/>
                <w:sz w:val="24"/>
                <w:szCs w:val="28"/>
                <w:lang w:val="en-US" w:eastAsia="zh-CN"/>
              </w:rPr>
              <w:t>17号”进行了批复，项目第一阶段建设于2022年3月通过了自主验收（见附件10），第一阶段建设为年产1300万米编织水带。现有项目已取得排污登记，登记编号91410523MA451GN8XR001Z。</w:t>
            </w:r>
          </w:p>
          <w:p w14:paraId="166F234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jc w:val="both"/>
              <w:textAlignment w:val="auto"/>
              <w:rPr>
                <w:rFonts w:hint="eastAsia" w:ascii="Times New Roman" w:hAnsi="Times New Roman" w:cs="Times New Roman"/>
                <w:color w:val="auto"/>
                <w:sz w:val="24"/>
                <w:szCs w:val="28"/>
                <w:lang w:val="en-US" w:eastAsia="zh-CN"/>
              </w:rPr>
            </w:pPr>
            <w:r>
              <w:rPr>
                <w:rFonts w:hint="eastAsia" w:ascii="Times New Roman" w:hAnsi="Times New Roman" w:cs="Times New Roman"/>
                <w:color w:val="auto"/>
                <w:sz w:val="24"/>
                <w:szCs w:val="28"/>
                <w:lang w:val="en-US" w:eastAsia="zh-CN"/>
              </w:rPr>
              <w:t>现有工程产排污情况如下：</w:t>
            </w:r>
          </w:p>
          <w:p w14:paraId="24524E29">
            <w:pPr>
              <w:pStyle w:val="86"/>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1.废气</w:t>
            </w:r>
          </w:p>
          <w:p w14:paraId="43B24319">
            <w:pPr>
              <w:pStyle w:val="8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eastAsia="宋体" w:cs="Times New Roman"/>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现有工程</w:t>
            </w:r>
            <w:r>
              <w:rPr>
                <w:rFonts w:hint="eastAsia" w:eastAsia="宋体" w:cs="Times New Roman"/>
                <w:b w:val="0"/>
                <w:bCs w:val="0"/>
                <w:color w:val="auto"/>
                <w:kern w:val="2"/>
                <w:sz w:val="24"/>
                <w:szCs w:val="24"/>
                <w:highlight w:val="none"/>
                <w:u w:val="none" w:color="auto"/>
                <w:lang w:val="en-US" w:eastAsia="zh-CN" w:bidi="ar-SA"/>
              </w:rPr>
              <w:t>挤出（吹塑）废气经集气罩收集后经一套等离子交换+活性炭吸附装置处理后通过15m高排气筒排放，根据《安阳市雨露节水灌溉科技有限公司检测项目》（光远检测技术有限公司，2024年6月15日，编号：光远检字第（YS2024060102）号），本项目挤出（吹塑）废气出口VOCs排放浓度为4.53</w:t>
            </w:r>
            <w:r>
              <w:rPr>
                <w:rFonts w:hint="eastAsia" w:eastAsia="宋体"/>
                <w:b w:val="0"/>
                <w:color w:val="auto"/>
                <w:sz w:val="24"/>
                <w:szCs w:val="24"/>
                <w:lang w:val="en-US" w:eastAsia="zh-CN"/>
              </w:rPr>
              <w:t>~5.32mg/m</w:t>
            </w:r>
            <w:r>
              <w:rPr>
                <w:rFonts w:hint="eastAsia" w:eastAsia="宋体"/>
                <w:b w:val="0"/>
                <w:color w:val="auto"/>
                <w:sz w:val="24"/>
                <w:szCs w:val="24"/>
                <w:vertAlign w:val="superscript"/>
                <w:lang w:val="en-US" w:eastAsia="zh-CN"/>
              </w:rPr>
              <w:t>3</w:t>
            </w:r>
            <w:r>
              <w:rPr>
                <w:rFonts w:hint="eastAsia" w:eastAsia="宋体"/>
                <w:b w:val="0"/>
                <w:color w:val="auto"/>
                <w:sz w:val="24"/>
                <w:szCs w:val="24"/>
                <w:lang w:val="en-US" w:eastAsia="zh-CN"/>
              </w:rPr>
              <w:t>，排放速率均值为2.675*10</w:t>
            </w:r>
            <w:r>
              <w:rPr>
                <w:rFonts w:hint="eastAsia" w:eastAsia="宋体"/>
                <w:b w:val="0"/>
                <w:color w:val="auto"/>
                <w:sz w:val="24"/>
                <w:szCs w:val="24"/>
                <w:vertAlign w:val="superscript"/>
                <w:lang w:val="en-US" w:eastAsia="zh-CN"/>
              </w:rPr>
              <w:t>-2</w:t>
            </w:r>
            <w:r>
              <w:rPr>
                <w:rFonts w:hint="eastAsia" w:eastAsia="宋体"/>
                <w:b w:val="0"/>
                <w:color w:val="auto"/>
                <w:sz w:val="24"/>
                <w:szCs w:val="24"/>
                <w:lang w:val="en-US" w:eastAsia="zh-CN"/>
              </w:rPr>
              <w:t>kg/h，风量为4.98×10</w:t>
            </w:r>
            <w:r>
              <w:rPr>
                <w:rFonts w:hint="eastAsia" w:eastAsia="宋体"/>
                <w:b w:val="0"/>
                <w:color w:val="auto"/>
                <w:sz w:val="24"/>
                <w:szCs w:val="24"/>
                <w:vertAlign w:val="superscript"/>
                <w:lang w:val="en-US" w:eastAsia="zh-CN"/>
              </w:rPr>
              <w:t>3</w:t>
            </w:r>
            <w:r>
              <w:rPr>
                <w:rFonts w:hint="eastAsia" w:eastAsia="宋体"/>
                <w:b w:val="0"/>
                <w:color w:val="auto"/>
                <w:sz w:val="24"/>
                <w:szCs w:val="24"/>
                <w:lang w:val="en-US" w:eastAsia="zh-CN"/>
              </w:rPr>
              <w:t>~5.84×10</w:t>
            </w:r>
            <w:r>
              <w:rPr>
                <w:rFonts w:hint="eastAsia" w:eastAsia="宋体"/>
                <w:b w:val="0"/>
                <w:color w:val="auto"/>
                <w:sz w:val="24"/>
                <w:szCs w:val="24"/>
                <w:vertAlign w:val="superscript"/>
                <w:lang w:val="en-US" w:eastAsia="zh-CN"/>
              </w:rPr>
              <w:t>3</w:t>
            </w:r>
            <w:r>
              <w:rPr>
                <w:rFonts w:hint="eastAsia" w:eastAsia="宋体"/>
                <w:b w:val="0"/>
                <w:color w:val="auto"/>
                <w:sz w:val="24"/>
                <w:szCs w:val="24"/>
                <w:lang w:val="en-US" w:eastAsia="zh-CN"/>
              </w:rPr>
              <w:t>m</w:t>
            </w:r>
            <w:r>
              <w:rPr>
                <w:rFonts w:hint="eastAsia" w:eastAsia="宋体"/>
                <w:b w:val="0"/>
                <w:color w:val="auto"/>
                <w:sz w:val="24"/>
                <w:szCs w:val="24"/>
                <w:vertAlign w:val="superscript"/>
                <w:lang w:val="en-US" w:eastAsia="zh-CN"/>
              </w:rPr>
              <w:t>3</w:t>
            </w:r>
            <w:r>
              <w:rPr>
                <w:rFonts w:hint="eastAsia" w:eastAsia="宋体"/>
                <w:b w:val="0"/>
                <w:color w:val="auto"/>
                <w:sz w:val="24"/>
                <w:szCs w:val="24"/>
                <w:lang w:val="en-US" w:eastAsia="zh-CN"/>
              </w:rPr>
              <w:t>/h。无组织</w:t>
            </w:r>
            <w:r>
              <w:rPr>
                <w:rFonts w:hint="eastAsia" w:eastAsia="宋体" w:cs="Times New Roman"/>
                <w:b w:val="0"/>
                <w:bCs w:val="0"/>
                <w:color w:val="auto"/>
                <w:kern w:val="2"/>
                <w:sz w:val="24"/>
                <w:szCs w:val="24"/>
                <w:highlight w:val="none"/>
                <w:u w:val="none" w:color="auto"/>
                <w:lang w:val="en-US" w:eastAsia="zh-CN" w:bidi="ar-SA"/>
              </w:rPr>
              <w:t>VOCs上风向浓度为1.04</w:t>
            </w:r>
            <w:r>
              <w:rPr>
                <w:rFonts w:hint="eastAsia" w:eastAsia="宋体"/>
                <w:b w:val="0"/>
                <w:color w:val="auto"/>
                <w:sz w:val="24"/>
                <w:szCs w:val="24"/>
                <w:lang w:val="en-US" w:eastAsia="zh-CN"/>
              </w:rPr>
              <w:t>~1.21mg/m</w:t>
            </w:r>
            <w:r>
              <w:rPr>
                <w:rFonts w:hint="eastAsia" w:eastAsia="宋体"/>
                <w:b w:val="0"/>
                <w:color w:val="auto"/>
                <w:sz w:val="24"/>
                <w:szCs w:val="24"/>
                <w:vertAlign w:val="superscript"/>
                <w:lang w:val="en-US" w:eastAsia="zh-CN"/>
              </w:rPr>
              <w:t>3</w:t>
            </w:r>
            <w:r>
              <w:rPr>
                <w:rFonts w:hint="eastAsia" w:eastAsia="宋体"/>
                <w:b w:val="0"/>
                <w:color w:val="auto"/>
                <w:sz w:val="24"/>
                <w:szCs w:val="24"/>
                <w:lang w:val="en-US" w:eastAsia="zh-CN"/>
              </w:rPr>
              <w:t>，无组织</w:t>
            </w:r>
            <w:r>
              <w:rPr>
                <w:rFonts w:hint="eastAsia" w:eastAsia="宋体" w:cs="Times New Roman"/>
                <w:b w:val="0"/>
                <w:bCs w:val="0"/>
                <w:color w:val="auto"/>
                <w:kern w:val="2"/>
                <w:sz w:val="24"/>
                <w:szCs w:val="24"/>
                <w:highlight w:val="none"/>
                <w:u w:val="none" w:color="auto"/>
                <w:lang w:val="en-US" w:eastAsia="zh-CN" w:bidi="ar-SA"/>
              </w:rPr>
              <w:t>VOCs下风向浓度为1.32</w:t>
            </w:r>
            <w:r>
              <w:rPr>
                <w:rFonts w:hint="eastAsia" w:eastAsia="宋体"/>
                <w:b w:val="0"/>
                <w:color w:val="auto"/>
                <w:sz w:val="24"/>
                <w:szCs w:val="24"/>
                <w:lang w:val="en-US" w:eastAsia="zh-CN"/>
              </w:rPr>
              <w:t>~1.98mg/m</w:t>
            </w:r>
            <w:r>
              <w:rPr>
                <w:rFonts w:hint="eastAsia" w:eastAsia="宋体"/>
                <w:b w:val="0"/>
                <w:color w:val="auto"/>
                <w:sz w:val="24"/>
                <w:szCs w:val="24"/>
                <w:vertAlign w:val="superscript"/>
                <w:lang w:val="en-US" w:eastAsia="zh-CN"/>
              </w:rPr>
              <w:t>3</w:t>
            </w:r>
            <w:r>
              <w:rPr>
                <w:rFonts w:hint="eastAsia" w:eastAsia="宋体"/>
                <w:b w:val="0"/>
                <w:color w:val="auto"/>
                <w:sz w:val="24"/>
                <w:szCs w:val="24"/>
                <w:lang w:val="en-US" w:eastAsia="zh-CN"/>
              </w:rPr>
              <w:t>，</w:t>
            </w:r>
            <w:r>
              <w:rPr>
                <w:rFonts w:hint="eastAsia" w:eastAsia="宋体" w:cs="Times New Roman"/>
                <w:b w:val="0"/>
                <w:bCs w:val="0"/>
                <w:color w:val="auto"/>
                <w:kern w:val="2"/>
                <w:sz w:val="24"/>
                <w:szCs w:val="24"/>
                <w:highlight w:val="none"/>
                <w:u w:val="none" w:color="auto"/>
                <w:lang w:val="en-US" w:eastAsia="zh-CN" w:bidi="ar-SA"/>
              </w:rPr>
              <w:t>VOCs排放浓度能够满足《合成树脂工业污染物排放标准（GB31572-2015）（含2024年修改单版本）》和《挥发性有机物无组织排放控制标准》（GB37822-2019）以及《关于全省开展工业企业挥发性有机物专项治理工作中排放建议值的通知》（豫环攻坚办〔2017〕162号）。</w:t>
            </w:r>
          </w:p>
          <w:p w14:paraId="7BDC5A2D">
            <w:pPr>
              <w:pStyle w:val="8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eastAsia="宋体" w:cs="Times New Roman"/>
                <w:b w:val="0"/>
                <w:bCs w:val="0"/>
                <w:color w:val="auto"/>
                <w:kern w:val="2"/>
                <w:sz w:val="24"/>
                <w:szCs w:val="24"/>
                <w:highlight w:val="none"/>
                <w:u w:val="none" w:color="auto"/>
                <w:lang w:val="en-US" w:eastAsia="zh-CN" w:bidi="ar-SA"/>
              </w:rPr>
            </w:pPr>
            <w:r>
              <w:rPr>
                <w:rFonts w:hint="eastAsia" w:eastAsia="宋体" w:cs="Times New Roman"/>
                <w:b w:val="0"/>
                <w:bCs w:val="0"/>
                <w:color w:val="auto"/>
                <w:kern w:val="2"/>
                <w:sz w:val="24"/>
                <w:szCs w:val="24"/>
                <w:highlight w:val="none"/>
                <w:u w:val="none" w:color="auto"/>
                <w:lang w:val="en-US" w:eastAsia="zh-CN" w:bidi="ar-SA"/>
              </w:rPr>
              <w:t>监测期间，项目生产负荷为75%，年生产330天，3班，每班8小时，经计算，现有VOCs的排放量为0.2825t/a，环评批复量为2.0445t/a，未超出环评批复量。</w:t>
            </w:r>
          </w:p>
          <w:p w14:paraId="3C488095">
            <w:pPr>
              <w:pStyle w:val="86"/>
              <w:keepNext w:val="0"/>
              <w:keepLines w:val="0"/>
              <w:suppressLineNumbers w:val="0"/>
              <w:spacing w:before="0" w:beforeAutospacing="0" w:after="0" w:afterAutospacing="0"/>
              <w:ind w:left="0" w:leftChars="0" w:right="0" w:firstLine="0" w:firstLineChars="0"/>
              <w:rPr>
                <w:rFonts w:hint="default" w:eastAsia="宋体"/>
                <w:color w:val="auto"/>
              </w:rPr>
            </w:pPr>
            <w:r>
              <w:rPr>
                <w:rFonts w:hint="default" w:eastAsia="宋体"/>
                <w:color w:val="auto"/>
              </w:rPr>
              <w:t>2</w:t>
            </w:r>
            <w:r>
              <w:rPr>
                <w:rFonts w:hint="eastAsia" w:eastAsia="宋体"/>
                <w:color w:val="auto"/>
                <w:lang w:val="en-US" w:eastAsia="zh-CN"/>
              </w:rPr>
              <w:t>.</w:t>
            </w:r>
            <w:r>
              <w:rPr>
                <w:rFonts w:hint="default" w:eastAsia="宋体"/>
                <w:color w:val="auto"/>
              </w:rPr>
              <w:t>废水</w:t>
            </w:r>
          </w:p>
          <w:p w14:paraId="5EE3535E">
            <w:pPr>
              <w:pStyle w:val="86"/>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ascii="Times New Roman" w:hAnsi="Times New Roman" w:eastAsia="宋体" w:cs="Times New Roman"/>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现有</w:t>
            </w:r>
            <w:r>
              <w:rPr>
                <w:rFonts w:hint="default" w:ascii="Times New Roman" w:hAnsi="Times New Roman" w:eastAsia="宋体" w:cs="Times New Roman"/>
                <w:b w:val="0"/>
                <w:bCs w:val="0"/>
                <w:color w:val="auto"/>
                <w:kern w:val="2"/>
                <w:sz w:val="24"/>
                <w:szCs w:val="24"/>
                <w:highlight w:val="none"/>
                <w:u w:val="none" w:color="auto"/>
                <w:lang w:val="en-US" w:eastAsia="zh-CN" w:bidi="ar-SA"/>
              </w:rPr>
              <w:t>项目冷却用水循环使用，</w:t>
            </w:r>
            <w:r>
              <w:rPr>
                <w:rFonts w:hint="eastAsia" w:ascii="Times New Roman" w:hAnsi="Times New Roman" w:eastAsia="宋体" w:cs="Times New Roman"/>
                <w:b w:val="0"/>
                <w:bCs w:val="0"/>
                <w:color w:val="auto"/>
                <w:kern w:val="2"/>
                <w:sz w:val="24"/>
                <w:szCs w:val="24"/>
                <w:highlight w:val="none"/>
                <w:u w:val="none" w:color="auto"/>
                <w:lang w:val="en-US" w:eastAsia="zh-CN" w:bidi="ar-SA"/>
              </w:rPr>
              <w:t>不外排。生活污水经化粪池处理后由市政污水管道排入污水处理厂。企业无生产废水外排，仅排放生活污水，近年来未对废水水样进行检测，</w:t>
            </w:r>
            <w:r>
              <w:rPr>
                <w:rFonts w:hint="eastAsia" w:eastAsia="宋体" w:cs="Times New Roman"/>
                <w:b w:val="0"/>
                <w:bCs w:val="0"/>
                <w:color w:val="auto"/>
                <w:kern w:val="2"/>
                <w:sz w:val="24"/>
                <w:szCs w:val="24"/>
                <w:highlight w:val="none"/>
                <w:u w:val="none" w:color="auto"/>
                <w:lang w:val="en-US" w:eastAsia="zh-CN" w:bidi="ar-SA"/>
              </w:rPr>
              <w:t>由于《安阳市雨露节水灌溉科技有限公司检测项目》（光远检测技术有限公司，2024年6月15日，编号：光远检字第（YS2024060102）号）中未检测废水流量，本次废水根据《年产量3000万米高分子物理合成编织水带项目验收监测报告》（河南永蓝检测技术有限公司，2022年3月1日，编号：YLJC2201082Y）分析</w:t>
            </w:r>
            <w:r>
              <w:rPr>
                <w:rFonts w:hint="eastAsia" w:ascii="Times New Roman" w:hAnsi="Times New Roman" w:eastAsia="宋体" w:cs="Times New Roman"/>
                <w:b w:val="0"/>
                <w:bCs w:val="0"/>
                <w:color w:val="auto"/>
                <w:kern w:val="2"/>
                <w:sz w:val="24"/>
                <w:szCs w:val="24"/>
                <w:highlight w:val="none"/>
                <w:u w:val="none" w:color="auto"/>
                <w:lang w:val="en-US" w:eastAsia="zh-CN" w:bidi="ar-SA"/>
              </w:rPr>
              <w:t>，现有项目废水总排口废水中pH测定值为7.4-7.5、COD176-180mgL，BOD</w:t>
            </w:r>
            <w:r>
              <w:rPr>
                <w:rFonts w:hint="eastAsia" w:ascii="Times New Roman" w:hAnsi="Times New Roman" w:eastAsia="宋体" w:cs="Times New Roman"/>
                <w:b w:val="0"/>
                <w:bCs w:val="0"/>
                <w:color w:val="auto"/>
                <w:kern w:val="2"/>
                <w:sz w:val="24"/>
                <w:szCs w:val="24"/>
                <w:highlight w:val="none"/>
                <w:u w:val="none" w:color="auto"/>
                <w:vertAlign w:val="subscript"/>
                <w:lang w:val="en-US" w:eastAsia="zh-CN" w:bidi="ar-SA"/>
              </w:rPr>
              <w:t>5</w:t>
            </w:r>
            <w:r>
              <w:rPr>
                <w:rFonts w:hint="eastAsia" w:ascii="Times New Roman" w:hAnsi="Times New Roman" w:eastAsia="宋体" w:cs="Times New Roman"/>
                <w:b w:val="0"/>
                <w:bCs w:val="0"/>
                <w:color w:val="auto"/>
                <w:kern w:val="2"/>
                <w:sz w:val="24"/>
                <w:szCs w:val="24"/>
                <w:highlight w:val="none"/>
                <w:u w:val="none" w:color="auto"/>
                <w:lang w:val="en-US" w:eastAsia="zh-CN" w:bidi="ar-SA"/>
              </w:rPr>
              <w:t>34.9-38.6mgL、氨氮15.9-19.0mgL、悬浮物为79-83mgL，均符合《污水综合排放标准》GB8978-1996中的三级标准及汤阴东方环宇污水处理有限公司进水水质要求。</w:t>
            </w:r>
          </w:p>
          <w:p w14:paraId="77F6797B">
            <w:pPr>
              <w:pStyle w:val="8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textAlignment w:val="auto"/>
              <w:rPr>
                <w:rFonts w:hint="eastAsia" w:ascii="Times New Roman" w:hAnsi="Times New Roman" w:eastAsia="宋体" w:cs="Times New Roman"/>
                <w:b w:val="0"/>
                <w:bCs w:val="0"/>
                <w:color w:val="auto"/>
                <w:kern w:val="2"/>
                <w:sz w:val="24"/>
                <w:szCs w:val="24"/>
                <w:highlight w:val="none"/>
                <w:u w:val="none" w:color="auto"/>
                <w:lang w:val="en-US" w:eastAsia="zh-CN" w:bidi="ar-SA"/>
              </w:rPr>
            </w:pPr>
            <w:r>
              <w:rPr>
                <w:rFonts w:hint="eastAsia" w:eastAsia="宋体" w:cs="Times New Roman"/>
                <w:b w:val="0"/>
                <w:bCs w:val="0"/>
                <w:color w:val="auto"/>
                <w:kern w:val="2"/>
                <w:sz w:val="24"/>
                <w:szCs w:val="24"/>
                <w:highlight w:val="none"/>
                <w:u w:val="none" w:color="auto"/>
                <w:lang w:val="en-US" w:eastAsia="zh-CN" w:bidi="ar-SA"/>
              </w:rPr>
              <w:t>经计算，现有项目污染物</w:t>
            </w:r>
            <w:r>
              <w:rPr>
                <w:rFonts w:hint="eastAsia" w:ascii="Times New Roman" w:hAnsi="Times New Roman" w:eastAsia="宋体" w:cs="Times New Roman"/>
                <w:b w:val="0"/>
                <w:bCs w:val="0"/>
                <w:color w:val="auto"/>
                <w:kern w:val="2"/>
                <w:sz w:val="24"/>
                <w:szCs w:val="24"/>
                <w:highlight w:val="none"/>
                <w:u w:val="none" w:color="auto"/>
                <w:lang w:val="en-US" w:eastAsia="zh-CN" w:bidi="ar-SA"/>
              </w:rPr>
              <w:t>排放量为</w:t>
            </w:r>
            <w:r>
              <w:rPr>
                <w:rFonts w:hint="eastAsia" w:eastAsia="宋体" w:cs="Times New Roman"/>
                <w:b w:val="0"/>
                <w:bCs w:val="0"/>
                <w:color w:val="auto"/>
                <w:kern w:val="2"/>
                <w:sz w:val="24"/>
                <w:szCs w:val="24"/>
                <w:highlight w:val="none"/>
                <w:u w:val="none" w:color="auto"/>
                <w:lang w:val="en-US" w:eastAsia="zh-CN" w:bidi="ar-SA"/>
              </w:rPr>
              <w:t>：</w:t>
            </w:r>
            <w:r>
              <w:rPr>
                <w:rFonts w:hint="eastAsia" w:ascii="Times New Roman" w:hAnsi="Times New Roman" w:eastAsia="宋体" w:cs="Times New Roman"/>
                <w:b w:val="0"/>
                <w:bCs w:val="0"/>
                <w:color w:val="auto"/>
                <w:kern w:val="2"/>
                <w:sz w:val="24"/>
                <w:szCs w:val="24"/>
                <w:highlight w:val="none"/>
                <w:u w:val="none" w:color="auto"/>
                <w:lang w:val="en-US" w:eastAsia="zh-CN" w:bidi="ar-SA"/>
              </w:rPr>
              <w:t>COD0.0047t/a</w:t>
            </w:r>
            <w:r>
              <w:rPr>
                <w:rFonts w:hint="eastAsia" w:eastAsia="宋体" w:cs="Times New Roman"/>
                <w:b w:val="0"/>
                <w:bCs w:val="0"/>
                <w:color w:val="auto"/>
                <w:kern w:val="2"/>
                <w:sz w:val="24"/>
                <w:szCs w:val="24"/>
                <w:highlight w:val="none"/>
                <w:u w:val="none" w:color="auto"/>
                <w:lang w:val="en-US" w:eastAsia="zh-CN" w:bidi="ar-SA"/>
              </w:rPr>
              <w:t>、氨氮：0.0005t/a，</w:t>
            </w:r>
            <w:r>
              <w:rPr>
                <w:rFonts w:hint="eastAsia" w:ascii="Times New Roman" w:hAnsi="Times New Roman" w:eastAsia="宋体" w:cs="Times New Roman"/>
                <w:b w:val="0"/>
                <w:bCs w:val="0"/>
                <w:color w:val="auto"/>
                <w:kern w:val="2"/>
                <w:sz w:val="24"/>
                <w:szCs w:val="24"/>
                <w:highlight w:val="none"/>
                <w:u w:val="none" w:color="auto"/>
                <w:lang w:val="en-US" w:eastAsia="zh-CN" w:bidi="ar-SA"/>
              </w:rPr>
              <w:t>环评批复量为</w:t>
            </w:r>
            <w:r>
              <w:rPr>
                <w:rFonts w:hint="eastAsia" w:eastAsia="宋体" w:cs="Times New Roman"/>
                <w:b w:val="0"/>
                <w:bCs w:val="0"/>
                <w:color w:val="auto"/>
                <w:kern w:val="2"/>
                <w:sz w:val="24"/>
                <w:szCs w:val="24"/>
                <w:highlight w:val="none"/>
                <w:u w:val="none" w:color="auto"/>
                <w:lang w:val="en-US" w:eastAsia="zh-CN" w:bidi="ar-SA"/>
              </w:rPr>
              <w:t>COD：</w:t>
            </w:r>
            <w:r>
              <w:rPr>
                <w:rFonts w:hint="eastAsia" w:ascii="Times New Roman" w:hAnsi="Times New Roman" w:eastAsia="宋体" w:cs="Times New Roman"/>
                <w:b w:val="0"/>
                <w:bCs w:val="0"/>
                <w:color w:val="auto"/>
                <w:kern w:val="2"/>
                <w:sz w:val="24"/>
                <w:szCs w:val="24"/>
                <w:highlight w:val="none"/>
                <w:u w:val="none" w:color="auto"/>
                <w:lang w:val="en-US" w:eastAsia="zh-CN" w:bidi="ar-SA"/>
              </w:rPr>
              <w:t>0.0053t/a</w:t>
            </w:r>
            <w:r>
              <w:rPr>
                <w:rFonts w:hint="eastAsia" w:eastAsia="宋体" w:cs="Times New Roman"/>
                <w:b w:val="0"/>
                <w:bCs w:val="0"/>
                <w:color w:val="auto"/>
                <w:kern w:val="2"/>
                <w:sz w:val="24"/>
                <w:szCs w:val="24"/>
                <w:highlight w:val="none"/>
                <w:u w:val="none" w:color="auto"/>
                <w:lang w:val="en-US" w:eastAsia="zh-CN" w:bidi="ar-SA"/>
              </w:rPr>
              <w:t>、氨氮：0.0005t/a</w:t>
            </w:r>
            <w:r>
              <w:rPr>
                <w:rFonts w:hint="eastAsia" w:ascii="Times New Roman" w:hAnsi="Times New Roman" w:eastAsia="宋体" w:cs="Times New Roman"/>
                <w:b w:val="0"/>
                <w:bCs w:val="0"/>
                <w:color w:val="auto"/>
                <w:kern w:val="2"/>
                <w:sz w:val="24"/>
                <w:szCs w:val="24"/>
                <w:highlight w:val="none"/>
                <w:u w:val="none" w:color="auto"/>
                <w:lang w:val="en-US" w:eastAsia="zh-CN" w:bidi="ar-SA"/>
              </w:rPr>
              <w:t>。</w:t>
            </w:r>
          </w:p>
          <w:p w14:paraId="58D17102">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3.噪声</w:t>
            </w:r>
          </w:p>
          <w:p w14:paraId="0DD34DD3">
            <w:pPr>
              <w:pStyle w:val="86"/>
              <w:keepNext w:val="0"/>
              <w:keepLines w:val="0"/>
              <w:suppressLineNumbers w:val="0"/>
              <w:spacing w:before="0" w:beforeAutospacing="0" w:after="0" w:afterAutospacing="0"/>
              <w:ind w:left="0" w:right="0" w:firstLine="480"/>
              <w:rPr>
                <w:rFonts w:hint="eastAsia" w:ascii="Times New Roman" w:hAnsi="Times New Roman" w:eastAsia="宋体" w:cs="Times New Roman"/>
                <w:b w:val="0"/>
                <w:color w:val="auto"/>
                <w:sz w:val="24"/>
                <w:szCs w:val="24"/>
                <w:lang w:val="en-US" w:eastAsia="zh-CN"/>
              </w:rPr>
            </w:pPr>
            <w:r>
              <w:rPr>
                <w:rFonts w:hint="eastAsia" w:eastAsia="宋体" w:cs="Times New Roman"/>
                <w:b w:val="0"/>
                <w:bCs w:val="0"/>
                <w:color w:val="auto"/>
                <w:kern w:val="2"/>
                <w:sz w:val="24"/>
                <w:szCs w:val="24"/>
                <w:highlight w:val="none"/>
                <w:u w:val="none" w:color="auto"/>
                <w:lang w:val="en-US" w:eastAsia="zh-CN" w:bidi="ar-SA"/>
              </w:rPr>
              <w:t>根据《安阳市雨露节水灌溉科技有限公司检测项目》（光远检测技术有限公司，2024年6月15日，编号：光远检字第（YS2024060102）号）</w:t>
            </w:r>
            <w:r>
              <w:rPr>
                <w:rFonts w:hint="eastAsia" w:eastAsia="宋体"/>
                <w:b w:val="0"/>
                <w:color w:val="auto"/>
                <w:sz w:val="24"/>
                <w:szCs w:val="24"/>
                <w:lang w:val="en-US" w:eastAsia="zh-CN"/>
              </w:rPr>
              <w:t>，现有项目昼间厂界噪声为51</w:t>
            </w:r>
            <w:r>
              <w:rPr>
                <w:rFonts w:hint="default" w:eastAsia="宋体"/>
                <w:b w:val="0"/>
                <w:color w:val="auto"/>
              </w:rPr>
              <w:t>~</w:t>
            </w:r>
            <w:r>
              <w:rPr>
                <w:rFonts w:hint="eastAsia" w:eastAsia="宋体"/>
                <w:b w:val="0"/>
                <w:color w:val="auto"/>
                <w:lang w:val="en-US" w:eastAsia="zh-CN"/>
              </w:rPr>
              <w:t>63</w:t>
            </w:r>
            <w:r>
              <w:rPr>
                <w:rFonts w:hint="default" w:eastAsia="宋体"/>
                <w:b w:val="0"/>
                <w:color w:val="auto"/>
              </w:rPr>
              <w:t>dB（A）</w:t>
            </w:r>
            <w:r>
              <w:rPr>
                <w:rFonts w:hint="eastAsia" w:eastAsia="宋体"/>
                <w:b w:val="0"/>
                <w:color w:val="auto"/>
                <w:lang w:eastAsia="zh-CN"/>
              </w:rPr>
              <w:t>，夜间噪声测定值为</w:t>
            </w:r>
            <w:r>
              <w:rPr>
                <w:rFonts w:hint="eastAsia" w:eastAsia="宋体"/>
                <w:b w:val="0"/>
                <w:color w:val="auto"/>
                <w:lang w:val="en-US" w:eastAsia="zh-CN"/>
              </w:rPr>
              <w:t>47</w:t>
            </w:r>
            <w:r>
              <w:rPr>
                <w:rFonts w:hint="default" w:eastAsia="宋体"/>
                <w:b w:val="0"/>
                <w:color w:val="auto"/>
              </w:rPr>
              <w:t>~</w:t>
            </w:r>
            <w:r>
              <w:rPr>
                <w:rFonts w:hint="eastAsia" w:eastAsia="宋体"/>
                <w:b w:val="0"/>
                <w:color w:val="auto"/>
                <w:lang w:val="en-US" w:eastAsia="zh-CN"/>
              </w:rPr>
              <w:t>54</w:t>
            </w:r>
            <w:r>
              <w:rPr>
                <w:rFonts w:hint="default" w:eastAsia="宋体"/>
                <w:b w:val="0"/>
                <w:color w:val="auto"/>
              </w:rPr>
              <w:t>dB（A）</w:t>
            </w:r>
            <w:r>
              <w:rPr>
                <w:rFonts w:hint="eastAsia" w:eastAsia="宋体"/>
                <w:b w:val="0"/>
                <w:color w:val="auto"/>
                <w:lang w:eastAsia="zh-CN"/>
              </w:rPr>
              <w:t>，</w:t>
            </w:r>
            <w:r>
              <w:rPr>
                <w:rFonts w:hint="eastAsia" w:eastAsia="宋体"/>
                <w:b w:val="0"/>
                <w:color w:val="auto"/>
                <w:lang w:val="en-US" w:eastAsia="zh-CN"/>
              </w:rPr>
              <w:t>满足</w:t>
            </w:r>
            <w:r>
              <w:rPr>
                <w:rFonts w:hint="eastAsia" w:ascii="Times New Roman" w:hAnsi="Times New Roman" w:eastAsia="宋体" w:cs="Times New Roman"/>
                <w:b w:val="0"/>
                <w:color w:val="auto"/>
                <w:sz w:val="24"/>
                <w:szCs w:val="24"/>
                <w:lang w:val="en-US" w:eastAsia="zh-CN"/>
              </w:rPr>
              <w:t>《工业企业厂界环境噪声排放标准》（GB12348-2008）</w:t>
            </w:r>
            <w:r>
              <w:rPr>
                <w:rFonts w:hint="eastAsia" w:eastAsia="宋体" w:cs="Times New Roman"/>
                <w:b w:val="0"/>
                <w:color w:val="auto"/>
                <w:sz w:val="24"/>
                <w:szCs w:val="24"/>
                <w:lang w:val="en-US" w:eastAsia="zh-CN"/>
              </w:rPr>
              <w:t>3</w:t>
            </w:r>
            <w:r>
              <w:rPr>
                <w:rFonts w:hint="eastAsia" w:ascii="Times New Roman" w:hAnsi="Times New Roman" w:eastAsia="宋体" w:cs="Times New Roman"/>
                <w:b w:val="0"/>
                <w:color w:val="auto"/>
                <w:sz w:val="24"/>
                <w:szCs w:val="24"/>
                <w:lang w:val="en-US" w:eastAsia="zh-CN"/>
              </w:rPr>
              <w:t>类标准要求。</w:t>
            </w:r>
          </w:p>
          <w:p w14:paraId="4B464B4B">
            <w:pPr>
              <w:pStyle w:val="86"/>
              <w:keepNext w:val="0"/>
              <w:keepLines w:val="0"/>
              <w:suppressLineNumbers w:val="0"/>
              <w:spacing w:before="0" w:beforeAutospacing="0" w:after="0" w:afterAutospacing="0"/>
              <w:ind w:left="0" w:leftChars="0" w:right="0" w:firstLine="0" w:firstLineChars="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4.固废</w:t>
            </w:r>
          </w:p>
          <w:p w14:paraId="5F1159B6">
            <w:pPr>
              <w:pStyle w:val="86"/>
              <w:keepNext w:val="0"/>
              <w:keepLines w:val="0"/>
              <w:suppressLineNumbers w:val="0"/>
              <w:spacing w:before="0" w:beforeAutospacing="0" w:after="0" w:afterAutospacing="0"/>
              <w:ind w:left="0" w:leftChars="0" w:right="0" w:firstLine="480" w:firstLineChars="200"/>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现有项目不合格品、废包装收集后定期外售；生活垃圾由环卫部门定期清理，废UV灯管、废活性炭在危险废物暂存间（</w:t>
            </w:r>
            <w:r>
              <w:rPr>
                <w:rFonts w:hint="eastAsia" w:eastAsia="宋体" w:cs="Times New Roman"/>
                <w:b w:val="0"/>
                <w:bCs w:val="0"/>
                <w:color w:val="auto"/>
                <w:lang w:val="en-US" w:eastAsia="zh-CN"/>
              </w:rPr>
              <w:t>5</w:t>
            </w:r>
            <w:r>
              <w:rPr>
                <w:rFonts w:hint="eastAsia" w:ascii="Times New Roman" w:hAnsi="Times New Roman" w:eastAsia="宋体" w:cs="Times New Roman"/>
                <w:b w:val="0"/>
                <w:bCs w:val="0"/>
                <w:color w:val="auto"/>
                <w:lang w:val="en-US" w:eastAsia="zh-CN"/>
              </w:rPr>
              <w:t>m</w:t>
            </w:r>
            <w:r>
              <w:rPr>
                <w:rFonts w:hint="eastAsia" w:ascii="Times New Roman" w:hAnsi="Times New Roman" w:eastAsia="宋体" w:cs="Times New Roman"/>
                <w:b w:val="0"/>
                <w:bCs w:val="0"/>
                <w:color w:val="auto"/>
                <w:vertAlign w:val="superscript"/>
                <w:lang w:val="en-US" w:eastAsia="zh-CN"/>
              </w:rPr>
              <w:t>2</w:t>
            </w:r>
            <w:r>
              <w:rPr>
                <w:rFonts w:hint="eastAsia" w:ascii="Times New Roman" w:hAnsi="Times New Roman" w:eastAsia="宋体" w:cs="Times New Roman"/>
                <w:b w:val="0"/>
                <w:bCs w:val="0"/>
                <w:color w:val="auto"/>
                <w:lang w:val="en-US" w:eastAsia="zh-CN"/>
              </w:rPr>
              <w:t>）暂存间暂存，且已与有资质单位签订了处置协议，定期转运。</w:t>
            </w:r>
          </w:p>
          <w:p w14:paraId="54C6C388">
            <w:pPr>
              <w:pStyle w:val="13"/>
              <w:keepNext w:val="0"/>
              <w:keepLines w:val="0"/>
              <w:suppressLineNumbers w:val="0"/>
              <w:autoSpaceDE w:val="0"/>
              <w:autoSpaceDN w:val="0"/>
              <w:adjustRightInd w:val="0"/>
              <w:snapToGrid w:val="0"/>
              <w:spacing w:before="0" w:beforeAutospacing="0" w:after="0" w:afterAutospacing="0" w:line="360" w:lineRule="auto"/>
              <w:ind w:left="0" w:right="0"/>
              <w:jc w:val="both"/>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5.与项目有关的主要环境问题</w:t>
            </w:r>
          </w:p>
          <w:p w14:paraId="56F76CB8">
            <w:pPr>
              <w:pStyle w:val="13"/>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b w:val="0"/>
                <w:color w:val="auto"/>
                <w:sz w:val="24"/>
                <w:szCs w:val="24"/>
                <w:highlight w:val="none"/>
                <w:lang w:val="en-US" w:eastAsia="zh-CN"/>
              </w:rPr>
            </w:pPr>
            <w:r>
              <w:rPr>
                <w:rFonts w:hint="eastAsia" w:ascii="Times New Roman" w:hAnsi="Times New Roman" w:eastAsia="宋体" w:cs="Times New Roman"/>
                <w:b w:val="0"/>
                <w:color w:val="auto"/>
                <w:sz w:val="24"/>
                <w:szCs w:val="24"/>
                <w:highlight w:val="none"/>
                <w:lang w:val="en-US" w:eastAsia="zh-CN"/>
              </w:rPr>
              <w:t>现有工程有机废气治理工艺为光氧催化+活性炭吸附，根据《国家污染防治技术指导目录（2024年，限制类和淘汰类）》和安阳市生态环境局《关于加快低效挥发性有机物治理设施淘汰整治的通知》，现有工程有机废气治理设施属于淘汰整治范围，本项目搬迁后，建设时将改造为</w:t>
            </w:r>
            <w:r>
              <w:rPr>
                <w:rFonts w:hint="eastAsia" w:ascii="Times New Roman" w:hAnsi="Times New Roman" w:cs="Times New Roman"/>
                <w:b w:val="0"/>
                <w:color w:val="auto"/>
                <w:sz w:val="24"/>
                <w:szCs w:val="24"/>
                <w:highlight w:val="none"/>
                <w:lang w:val="en-US" w:eastAsia="zh-CN"/>
              </w:rPr>
              <w:t>活性炭吸附、脱附+催化燃烧设施</w:t>
            </w:r>
            <w:r>
              <w:rPr>
                <w:rFonts w:hint="eastAsia" w:ascii="Times New Roman" w:hAnsi="Times New Roman" w:eastAsia="宋体" w:cs="Times New Roman"/>
                <w:b w:val="0"/>
                <w:color w:val="auto"/>
                <w:sz w:val="24"/>
                <w:szCs w:val="24"/>
                <w:highlight w:val="none"/>
                <w:lang w:val="en-US" w:eastAsia="zh-CN"/>
              </w:rPr>
              <w:t>。现有工程全部搬迁，本项目不存在与原有项目有关的环境污染问题。</w:t>
            </w:r>
          </w:p>
          <w:p w14:paraId="40D04F61">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p w14:paraId="61C27F21">
            <w:pPr>
              <w:pStyle w:val="86"/>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val="0"/>
                <w:bCs w:val="0"/>
                <w:color w:val="auto"/>
                <w:lang w:val="en-US" w:eastAsia="zh-CN"/>
              </w:rPr>
            </w:pPr>
          </w:p>
        </w:tc>
      </w:tr>
    </w:tbl>
    <w:p w14:paraId="11B0B9B2">
      <w:pPr>
        <w:pStyle w:val="23"/>
        <w:spacing w:before="0" w:beforeAutospacing="0" w:after="0" w:afterAutospacing="0" w:line="20" w:lineRule="exact"/>
        <w:jc w:val="center"/>
        <w:rPr>
          <w:rFonts w:hint="default" w:ascii="Times New Roman" w:hAnsi="Times New Roman" w:eastAsia="黑体" w:cs="Times New Roman"/>
          <w:snapToGrid w:val="0"/>
          <w:color w:val="auto"/>
          <w:sz w:val="10"/>
          <w:szCs w:val="10"/>
          <w:highlight w:val="none"/>
        </w:rPr>
      </w:pPr>
    </w:p>
    <w:p w14:paraId="1811DABE">
      <w:pPr>
        <w:pStyle w:val="23"/>
        <w:spacing w:before="0" w:beforeAutospacing="0" w:after="0" w:afterAutospacing="0"/>
        <w:jc w:val="center"/>
        <w:outlineLvl w:val="0"/>
        <w:rPr>
          <w:rFonts w:hint="default" w:ascii="Times New Roman" w:hAnsi="Times New Roman" w:eastAsia="黑体" w:cs="Times New Roman"/>
          <w:snapToGrid w:val="0"/>
          <w:color w:val="auto"/>
          <w:sz w:val="36"/>
          <w:szCs w:val="36"/>
          <w:highlight w:val="none"/>
        </w:rPr>
      </w:pPr>
      <w:bookmarkStart w:id="10" w:name="_Toc2821"/>
      <w:r>
        <w:rPr>
          <w:rFonts w:hint="default" w:ascii="Times New Roman" w:hAnsi="Times New Roman" w:eastAsia="黑体" w:cs="Times New Roman"/>
          <w:snapToGrid w:val="0"/>
          <w:color w:val="auto"/>
          <w:sz w:val="30"/>
          <w:szCs w:val="30"/>
          <w:highlight w:val="none"/>
        </w:rPr>
        <w:br w:type="page"/>
      </w:r>
      <w:r>
        <w:rPr>
          <w:rFonts w:hint="default" w:ascii="Times New Roman" w:hAnsi="Times New Roman" w:eastAsia="黑体" w:cs="Times New Roman"/>
          <w:snapToGrid w:val="0"/>
          <w:color w:val="auto"/>
          <w:sz w:val="30"/>
          <w:szCs w:val="30"/>
          <w:highlight w:val="none"/>
        </w:rPr>
        <w:t>三、区域环境质量现状、环境保护目标及评价标准</w:t>
      </w:r>
      <w:bookmarkEnd w:id="10"/>
    </w:p>
    <w:tbl>
      <w:tblPr>
        <w:tblStyle w:val="2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47"/>
      </w:tblGrid>
      <w:tr w14:paraId="32EB0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6" w:hRule="atLeast"/>
        </w:trPr>
        <w:tc>
          <w:tcPr>
            <w:tcW w:w="253" w:type="pct"/>
            <w:noWrap w:val="0"/>
            <w:vAlign w:val="center"/>
          </w:tcPr>
          <w:p w14:paraId="6DB9A4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区域</w:t>
            </w:r>
          </w:p>
          <w:p w14:paraId="1495A2E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环境</w:t>
            </w:r>
          </w:p>
          <w:p w14:paraId="3CF41B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质量</w:t>
            </w:r>
          </w:p>
          <w:p w14:paraId="078A86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现状</w:t>
            </w:r>
          </w:p>
        </w:tc>
        <w:tc>
          <w:tcPr>
            <w:tcW w:w="4746" w:type="pct"/>
            <w:noWrap w:val="0"/>
            <w:vAlign w:val="center"/>
          </w:tcPr>
          <w:p w14:paraId="6561CB8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bCs/>
                <w:color w:val="auto"/>
                <w:sz w:val="24"/>
                <w:highlight w:val="none"/>
              </w:rPr>
              <w:t>1.大气环境质量现状</w:t>
            </w:r>
          </w:p>
          <w:p w14:paraId="5640EC13">
            <w:pPr>
              <w:pStyle w:val="13"/>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snapToGrid w:val="0"/>
                <w:color w:val="auto"/>
                <w:sz w:val="24"/>
                <w:szCs w:val="24"/>
                <w:lang w:val="en-US" w:eastAsia="zh-CN"/>
              </w:rPr>
            </w:pPr>
            <w:r>
              <w:rPr>
                <w:rFonts w:hint="default" w:ascii="Times New Roman" w:hAnsi="Times New Roman" w:eastAsia="宋体" w:cs="Times New Roman"/>
                <w:snapToGrid w:val="0"/>
                <w:color w:val="auto"/>
                <w:sz w:val="24"/>
                <w:szCs w:val="24"/>
                <w:lang w:val="en-US" w:eastAsia="zh-CN"/>
              </w:rPr>
              <w:t>本项目选址位于</w:t>
            </w:r>
            <w:r>
              <w:rPr>
                <w:rFonts w:hint="eastAsia" w:ascii="Times New Roman" w:hAnsi="Times New Roman" w:eastAsia="宋体" w:cs="Times New Roman"/>
                <w:snapToGrid w:val="0"/>
                <w:color w:val="auto"/>
                <w:sz w:val="24"/>
                <w:szCs w:val="24"/>
                <w:lang w:val="en-US" w:eastAsia="zh-CN"/>
              </w:rPr>
              <w:t>安阳</w:t>
            </w:r>
            <w:r>
              <w:rPr>
                <w:rFonts w:hint="default" w:ascii="Times New Roman" w:hAnsi="Times New Roman" w:eastAsia="宋体" w:cs="Times New Roman"/>
                <w:snapToGrid w:val="0"/>
                <w:color w:val="auto"/>
                <w:sz w:val="24"/>
                <w:szCs w:val="24"/>
                <w:lang w:val="en-US" w:eastAsia="zh-CN"/>
              </w:rPr>
              <w:t>市</w:t>
            </w:r>
            <w:r>
              <w:rPr>
                <w:rFonts w:hint="eastAsia" w:ascii="Times New Roman" w:hAnsi="Times New Roman" w:eastAsia="宋体" w:cs="Times New Roman"/>
                <w:snapToGrid w:val="0"/>
                <w:color w:val="auto"/>
                <w:sz w:val="24"/>
                <w:szCs w:val="24"/>
                <w:lang w:val="en-US" w:eastAsia="zh-CN"/>
              </w:rPr>
              <w:t>汤阴</w:t>
            </w:r>
            <w:r>
              <w:rPr>
                <w:rFonts w:hint="default" w:ascii="Times New Roman" w:hAnsi="Times New Roman" w:eastAsia="宋体" w:cs="Times New Roman"/>
                <w:snapToGrid w:val="0"/>
                <w:color w:val="auto"/>
                <w:sz w:val="24"/>
                <w:szCs w:val="24"/>
                <w:lang w:val="en-US" w:eastAsia="zh-CN"/>
              </w:rPr>
              <w:t>县，</w:t>
            </w:r>
            <w:r>
              <w:rPr>
                <w:rFonts w:hint="default" w:ascii="Times New Roman" w:hAnsi="Times New Roman" w:cs="Times New Roman"/>
                <w:snapToGrid w:val="0"/>
                <w:color w:val="auto"/>
                <w:sz w:val="24"/>
                <w:szCs w:val="24"/>
                <w:lang w:val="en-US" w:eastAsia="zh-CN"/>
              </w:rPr>
              <w:t>根据安阳市人民政府办公室《关于印发安阳市环境空气质量功能区划（2021-2025年）的通知》（安政办</w:t>
            </w:r>
            <w:r>
              <w:rPr>
                <w:rFonts w:hint="eastAsia" w:ascii="Times New Roman" w:hAnsi="Times New Roman" w:cs="Times New Roman"/>
                <w:snapToGrid w:val="0"/>
                <w:color w:val="auto"/>
                <w:sz w:val="24"/>
                <w:szCs w:val="24"/>
                <w:lang w:val="en-US" w:eastAsia="zh-CN"/>
              </w:rPr>
              <w:t>〔</w:t>
            </w:r>
            <w:r>
              <w:rPr>
                <w:rFonts w:hint="default" w:ascii="Times New Roman" w:hAnsi="Times New Roman" w:cs="Times New Roman"/>
                <w:snapToGrid w:val="0"/>
                <w:color w:val="auto"/>
                <w:sz w:val="24"/>
                <w:szCs w:val="24"/>
                <w:lang w:val="en-US" w:eastAsia="zh-CN"/>
              </w:rPr>
              <w:t>2022</w:t>
            </w:r>
            <w:r>
              <w:rPr>
                <w:rFonts w:hint="eastAsia" w:ascii="Times New Roman" w:hAnsi="Times New Roman" w:cs="Times New Roman"/>
                <w:snapToGrid w:val="0"/>
                <w:color w:val="auto"/>
                <w:sz w:val="24"/>
                <w:szCs w:val="24"/>
                <w:lang w:val="en-US" w:eastAsia="zh-CN"/>
              </w:rPr>
              <w:t>〕</w:t>
            </w:r>
            <w:r>
              <w:rPr>
                <w:rFonts w:hint="default" w:ascii="Times New Roman" w:hAnsi="Times New Roman" w:cs="Times New Roman"/>
                <w:snapToGrid w:val="0"/>
                <w:color w:val="auto"/>
                <w:sz w:val="24"/>
                <w:szCs w:val="24"/>
                <w:lang w:val="en-US" w:eastAsia="zh-CN"/>
              </w:rPr>
              <w:t>39号）可知，本项目所在区域属于《环境空气质量标准》（GB3095-20</w:t>
            </w:r>
            <w:r>
              <w:rPr>
                <w:rFonts w:hint="eastAsia" w:ascii="Times New Roman" w:hAnsi="Times New Roman" w:cs="Times New Roman"/>
                <w:snapToGrid w:val="0"/>
                <w:color w:val="auto"/>
                <w:sz w:val="24"/>
                <w:szCs w:val="24"/>
                <w:lang w:val="en-US" w:eastAsia="zh-CN"/>
              </w:rPr>
              <w:t>26</w:t>
            </w:r>
            <w:r>
              <w:rPr>
                <w:rFonts w:hint="default" w:ascii="Times New Roman" w:hAnsi="Times New Roman" w:cs="Times New Roman"/>
                <w:snapToGrid w:val="0"/>
                <w:color w:val="auto"/>
                <w:sz w:val="24"/>
                <w:szCs w:val="24"/>
                <w:lang w:val="en-US" w:eastAsia="zh-CN"/>
              </w:rPr>
              <w:t>）二类区，应执行《环境空气质量标准》（GB3095-20</w:t>
            </w:r>
            <w:r>
              <w:rPr>
                <w:rFonts w:hint="eastAsia" w:ascii="Times New Roman" w:hAnsi="Times New Roman" w:cs="Times New Roman"/>
                <w:snapToGrid w:val="0"/>
                <w:color w:val="auto"/>
                <w:sz w:val="24"/>
                <w:szCs w:val="24"/>
                <w:lang w:val="en-US" w:eastAsia="zh-CN"/>
              </w:rPr>
              <w:t>26</w:t>
            </w:r>
            <w:r>
              <w:rPr>
                <w:rFonts w:hint="default" w:ascii="Times New Roman" w:hAnsi="Times New Roman" w:cs="Times New Roman"/>
                <w:snapToGrid w:val="0"/>
                <w:color w:val="auto"/>
                <w:sz w:val="24"/>
                <w:szCs w:val="24"/>
                <w:lang w:val="en-US" w:eastAsia="zh-CN"/>
              </w:rPr>
              <w:t>）中的二级标准。</w:t>
            </w:r>
          </w:p>
          <w:p w14:paraId="2A107E50">
            <w:pPr>
              <w:pStyle w:val="13"/>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napToGrid w:val="0"/>
                <w:color w:val="auto"/>
                <w:sz w:val="24"/>
                <w:szCs w:val="24"/>
                <w:highlight w:val="none"/>
                <w:u w:val="none" w:color="auto"/>
                <w:lang w:val="en-US" w:eastAsia="zh-CN"/>
              </w:rPr>
            </w:pPr>
            <w:r>
              <w:rPr>
                <w:rFonts w:hint="default" w:ascii="Times New Roman" w:hAnsi="Times New Roman" w:eastAsia="宋体" w:cs="Times New Roman"/>
                <w:b w:val="0"/>
                <w:bCs w:val="0"/>
                <w:color w:val="auto"/>
                <w:kern w:val="2"/>
                <w:sz w:val="24"/>
                <w:szCs w:val="24"/>
                <w:lang w:val="en-US" w:eastAsia="zh-CN" w:bidi="ar"/>
              </w:rPr>
              <w:t>汤阴县202</w:t>
            </w:r>
            <w:r>
              <w:rPr>
                <w:rFonts w:hint="eastAsia" w:ascii="Times New Roman" w:hAnsi="Times New Roman" w:eastAsia="宋体" w:cs="Times New Roman"/>
                <w:b w:val="0"/>
                <w:bCs w:val="0"/>
                <w:color w:val="auto"/>
                <w:kern w:val="2"/>
                <w:sz w:val="24"/>
                <w:szCs w:val="24"/>
                <w:lang w:val="en-US" w:eastAsia="zh-CN" w:bidi="ar"/>
              </w:rPr>
              <w:t>4</w:t>
            </w:r>
            <w:r>
              <w:rPr>
                <w:rFonts w:hint="default" w:ascii="Times New Roman" w:hAnsi="Times New Roman" w:eastAsia="宋体" w:cs="Times New Roman"/>
                <w:b w:val="0"/>
                <w:bCs w:val="0"/>
                <w:color w:val="auto"/>
                <w:kern w:val="2"/>
                <w:sz w:val="24"/>
                <w:szCs w:val="24"/>
                <w:lang w:val="en-US" w:eastAsia="zh-CN" w:bidi="ar"/>
              </w:rPr>
              <w:t>年环境空气质量数据各项指数统计数据见下表。</w:t>
            </w:r>
          </w:p>
          <w:p w14:paraId="7FA6413D">
            <w:pPr>
              <w:pStyle w:val="23"/>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color w:val="auto"/>
                <w:kern w:val="2"/>
                <w:sz w:val="24"/>
                <w:szCs w:val="24"/>
                <w:lang w:val="en-US" w:eastAsia="zh-CN" w:bidi="ar"/>
              </w:rPr>
              <w:t>202</w:t>
            </w:r>
            <w:r>
              <w:rPr>
                <w:rFonts w:hint="eastAsia" w:ascii="Times New Roman" w:hAnsi="Times New Roman" w:eastAsia="宋体" w:cs="Times New Roman"/>
                <w:b/>
                <w:bCs/>
                <w:color w:val="auto"/>
                <w:kern w:val="2"/>
                <w:sz w:val="24"/>
                <w:szCs w:val="24"/>
                <w:lang w:val="en-US" w:eastAsia="zh-CN" w:bidi="ar"/>
              </w:rPr>
              <w:t>4</w:t>
            </w:r>
            <w:r>
              <w:rPr>
                <w:rFonts w:hint="eastAsia" w:ascii="宋体" w:hAnsi="宋体" w:eastAsia="宋体" w:cs="宋体"/>
                <w:b/>
                <w:bCs/>
                <w:color w:val="auto"/>
                <w:kern w:val="2"/>
                <w:sz w:val="24"/>
                <w:szCs w:val="24"/>
                <w:lang w:val="en-US" w:eastAsia="zh-CN" w:bidi="ar"/>
              </w:rPr>
              <w:t>年汤阴县环境空气质量现状基本污染物数据一览表</w:t>
            </w:r>
          </w:p>
          <w:tbl>
            <w:tblPr>
              <w:tblStyle w:val="26"/>
              <w:tblW w:w="4998" w:type="pct"/>
              <w:jc w:val="center"/>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Layout w:type="autofit"/>
              <w:tblCellMar>
                <w:top w:w="0" w:type="dxa"/>
                <w:left w:w="0" w:type="dxa"/>
                <w:bottom w:w="0" w:type="dxa"/>
                <w:right w:w="0" w:type="dxa"/>
              </w:tblCellMar>
            </w:tblPr>
            <w:tblGrid>
              <w:gridCol w:w="768"/>
              <w:gridCol w:w="1611"/>
              <w:gridCol w:w="1189"/>
              <w:gridCol w:w="1324"/>
              <w:gridCol w:w="1255"/>
              <w:gridCol w:w="1179"/>
              <w:gridCol w:w="1002"/>
            </w:tblGrid>
            <w:tr w14:paraId="3CCE4495">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000000" w:sz="4" w:space="0"/>
                    <w:left w:val="nil"/>
                    <w:bottom w:val="single" w:color="auto" w:sz="4" w:space="0"/>
                    <w:right w:val="single" w:color="auto" w:sz="4" w:space="0"/>
                  </w:tcBorders>
                  <w:noWrap w:val="0"/>
                  <w:vAlign w:val="center"/>
                </w:tcPr>
                <w:p w14:paraId="79324BF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966" w:type="pct"/>
                  <w:tcBorders>
                    <w:top w:val="single" w:color="000000" w:sz="4" w:space="0"/>
                    <w:left w:val="nil"/>
                    <w:bottom w:val="single" w:color="auto" w:sz="4" w:space="0"/>
                    <w:right w:val="single" w:color="auto" w:sz="4" w:space="0"/>
                  </w:tcBorders>
                  <w:noWrap w:val="0"/>
                  <w:vAlign w:val="center"/>
                </w:tcPr>
                <w:p w14:paraId="47C285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年评价指标</w:t>
                  </w:r>
                </w:p>
              </w:tc>
              <w:tc>
                <w:tcPr>
                  <w:tcW w:w="713" w:type="pct"/>
                  <w:tcBorders>
                    <w:top w:val="single" w:color="000000" w:sz="4" w:space="0"/>
                    <w:left w:val="nil"/>
                    <w:bottom w:val="single" w:color="auto" w:sz="4" w:space="0"/>
                    <w:right w:val="single" w:color="auto" w:sz="4" w:space="0"/>
                  </w:tcBorders>
                  <w:noWrap w:val="0"/>
                  <w:vAlign w:val="center"/>
                </w:tcPr>
                <w:p w14:paraId="1D1B425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评价标准值（</w:t>
                  </w:r>
                  <w:r>
                    <w:rPr>
                      <w:rFonts w:hint="default" w:ascii="Times New Roman" w:hAnsi="Times New Roman" w:eastAsia="宋体" w:cs="Times New Roman"/>
                      <w:b/>
                      <w:bCs/>
                      <w:color w:val="auto"/>
                      <w:kern w:val="2"/>
                      <w:sz w:val="21"/>
                      <w:szCs w:val="21"/>
                      <w:lang w:val="en-US" w:eastAsia="zh-CN" w:bidi="ar"/>
                    </w:rPr>
                    <w:t>μg/m</w:t>
                  </w:r>
                  <w:r>
                    <w:rPr>
                      <w:rFonts w:hint="default" w:ascii="Times New Roman" w:hAnsi="Times New Roman" w:eastAsia="宋体" w:cs="Times New Roman"/>
                      <w:b/>
                      <w:bCs/>
                      <w:color w:val="auto"/>
                      <w:kern w:val="2"/>
                      <w:sz w:val="21"/>
                      <w:szCs w:val="21"/>
                      <w:vertAlign w:val="superscript"/>
                      <w:lang w:val="en-US" w:eastAsia="zh-CN" w:bidi="ar"/>
                    </w:rPr>
                    <w:t>3</w:t>
                  </w:r>
                  <w:r>
                    <w:rPr>
                      <w:rFonts w:hint="eastAsia" w:ascii="宋体" w:hAnsi="宋体" w:eastAsia="宋体" w:cs="宋体"/>
                      <w:b/>
                      <w:bCs/>
                      <w:color w:val="auto"/>
                      <w:kern w:val="2"/>
                      <w:sz w:val="21"/>
                      <w:szCs w:val="21"/>
                      <w:lang w:val="en-US" w:eastAsia="zh-CN" w:bidi="ar"/>
                    </w:rPr>
                    <w:t>）</w:t>
                  </w:r>
                </w:p>
              </w:tc>
              <w:tc>
                <w:tcPr>
                  <w:tcW w:w="794" w:type="pct"/>
                  <w:tcBorders>
                    <w:top w:val="single" w:color="000000" w:sz="4" w:space="0"/>
                    <w:left w:val="nil"/>
                    <w:bottom w:val="single" w:color="auto" w:sz="4" w:space="0"/>
                    <w:right w:val="single" w:color="auto" w:sz="4" w:space="0"/>
                  </w:tcBorders>
                  <w:noWrap w:val="0"/>
                  <w:vAlign w:val="center"/>
                </w:tcPr>
                <w:p w14:paraId="3762FE50">
                  <w:pPr>
                    <w:keepNext w:val="0"/>
                    <w:keepLines w:val="0"/>
                    <w:widowControl w:val="0"/>
                    <w:suppressLineNumbers w:val="0"/>
                    <w:adjustRightInd w:val="0"/>
                    <w:snapToGrid w:val="0"/>
                    <w:spacing w:before="0" w:beforeAutospacing="0" w:after="0" w:afterAutospacing="0"/>
                    <w:ind w:left="-92" w:leftChars="-44"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现状浓度（</w:t>
                  </w:r>
                  <w:r>
                    <w:rPr>
                      <w:rFonts w:hint="default" w:ascii="Times New Roman" w:hAnsi="Times New Roman" w:eastAsia="宋体" w:cs="Times New Roman"/>
                      <w:b/>
                      <w:bCs/>
                      <w:color w:val="auto"/>
                      <w:kern w:val="2"/>
                      <w:sz w:val="21"/>
                      <w:szCs w:val="21"/>
                      <w:lang w:val="en-US" w:eastAsia="zh-CN" w:bidi="ar"/>
                    </w:rPr>
                    <w:t>μg/m</w:t>
                  </w:r>
                  <w:r>
                    <w:rPr>
                      <w:rFonts w:hint="default" w:ascii="Times New Roman" w:hAnsi="Times New Roman" w:eastAsia="宋体" w:cs="Times New Roman"/>
                      <w:b/>
                      <w:bCs/>
                      <w:color w:val="auto"/>
                      <w:kern w:val="2"/>
                      <w:sz w:val="21"/>
                      <w:szCs w:val="21"/>
                      <w:vertAlign w:val="superscript"/>
                      <w:lang w:val="en-US" w:eastAsia="zh-CN" w:bidi="ar"/>
                    </w:rPr>
                    <w:t>3</w:t>
                  </w:r>
                  <w:r>
                    <w:rPr>
                      <w:rFonts w:hint="eastAsia" w:ascii="宋体" w:hAnsi="宋体" w:eastAsia="宋体" w:cs="宋体"/>
                      <w:b/>
                      <w:bCs/>
                      <w:color w:val="auto"/>
                      <w:kern w:val="2"/>
                      <w:sz w:val="21"/>
                      <w:szCs w:val="21"/>
                      <w:lang w:val="en-US" w:eastAsia="zh-CN" w:bidi="ar"/>
                    </w:rPr>
                    <w:t>）</w:t>
                  </w:r>
                </w:p>
              </w:tc>
              <w:tc>
                <w:tcPr>
                  <w:tcW w:w="753" w:type="pct"/>
                  <w:tcBorders>
                    <w:top w:val="single" w:color="000000" w:sz="4" w:space="0"/>
                    <w:left w:val="nil"/>
                    <w:bottom w:val="single" w:color="auto" w:sz="4" w:space="0"/>
                    <w:right w:val="single" w:color="auto" w:sz="4" w:space="0"/>
                  </w:tcBorders>
                  <w:noWrap w:val="0"/>
                  <w:vAlign w:val="center"/>
                </w:tcPr>
                <w:p w14:paraId="6F30C58B">
                  <w:pPr>
                    <w:keepNext w:val="0"/>
                    <w:keepLines w:val="0"/>
                    <w:widowControl w:val="0"/>
                    <w:suppressLineNumbers w:val="0"/>
                    <w:adjustRightInd w:val="0"/>
                    <w:snapToGrid w:val="0"/>
                    <w:spacing w:before="0" w:beforeAutospacing="0" w:after="0" w:afterAutospacing="0"/>
                    <w:ind w:left="0"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最大浓度占标率</w:t>
                  </w:r>
                  <w:r>
                    <w:rPr>
                      <w:rFonts w:hint="default" w:ascii="Times New Roman" w:hAnsi="Times New Roman" w:eastAsia="宋体" w:cs="Times New Roman"/>
                      <w:b/>
                      <w:bCs/>
                      <w:color w:val="auto"/>
                      <w:kern w:val="2"/>
                      <w:sz w:val="21"/>
                      <w:szCs w:val="21"/>
                      <w:lang w:val="en-US" w:eastAsia="zh-CN" w:bidi="ar"/>
                    </w:rPr>
                    <w:t>/%</w:t>
                  </w:r>
                </w:p>
              </w:tc>
              <w:tc>
                <w:tcPr>
                  <w:tcW w:w="707" w:type="pct"/>
                  <w:tcBorders>
                    <w:top w:val="single" w:color="000000" w:sz="4" w:space="0"/>
                    <w:left w:val="nil"/>
                    <w:bottom w:val="single" w:color="auto" w:sz="4" w:space="0"/>
                    <w:right w:val="single" w:color="auto" w:sz="4" w:space="0"/>
                  </w:tcBorders>
                  <w:noWrap w:val="0"/>
                  <w:vAlign w:val="center"/>
                </w:tcPr>
                <w:p w14:paraId="506612D4">
                  <w:pPr>
                    <w:keepNext w:val="0"/>
                    <w:keepLines w:val="0"/>
                    <w:widowControl w:val="0"/>
                    <w:suppressLineNumbers w:val="0"/>
                    <w:adjustRightInd w:val="0"/>
                    <w:snapToGrid w:val="0"/>
                    <w:spacing w:before="0" w:beforeAutospacing="0" w:after="0" w:afterAutospacing="0"/>
                    <w:ind w:left="-92" w:leftChars="-44"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超标率</w:t>
                  </w:r>
                  <w:r>
                    <w:rPr>
                      <w:rFonts w:hint="default" w:ascii="Times New Roman" w:hAnsi="Times New Roman" w:eastAsia="宋体" w:cs="Times New Roman"/>
                      <w:b/>
                      <w:bCs/>
                      <w:color w:val="auto"/>
                      <w:kern w:val="2"/>
                      <w:sz w:val="21"/>
                      <w:szCs w:val="21"/>
                      <w:lang w:val="en-US" w:eastAsia="zh-CN" w:bidi="ar"/>
                    </w:rPr>
                    <w:t>/%</w:t>
                  </w:r>
                </w:p>
              </w:tc>
              <w:tc>
                <w:tcPr>
                  <w:tcW w:w="601" w:type="pct"/>
                  <w:tcBorders>
                    <w:top w:val="single" w:color="000000" w:sz="4" w:space="0"/>
                    <w:left w:val="nil"/>
                    <w:bottom w:val="single" w:color="auto" w:sz="4" w:space="0"/>
                    <w:right w:val="nil"/>
                  </w:tcBorders>
                  <w:noWrap w:val="0"/>
                  <w:vAlign w:val="center"/>
                </w:tcPr>
                <w:p w14:paraId="5EEB523F">
                  <w:pPr>
                    <w:keepNext w:val="0"/>
                    <w:keepLines w:val="0"/>
                    <w:widowControl w:val="0"/>
                    <w:suppressLineNumbers w:val="0"/>
                    <w:adjustRightInd w:val="0"/>
                    <w:snapToGrid w:val="0"/>
                    <w:spacing w:before="0" w:beforeAutospacing="0" w:after="0" w:afterAutospacing="0"/>
                    <w:ind w:left="-92" w:leftChars="-44" w:right="-59" w:rightChars="-28"/>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达标情况</w:t>
                  </w:r>
                </w:p>
              </w:tc>
            </w:tr>
            <w:tr w14:paraId="41BBC4AC">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3BC35D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SO</w:t>
                  </w:r>
                  <w:r>
                    <w:rPr>
                      <w:rFonts w:hint="default" w:ascii="Times New Roman" w:hAnsi="Times New Roman" w:eastAsia="宋体" w:cs="Times New Roman"/>
                      <w:color w:val="auto"/>
                      <w:kern w:val="2"/>
                      <w:sz w:val="21"/>
                      <w:szCs w:val="21"/>
                      <w:vertAlign w:val="subscript"/>
                      <w:lang w:val="en-US" w:eastAsia="zh-CN" w:bidi="ar"/>
                    </w:rPr>
                    <w:t>2</w:t>
                  </w:r>
                </w:p>
              </w:tc>
              <w:tc>
                <w:tcPr>
                  <w:tcW w:w="966" w:type="pct"/>
                  <w:tcBorders>
                    <w:top w:val="single" w:color="auto" w:sz="4" w:space="0"/>
                    <w:left w:val="nil"/>
                    <w:bottom w:val="single" w:color="auto" w:sz="4" w:space="0"/>
                    <w:right w:val="single" w:color="auto" w:sz="4" w:space="0"/>
                  </w:tcBorders>
                  <w:noWrap w:val="0"/>
                  <w:vAlign w:val="center"/>
                </w:tcPr>
                <w:p w14:paraId="0F19FE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5F23BD6F">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60</w:t>
                  </w:r>
                </w:p>
              </w:tc>
              <w:tc>
                <w:tcPr>
                  <w:tcW w:w="794" w:type="pct"/>
                  <w:tcBorders>
                    <w:top w:val="single" w:color="auto" w:sz="4" w:space="0"/>
                    <w:left w:val="nil"/>
                    <w:bottom w:val="single" w:color="auto" w:sz="4" w:space="0"/>
                    <w:right w:val="single" w:color="auto" w:sz="4" w:space="0"/>
                  </w:tcBorders>
                  <w:noWrap w:val="0"/>
                  <w:vAlign w:val="center"/>
                </w:tcPr>
                <w:p w14:paraId="7B074F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w:t>
                  </w:r>
                </w:p>
              </w:tc>
              <w:tc>
                <w:tcPr>
                  <w:tcW w:w="753" w:type="pct"/>
                  <w:tcBorders>
                    <w:top w:val="single" w:color="auto" w:sz="4" w:space="0"/>
                    <w:left w:val="nil"/>
                    <w:bottom w:val="single" w:color="auto" w:sz="4" w:space="0"/>
                    <w:right w:val="single" w:color="auto" w:sz="4" w:space="0"/>
                  </w:tcBorders>
                  <w:noWrap w:val="0"/>
                  <w:vAlign w:val="center"/>
                </w:tcPr>
                <w:p w14:paraId="10A6608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16.67</w:t>
                  </w:r>
                </w:p>
              </w:tc>
              <w:tc>
                <w:tcPr>
                  <w:tcW w:w="707" w:type="pct"/>
                  <w:tcBorders>
                    <w:top w:val="single" w:color="auto" w:sz="4" w:space="0"/>
                    <w:left w:val="nil"/>
                    <w:bottom w:val="single" w:color="auto" w:sz="4" w:space="0"/>
                    <w:right w:val="single" w:color="auto" w:sz="4" w:space="0"/>
                  </w:tcBorders>
                  <w:noWrap w:val="0"/>
                  <w:vAlign w:val="center"/>
                </w:tcPr>
                <w:p w14:paraId="0DD6BFD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w:t>
                  </w:r>
                </w:p>
              </w:tc>
              <w:tc>
                <w:tcPr>
                  <w:tcW w:w="601" w:type="pct"/>
                  <w:tcBorders>
                    <w:top w:val="single" w:color="auto" w:sz="4" w:space="0"/>
                    <w:left w:val="nil"/>
                    <w:bottom w:val="single" w:color="auto" w:sz="4" w:space="0"/>
                    <w:right w:val="nil"/>
                  </w:tcBorders>
                  <w:noWrap w:val="0"/>
                  <w:vAlign w:val="center"/>
                </w:tcPr>
                <w:p w14:paraId="27957BF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14:paraId="4AF9490D">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703F5A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NO</w:t>
                  </w:r>
                  <w:r>
                    <w:rPr>
                      <w:rFonts w:hint="default" w:ascii="Times New Roman" w:hAnsi="Times New Roman" w:eastAsia="宋体" w:cs="Times New Roman"/>
                      <w:color w:val="auto"/>
                      <w:kern w:val="2"/>
                      <w:sz w:val="21"/>
                      <w:szCs w:val="21"/>
                      <w:vertAlign w:val="subscript"/>
                      <w:lang w:val="en-US" w:eastAsia="zh-CN" w:bidi="ar"/>
                    </w:rPr>
                    <w:t>2</w:t>
                  </w:r>
                </w:p>
              </w:tc>
              <w:tc>
                <w:tcPr>
                  <w:tcW w:w="966" w:type="pct"/>
                  <w:tcBorders>
                    <w:top w:val="single" w:color="auto" w:sz="4" w:space="0"/>
                    <w:left w:val="nil"/>
                    <w:bottom w:val="single" w:color="auto" w:sz="4" w:space="0"/>
                    <w:right w:val="single" w:color="auto" w:sz="4" w:space="0"/>
                  </w:tcBorders>
                  <w:noWrap w:val="0"/>
                  <w:vAlign w:val="center"/>
                </w:tcPr>
                <w:p w14:paraId="1207996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69A9CDE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40</w:t>
                  </w:r>
                </w:p>
              </w:tc>
              <w:tc>
                <w:tcPr>
                  <w:tcW w:w="794" w:type="pct"/>
                  <w:tcBorders>
                    <w:top w:val="single" w:color="auto" w:sz="4" w:space="0"/>
                    <w:left w:val="nil"/>
                    <w:bottom w:val="single" w:color="auto" w:sz="4" w:space="0"/>
                    <w:right w:val="single" w:color="auto" w:sz="4" w:space="0"/>
                  </w:tcBorders>
                  <w:noWrap w:val="0"/>
                  <w:vAlign w:val="center"/>
                </w:tcPr>
                <w:p w14:paraId="69EF1F2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29</w:t>
                  </w:r>
                </w:p>
              </w:tc>
              <w:tc>
                <w:tcPr>
                  <w:tcW w:w="753" w:type="pct"/>
                  <w:tcBorders>
                    <w:top w:val="single" w:color="auto" w:sz="4" w:space="0"/>
                    <w:left w:val="nil"/>
                    <w:bottom w:val="single" w:color="auto" w:sz="4" w:space="0"/>
                    <w:right w:val="single" w:color="auto" w:sz="4" w:space="0"/>
                  </w:tcBorders>
                  <w:noWrap w:val="0"/>
                  <w:vAlign w:val="center"/>
                </w:tcPr>
                <w:p w14:paraId="2BFCB9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72.5</w:t>
                  </w:r>
                </w:p>
              </w:tc>
              <w:tc>
                <w:tcPr>
                  <w:tcW w:w="707" w:type="pct"/>
                  <w:tcBorders>
                    <w:top w:val="single" w:color="auto" w:sz="4" w:space="0"/>
                    <w:left w:val="nil"/>
                    <w:bottom w:val="single" w:color="auto" w:sz="4" w:space="0"/>
                    <w:right w:val="single" w:color="auto" w:sz="4" w:space="0"/>
                  </w:tcBorders>
                  <w:noWrap w:val="0"/>
                  <w:vAlign w:val="center"/>
                </w:tcPr>
                <w:p w14:paraId="5E1A48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rPr>
                  </w:pPr>
                  <w:r>
                    <w:rPr>
                      <w:rFonts w:hint="default" w:ascii="Times New Roman" w:hAnsi="Times New Roman" w:eastAsia="宋体" w:cs="Times New Roman"/>
                      <w:color w:val="auto"/>
                      <w:spacing w:val="1"/>
                      <w:kern w:val="2"/>
                      <w:sz w:val="21"/>
                      <w:szCs w:val="21"/>
                      <w:lang w:val="en-US" w:eastAsia="zh-CN" w:bidi="ar"/>
                    </w:rPr>
                    <w:t>/</w:t>
                  </w:r>
                </w:p>
              </w:tc>
              <w:tc>
                <w:tcPr>
                  <w:tcW w:w="601" w:type="pct"/>
                  <w:tcBorders>
                    <w:top w:val="single" w:color="auto" w:sz="4" w:space="0"/>
                    <w:left w:val="nil"/>
                    <w:bottom w:val="single" w:color="auto" w:sz="4" w:space="0"/>
                    <w:right w:val="nil"/>
                  </w:tcBorders>
                  <w:noWrap w:val="0"/>
                  <w:vAlign w:val="center"/>
                </w:tcPr>
                <w:p w14:paraId="74357B8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14:paraId="6FDC89D0">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307C45E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10</w:t>
                  </w:r>
                </w:p>
              </w:tc>
              <w:tc>
                <w:tcPr>
                  <w:tcW w:w="966" w:type="pct"/>
                  <w:tcBorders>
                    <w:top w:val="single" w:color="auto" w:sz="4" w:space="0"/>
                    <w:left w:val="nil"/>
                    <w:bottom w:val="single" w:color="auto" w:sz="4" w:space="0"/>
                    <w:right w:val="single" w:color="auto" w:sz="4" w:space="0"/>
                  </w:tcBorders>
                  <w:noWrap w:val="0"/>
                  <w:vAlign w:val="center"/>
                </w:tcPr>
                <w:p w14:paraId="0F71FD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23D164E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60</w:t>
                  </w:r>
                </w:p>
              </w:tc>
              <w:tc>
                <w:tcPr>
                  <w:tcW w:w="794" w:type="pct"/>
                  <w:tcBorders>
                    <w:top w:val="single" w:color="auto" w:sz="4" w:space="0"/>
                    <w:left w:val="nil"/>
                    <w:bottom w:val="single" w:color="auto" w:sz="4" w:space="0"/>
                    <w:right w:val="single" w:color="auto" w:sz="4" w:space="0"/>
                  </w:tcBorders>
                  <w:noWrap w:val="0"/>
                  <w:vAlign w:val="center"/>
                </w:tcPr>
                <w:p w14:paraId="458157E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8</w:t>
                  </w:r>
                  <w:r>
                    <w:rPr>
                      <w:rFonts w:hint="eastAsia" w:ascii="Times New Roman" w:hAnsi="Times New Roman" w:eastAsia="宋体" w:cs="Times New Roman"/>
                      <w:color w:val="auto"/>
                      <w:kern w:val="2"/>
                      <w:sz w:val="21"/>
                      <w:szCs w:val="21"/>
                      <w:lang w:val="en-US" w:eastAsia="zh-CN" w:bidi="ar"/>
                    </w:rPr>
                    <w:t>1</w:t>
                  </w:r>
                </w:p>
              </w:tc>
              <w:tc>
                <w:tcPr>
                  <w:tcW w:w="753" w:type="pct"/>
                  <w:tcBorders>
                    <w:top w:val="single" w:color="auto" w:sz="4" w:space="0"/>
                    <w:left w:val="nil"/>
                    <w:bottom w:val="single" w:color="auto" w:sz="4" w:space="0"/>
                    <w:right w:val="single" w:color="auto" w:sz="4" w:space="0"/>
                  </w:tcBorders>
                  <w:noWrap w:val="0"/>
                  <w:vAlign w:val="center"/>
                </w:tcPr>
                <w:p w14:paraId="3C61FB4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135</w:t>
                  </w:r>
                </w:p>
              </w:tc>
              <w:tc>
                <w:tcPr>
                  <w:tcW w:w="707" w:type="pct"/>
                  <w:tcBorders>
                    <w:top w:val="single" w:color="auto" w:sz="4" w:space="0"/>
                    <w:left w:val="nil"/>
                    <w:bottom w:val="single" w:color="auto" w:sz="4" w:space="0"/>
                    <w:right w:val="single" w:color="auto" w:sz="4" w:space="0"/>
                  </w:tcBorders>
                  <w:noWrap w:val="0"/>
                  <w:vAlign w:val="center"/>
                </w:tcPr>
                <w:p w14:paraId="586820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lang w:val="en-US" w:eastAsia="zh-CN"/>
                    </w:rPr>
                  </w:pPr>
                  <w:r>
                    <w:rPr>
                      <w:rFonts w:hint="eastAsia" w:ascii="Times New Roman" w:hAnsi="Times New Roman" w:eastAsia="宋体" w:cs="Times New Roman"/>
                      <w:color w:val="auto"/>
                      <w:spacing w:val="1"/>
                      <w:kern w:val="2"/>
                      <w:sz w:val="21"/>
                      <w:szCs w:val="21"/>
                      <w:lang w:val="en-US" w:eastAsia="zh-CN"/>
                    </w:rPr>
                    <w:t>3</w:t>
                  </w:r>
                  <w:r>
                    <w:rPr>
                      <w:rFonts w:hint="eastAsia" w:cs="Times New Roman"/>
                      <w:color w:val="auto"/>
                      <w:spacing w:val="1"/>
                      <w:kern w:val="2"/>
                      <w:sz w:val="21"/>
                      <w:szCs w:val="21"/>
                      <w:lang w:val="en-US" w:eastAsia="zh-CN"/>
                    </w:rPr>
                    <w:t>5</w:t>
                  </w:r>
                </w:p>
              </w:tc>
              <w:tc>
                <w:tcPr>
                  <w:tcW w:w="601" w:type="pct"/>
                  <w:tcBorders>
                    <w:top w:val="single" w:color="auto" w:sz="4" w:space="0"/>
                    <w:left w:val="nil"/>
                    <w:bottom w:val="single" w:color="auto" w:sz="4" w:space="0"/>
                    <w:right w:val="nil"/>
                  </w:tcBorders>
                  <w:noWrap w:val="0"/>
                  <w:vAlign w:val="center"/>
                </w:tcPr>
                <w:p w14:paraId="16A08CF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超标</w:t>
                  </w:r>
                </w:p>
              </w:tc>
            </w:tr>
            <w:tr w14:paraId="638825C0">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61C995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PM</w:t>
                  </w:r>
                  <w:r>
                    <w:rPr>
                      <w:rFonts w:hint="default" w:ascii="Times New Roman" w:hAnsi="Times New Roman" w:eastAsia="宋体" w:cs="Times New Roman"/>
                      <w:color w:val="auto"/>
                      <w:kern w:val="2"/>
                      <w:sz w:val="21"/>
                      <w:szCs w:val="21"/>
                      <w:vertAlign w:val="subscript"/>
                      <w:lang w:val="en-US" w:eastAsia="zh-CN" w:bidi="ar"/>
                    </w:rPr>
                    <w:t>2.5</w:t>
                  </w:r>
                </w:p>
              </w:tc>
              <w:tc>
                <w:tcPr>
                  <w:tcW w:w="966" w:type="pct"/>
                  <w:tcBorders>
                    <w:top w:val="single" w:color="auto" w:sz="4" w:space="0"/>
                    <w:left w:val="nil"/>
                    <w:bottom w:val="single" w:color="auto" w:sz="4" w:space="0"/>
                    <w:right w:val="single" w:color="auto" w:sz="4" w:space="0"/>
                  </w:tcBorders>
                  <w:noWrap w:val="0"/>
                  <w:vAlign w:val="center"/>
                </w:tcPr>
                <w:p w14:paraId="3DB0398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年平均</w:t>
                  </w:r>
                </w:p>
              </w:tc>
              <w:tc>
                <w:tcPr>
                  <w:tcW w:w="713" w:type="pct"/>
                  <w:tcBorders>
                    <w:top w:val="single" w:color="auto" w:sz="4" w:space="0"/>
                    <w:left w:val="nil"/>
                    <w:bottom w:val="single" w:color="auto" w:sz="4" w:space="0"/>
                    <w:right w:val="single" w:color="auto" w:sz="4" w:space="0"/>
                  </w:tcBorders>
                  <w:noWrap w:val="0"/>
                  <w:vAlign w:val="center"/>
                </w:tcPr>
                <w:p w14:paraId="7BAF53E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30</w:t>
                  </w:r>
                </w:p>
              </w:tc>
              <w:tc>
                <w:tcPr>
                  <w:tcW w:w="794" w:type="pct"/>
                  <w:tcBorders>
                    <w:top w:val="single" w:color="auto" w:sz="4" w:space="0"/>
                    <w:left w:val="nil"/>
                    <w:bottom w:val="single" w:color="auto" w:sz="4" w:space="0"/>
                    <w:right w:val="single" w:color="auto" w:sz="4" w:space="0"/>
                  </w:tcBorders>
                  <w:noWrap w:val="0"/>
                  <w:vAlign w:val="center"/>
                </w:tcPr>
                <w:p w14:paraId="1DD248D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49</w:t>
                  </w:r>
                </w:p>
              </w:tc>
              <w:tc>
                <w:tcPr>
                  <w:tcW w:w="753" w:type="pct"/>
                  <w:tcBorders>
                    <w:top w:val="single" w:color="auto" w:sz="4" w:space="0"/>
                    <w:left w:val="nil"/>
                    <w:bottom w:val="single" w:color="auto" w:sz="4" w:space="0"/>
                    <w:right w:val="single" w:color="auto" w:sz="4" w:space="0"/>
                  </w:tcBorders>
                  <w:noWrap w:val="0"/>
                  <w:vAlign w:val="center"/>
                </w:tcPr>
                <w:p w14:paraId="048E45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163.33</w:t>
                  </w:r>
                </w:p>
              </w:tc>
              <w:tc>
                <w:tcPr>
                  <w:tcW w:w="707" w:type="pct"/>
                  <w:tcBorders>
                    <w:top w:val="single" w:color="auto" w:sz="4" w:space="0"/>
                    <w:left w:val="nil"/>
                    <w:bottom w:val="single" w:color="auto" w:sz="4" w:space="0"/>
                    <w:right w:val="single" w:color="auto" w:sz="4" w:space="0"/>
                  </w:tcBorders>
                  <w:noWrap w:val="0"/>
                  <w:vAlign w:val="center"/>
                </w:tcPr>
                <w:p w14:paraId="376D55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lang w:val="en-US" w:eastAsia="zh-CN"/>
                    </w:rPr>
                  </w:pPr>
                  <w:r>
                    <w:rPr>
                      <w:rFonts w:hint="eastAsia" w:ascii="Times New Roman" w:hAnsi="Times New Roman" w:eastAsia="宋体" w:cs="Times New Roman"/>
                      <w:color w:val="auto"/>
                      <w:spacing w:val="1"/>
                      <w:kern w:val="2"/>
                      <w:sz w:val="21"/>
                      <w:szCs w:val="21"/>
                      <w:lang w:val="en-US" w:eastAsia="zh-CN"/>
                    </w:rPr>
                    <w:t>63.33</w:t>
                  </w:r>
                </w:p>
              </w:tc>
              <w:tc>
                <w:tcPr>
                  <w:tcW w:w="601" w:type="pct"/>
                  <w:tcBorders>
                    <w:top w:val="single" w:color="auto" w:sz="4" w:space="0"/>
                    <w:left w:val="nil"/>
                    <w:bottom w:val="single" w:color="auto" w:sz="4" w:space="0"/>
                    <w:right w:val="nil"/>
                  </w:tcBorders>
                  <w:noWrap w:val="0"/>
                  <w:vAlign w:val="center"/>
                </w:tcPr>
                <w:p w14:paraId="02E5198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超标</w:t>
                  </w:r>
                </w:p>
              </w:tc>
            </w:tr>
            <w:tr w14:paraId="3A406C19">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auto" w:sz="4" w:space="0"/>
                    <w:right w:val="single" w:color="auto" w:sz="4" w:space="0"/>
                  </w:tcBorders>
                  <w:noWrap w:val="0"/>
                  <w:vAlign w:val="center"/>
                </w:tcPr>
                <w:p w14:paraId="151B476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CO</w:t>
                  </w:r>
                </w:p>
              </w:tc>
              <w:tc>
                <w:tcPr>
                  <w:tcW w:w="966" w:type="pct"/>
                  <w:tcBorders>
                    <w:top w:val="single" w:color="auto" w:sz="4" w:space="0"/>
                    <w:left w:val="nil"/>
                    <w:bottom w:val="single" w:color="auto" w:sz="4" w:space="0"/>
                    <w:right w:val="single" w:color="auto" w:sz="4" w:space="0"/>
                  </w:tcBorders>
                  <w:noWrap w:val="0"/>
                  <w:vAlign w:val="center"/>
                </w:tcPr>
                <w:p w14:paraId="32D828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24h</w:t>
                  </w:r>
                  <w:r>
                    <w:rPr>
                      <w:rFonts w:hint="eastAsia" w:ascii="宋体" w:hAnsi="宋体" w:eastAsia="宋体" w:cs="宋体"/>
                      <w:color w:val="auto"/>
                      <w:kern w:val="2"/>
                      <w:sz w:val="21"/>
                      <w:szCs w:val="21"/>
                      <w:lang w:val="en-US" w:eastAsia="zh-CN" w:bidi="ar"/>
                    </w:rPr>
                    <w:t>平均第</w:t>
                  </w:r>
                  <w:r>
                    <w:rPr>
                      <w:rFonts w:hint="default" w:ascii="Times New Roman" w:hAnsi="Times New Roman" w:eastAsia="宋体" w:cs="Times New Roman"/>
                      <w:color w:val="auto"/>
                      <w:kern w:val="2"/>
                      <w:sz w:val="21"/>
                      <w:szCs w:val="21"/>
                      <w:lang w:val="en-US" w:eastAsia="zh-CN" w:bidi="ar"/>
                    </w:rPr>
                    <w:t>95</w:t>
                  </w:r>
                  <w:r>
                    <w:rPr>
                      <w:rFonts w:hint="eastAsia" w:ascii="宋体" w:hAnsi="宋体" w:eastAsia="宋体" w:cs="宋体"/>
                      <w:color w:val="auto"/>
                      <w:kern w:val="2"/>
                      <w:sz w:val="21"/>
                      <w:szCs w:val="21"/>
                      <w:lang w:val="en-US" w:eastAsia="zh-CN" w:bidi="ar"/>
                    </w:rPr>
                    <w:t>百分位数</w:t>
                  </w:r>
                </w:p>
              </w:tc>
              <w:tc>
                <w:tcPr>
                  <w:tcW w:w="713" w:type="pct"/>
                  <w:tcBorders>
                    <w:top w:val="single" w:color="auto" w:sz="4" w:space="0"/>
                    <w:left w:val="nil"/>
                    <w:bottom w:val="single" w:color="auto" w:sz="4" w:space="0"/>
                    <w:right w:val="single" w:color="auto" w:sz="4" w:space="0"/>
                  </w:tcBorders>
                  <w:noWrap w:val="0"/>
                  <w:vAlign w:val="center"/>
                </w:tcPr>
                <w:p w14:paraId="6CEBFDF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4000</w:t>
                  </w:r>
                </w:p>
              </w:tc>
              <w:tc>
                <w:tcPr>
                  <w:tcW w:w="794" w:type="pct"/>
                  <w:tcBorders>
                    <w:top w:val="single" w:color="auto" w:sz="4" w:space="0"/>
                    <w:left w:val="nil"/>
                    <w:bottom w:val="single" w:color="auto" w:sz="4" w:space="0"/>
                    <w:right w:val="single" w:color="auto" w:sz="4" w:space="0"/>
                  </w:tcBorders>
                  <w:noWrap w:val="0"/>
                  <w:vAlign w:val="center"/>
                </w:tcPr>
                <w:p w14:paraId="7B5359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1400</w:t>
                  </w:r>
                </w:p>
              </w:tc>
              <w:tc>
                <w:tcPr>
                  <w:tcW w:w="753" w:type="pct"/>
                  <w:tcBorders>
                    <w:top w:val="single" w:color="auto" w:sz="4" w:space="0"/>
                    <w:left w:val="nil"/>
                    <w:bottom w:val="single" w:color="auto" w:sz="4" w:space="0"/>
                    <w:right w:val="single" w:color="auto" w:sz="4" w:space="0"/>
                  </w:tcBorders>
                  <w:noWrap w:val="0"/>
                  <w:vAlign w:val="center"/>
                </w:tcPr>
                <w:p w14:paraId="162BEA8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35</w:t>
                  </w:r>
                </w:p>
              </w:tc>
              <w:tc>
                <w:tcPr>
                  <w:tcW w:w="707" w:type="pct"/>
                  <w:tcBorders>
                    <w:top w:val="single" w:color="auto" w:sz="4" w:space="0"/>
                    <w:left w:val="nil"/>
                    <w:bottom w:val="single" w:color="auto" w:sz="4" w:space="0"/>
                    <w:right w:val="single" w:color="auto" w:sz="4" w:space="0"/>
                  </w:tcBorders>
                  <w:noWrap w:val="0"/>
                  <w:vAlign w:val="center"/>
                </w:tcPr>
                <w:p w14:paraId="1671571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rPr>
                  </w:pPr>
                  <w:r>
                    <w:rPr>
                      <w:rFonts w:hint="default" w:ascii="Times New Roman" w:hAnsi="Times New Roman" w:eastAsia="宋体" w:cs="Times New Roman"/>
                      <w:color w:val="auto"/>
                      <w:spacing w:val="1"/>
                      <w:kern w:val="2"/>
                      <w:sz w:val="21"/>
                      <w:szCs w:val="21"/>
                      <w:lang w:val="en-US" w:eastAsia="zh-CN" w:bidi="ar"/>
                    </w:rPr>
                    <w:t>/</w:t>
                  </w:r>
                </w:p>
              </w:tc>
              <w:tc>
                <w:tcPr>
                  <w:tcW w:w="601" w:type="pct"/>
                  <w:tcBorders>
                    <w:top w:val="single" w:color="auto" w:sz="4" w:space="0"/>
                    <w:left w:val="nil"/>
                    <w:bottom w:val="single" w:color="auto" w:sz="4" w:space="0"/>
                    <w:right w:val="nil"/>
                  </w:tcBorders>
                  <w:noWrap w:val="0"/>
                  <w:vAlign w:val="center"/>
                </w:tcPr>
                <w:p w14:paraId="2CA9ECE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达标</w:t>
                  </w:r>
                </w:p>
              </w:tc>
            </w:tr>
            <w:tr w14:paraId="1C3F1140">
              <w:tblPrEx>
                <w:tblBorders>
                  <w:top w:val="single" w:color="000000" w:sz="4" w:space="0"/>
                  <w:left w:val="none" w:color="auto" w:sz="6" w:space="0"/>
                  <w:bottom w:val="single" w:color="000000" w:sz="4"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61" w:type="pct"/>
                  <w:tcBorders>
                    <w:top w:val="single" w:color="auto" w:sz="4" w:space="0"/>
                    <w:left w:val="nil"/>
                    <w:bottom w:val="single" w:color="000000" w:sz="4" w:space="0"/>
                    <w:right w:val="single" w:color="auto" w:sz="4" w:space="0"/>
                  </w:tcBorders>
                  <w:noWrap w:val="0"/>
                  <w:vAlign w:val="center"/>
                </w:tcPr>
                <w:p w14:paraId="02C5E75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O</w:t>
                  </w:r>
                  <w:r>
                    <w:rPr>
                      <w:rFonts w:hint="default" w:ascii="Times New Roman" w:hAnsi="Times New Roman" w:eastAsia="宋体" w:cs="Times New Roman"/>
                      <w:color w:val="auto"/>
                      <w:kern w:val="2"/>
                      <w:sz w:val="21"/>
                      <w:szCs w:val="21"/>
                      <w:vertAlign w:val="subscript"/>
                      <w:lang w:val="en-US" w:eastAsia="zh-CN" w:bidi="ar"/>
                    </w:rPr>
                    <w:t>3</w:t>
                  </w:r>
                </w:p>
              </w:tc>
              <w:tc>
                <w:tcPr>
                  <w:tcW w:w="966" w:type="pct"/>
                  <w:tcBorders>
                    <w:top w:val="single" w:color="auto" w:sz="4" w:space="0"/>
                    <w:left w:val="nil"/>
                    <w:bottom w:val="single" w:color="000000" w:sz="4" w:space="0"/>
                    <w:right w:val="single" w:color="auto" w:sz="4" w:space="0"/>
                  </w:tcBorders>
                  <w:noWrap w:val="0"/>
                  <w:vAlign w:val="center"/>
                </w:tcPr>
                <w:p w14:paraId="0612161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日最大</w:t>
                  </w:r>
                  <w:r>
                    <w:rPr>
                      <w:rFonts w:hint="default" w:ascii="Times New Roman" w:hAnsi="Times New Roman" w:eastAsia="宋体" w:cs="Times New Roman"/>
                      <w:color w:val="auto"/>
                      <w:kern w:val="2"/>
                      <w:sz w:val="21"/>
                      <w:szCs w:val="21"/>
                      <w:lang w:val="en-US" w:eastAsia="zh-CN" w:bidi="ar"/>
                    </w:rPr>
                    <w:t>8h</w:t>
                  </w:r>
                  <w:r>
                    <w:rPr>
                      <w:rFonts w:hint="eastAsia" w:ascii="宋体" w:hAnsi="宋体" w:eastAsia="宋体" w:cs="宋体"/>
                      <w:color w:val="auto"/>
                      <w:kern w:val="2"/>
                      <w:sz w:val="21"/>
                      <w:szCs w:val="21"/>
                      <w:lang w:val="en-US" w:eastAsia="zh-CN" w:bidi="ar"/>
                    </w:rPr>
                    <w:t>平均第</w:t>
                  </w:r>
                  <w:r>
                    <w:rPr>
                      <w:rFonts w:hint="default" w:ascii="Times New Roman" w:hAnsi="Times New Roman" w:eastAsia="宋体" w:cs="Times New Roman"/>
                      <w:color w:val="auto"/>
                      <w:kern w:val="2"/>
                      <w:sz w:val="21"/>
                      <w:szCs w:val="21"/>
                      <w:lang w:val="en-US" w:eastAsia="zh-CN" w:bidi="ar"/>
                    </w:rPr>
                    <w:t>90</w:t>
                  </w:r>
                  <w:r>
                    <w:rPr>
                      <w:rFonts w:hint="eastAsia" w:ascii="宋体" w:hAnsi="宋体" w:eastAsia="宋体" w:cs="宋体"/>
                      <w:color w:val="auto"/>
                      <w:kern w:val="2"/>
                      <w:sz w:val="21"/>
                      <w:szCs w:val="21"/>
                      <w:lang w:val="en-US" w:eastAsia="zh-CN" w:bidi="ar"/>
                    </w:rPr>
                    <w:t>百分位数</w:t>
                  </w:r>
                </w:p>
              </w:tc>
              <w:tc>
                <w:tcPr>
                  <w:tcW w:w="713" w:type="pct"/>
                  <w:tcBorders>
                    <w:top w:val="single" w:color="auto" w:sz="4" w:space="0"/>
                    <w:left w:val="nil"/>
                    <w:bottom w:val="single" w:color="000000" w:sz="4" w:space="0"/>
                    <w:right w:val="single" w:color="auto" w:sz="4" w:space="0"/>
                  </w:tcBorders>
                  <w:noWrap w:val="0"/>
                  <w:vAlign w:val="center"/>
                </w:tcPr>
                <w:p w14:paraId="573979D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160</w:t>
                  </w:r>
                </w:p>
              </w:tc>
              <w:tc>
                <w:tcPr>
                  <w:tcW w:w="794" w:type="pct"/>
                  <w:tcBorders>
                    <w:top w:val="single" w:color="auto" w:sz="4" w:space="0"/>
                    <w:left w:val="nil"/>
                    <w:bottom w:val="single" w:color="000000" w:sz="4" w:space="0"/>
                    <w:right w:val="single" w:color="auto" w:sz="4" w:space="0"/>
                  </w:tcBorders>
                  <w:noWrap w:val="0"/>
                  <w:vAlign w:val="center"/>
                </w:tcPr>
                <w:p w14:paraId="6106FE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1</w:t>
                  </w:r>
                  <w:r>
                    <w:rPr>
                      <w:rFonts w:hint="eastAsia" w:ascii="Times New Roman" w:hAnsi="Times New Roman" w:eastAsia="宋体" w:cs="Times New Roman"/>
                      <w:color w:val="auto"/>
                      <w:kern w:val="2"/>
                      <w:sz w:val="21"/>
                      <w:szCs w:val="21"/>
                      <w:lang w:val="en-US" w:eastAsia="zh-CN" w:bidi="ar"/>
                    </w:rPr>
                    <w:t>84</w:t>
                  </w:r>
                </w:p>
              </w:tc>
              <w:tc>
                <w:tcPr>
                  <w:tcW w:w="753" w:type="pct"/>
                  <w:tcBorders>
                    <w:top w:val="single" w:color="auto" w:sz="4" w:space="0"/>
                    <w:left w:val="nil"/>
                    <w:bottom w:val="single" w:color="000000" w:sz="4" w:space="0"/>
                    <w:right w:val="single" w:color="auto" w:sz="4" w:space="0"/>
                  </w:tcBorders>
                  <w:noWrap w:val="0"/>
                  <w:vAlign w:val="center"/>
                </w:tcPr>
                <w:p w14:paraId="6A4EB97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11</w:t>
                  </w:r>
                  <w:r>
                    <w:rPr>
                      <w:rFonts w:hint="eastAsia" w:ascii="Times New Roman" w:hAnsi="Times New Roman" w:eastAsia="宋体" w:cs="Times New Roman"/>
                      <w:color w:val="auto"/>
                      <w:kern w:val="2"/>
                      <w:sz w:val="21"/>
                      <w:szCs w:val="21"/>
                      <w:lang w:val="en-US" w:eastAsia="zh-CN" w:bidi="ar"/>
                    </w:rPr>
                    <w:t>5</w:t>
                  </w:r>
                </w:p>
              </w:tc>
              <w:tc>
                <w:tcPr>
                  <w:tcW w:w="707" w:type="pct"/>
                  <w:tcBorders>
                    <w:top w:val="single" w:color="auto" w:sz="4" w:space="0"/>
                    <w:left w:val="nil"/>
                    <w:bottom w:val="single" w:color="000000" w:sz="4" w:space="0"/>
                    <w:right w:val="single" w:color="auto" w:sz="4" w:space="0"/>
                  </w:tcBorders>
                  <w:noWrap w:val="0"/>
                  <w:vAlign w:val="center"/>
                </w:tcPr>
                <w:p w14:paraId="7829D22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pacing w:val="1"/>
                      <w:kern w:val="2"/>
                      <w:sz w:val="21"/>
                      <w:szCs w:val="21"/>
                      <w:lang w:val="en-US" w:eastAsia="zh-CN"/>
                    </w:rPr>
                  </w:pPr>
                  <w:r>
                    <w:rPr>
                      <w:rFonts w:hint="eastAsia" w:ascii="Times New Roman" w:hAnsi="Times New Roman" w:eastAsia="宋体" w:cs="Times New Roman"/>
                      <w:color w:val="auto"/>
                      <w:spacing w:val="1"/>
                      <w:kern w:val="2"/>
                      <w:sz w:val="21"/>
                      <w:szCs w:val="21"/>
                      <w:lang w:val="en-US" w:eastAsia="zh-CN"/>
                    </w:rPr>
                    <w:t>15</w:t>
                  </w:r>
                </w:p>
              </w:tc>
              <w:tc>
                <w:tcPr>
                  <w:tcW w:w="601" w:type="pct"/>
                  <w:tcBorders>
                    <w:top w:val="single" w:color="auto" w:sz="4" w:space="0"/>
                    <w:left w:val="nil"/>
                    <w:bottom w:val="single" w:color="000000" w:sz="4" w:space="0"/>
                    <w:right w:val="nil"/>
                  </w:tcBorders>
                  <w:noWrap w:val="0"/>
                  <w:vAlign w:val="center"/>
                </w:tcPr>
                <w:p w14:paraId="7738AFF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超标</w:t>
                  </w:r>
                </w:p>
              </w:tc>
            </w:tr>
          </w:tbl>
          <w:p w14:paraId="406FF95E">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由上表可知，吸入颗粒物（</w:t>
            </w:r>
            <w:r>
              <w:rPr>
                <w:rFonts w:hint="default" w:ascii="Times New Roman" w:hAnsi="Times New Roman" w:eastAsia="宋体" w:cs="Times New Roman"/>
                <w:color w:val="auto"/>
                <w:kern w:val="2"/>
                <w:sz w:val="24"/>
                <w:szCs w:val="24"/>
                <w:lang w:val="en-US" w:eastAsia="zh-CN" w:bidi="ar"/>
              </w:rPr>
              <w:t>PM</w:t>
            </w:r>
            <w:r>
              <w:rPr>
                <w:rFonts w:hint="default" w:ascii="Times New Roman" w:hAnsi="Times New Roman" w:eastAsia="宋体" w:cs="Times New Roman"/>
                <w:color w:val="auto"/>
                <w:kern w:val="2"/>
                <w:sz w:val="24"/>
                <w:szCs w:val="24"/>
                <w:vertAlign w:val="subscript"/>
                <w:lang w:val="en-US" w:eastAsia="zh-CN" w:bidi="ar"/>
              </w:rPr>
              <w:t>10</w:t>
            </w:r>
            <w:r>
              <w:rPr>
                <w:rFonts w:hint="eastAsia" w:ascii="宋体" w:hAnsi="宋体" w:eastAsia="宋体" w:cs="宋体"/>
                <w:color w:val="auto"/>
                <w:kern w:val="2"/>
                <w:sz w:val="24"/>
                <w:szCs w:val="24"/>
                <w:lang w:val="en-US" w:eastAsia="zh-CN" w:bidi="ar"/>
              </w:rPr>
              <w:t>）、细颗粒物（</w:t>
            </w:r>
            <w:r>
              <w:rPr>
                <w:rFonts w:hint="default" w:ascii="Times New Roman" w:hAnsi="Times New Roman" w:eastAsia="宋体" w:cs="Times New Roman"/>
                <w:color w:val="auto"/>
                <w:kern w:val="2"/>
                <w:sz w:val="24"/>
                <w:szCs w:val="24"/>
                <w:lang w:val="en-US" w:eastAsia="zh-CN" w:bidi="ar"/>
              </w:rPr>
              <w:t>PM</w:t>
            </w:r>
            <w:r>
              <w:rPr>
                <w:rFonts w:hint="default" w:ascii="Times New Roman" w:hAnsi="Times New Roman" w:eastAsia="宋体" w:cs="Times New Roman"/>
                <w:color w:val="auto"/>
                <w:kern w:val="2"/>
                <w:sz w:val="24"/>
                <w:szCs w:val="24"/>
                <w:vertAlign w:val="subscript"/>
                <w:lang w:val="en-US" w:eastAsia="zh-CN" w:bidi="ar"/>
              </w:rPr>
              <w:t>2.5</w:t>
            </w:r>
            <w:r>
              <w:rPr>
                <w:rFonts w:hint="eastAsia" w:ascii="宋体" w:hAnsi="宋体" w:eastAsia="宋体" w:cs="宋体"/>
                <w:color w:val="auto"/>
                <w:kern w:val="2"/>
                <w:sz w:val="24"/>
                <w:szCs w:val="24"/>
                <w:lang w:val="en-US" w:eastAsia="zh-CN" w:bidi="ar"/>
              </w:rPr>
              <w:t>）、臭氧浓度均超出《环境空气质量标准》（</w:t>
            </w:r>
            <w:r>
              <w:rPr>
                <w:rFonts w:hint="default" w:ascii="Times New Roman" w:hAnsi="Times New Roman" w:eastAsia="宋体" w:cs="Times New Roman"/>
                <w:color w:val="auto"/>
                <w:kern w:val="2"/>
                <w:sz w:val="24"/>
                <w:szCs w:val="24"/>
                <w:lang w:val="en-US" w:eastAsia="zh-CN" w:bidi="ar"/>
              </w:rPr>
              <w:t>GB3095-20</w:t>
            </w:r>
            <w:r>
              <w:rPr>
                <w:rFonts w:hint="eastAsia" w:ascii="Times New Roman" w:hAnsi="Times New Roman" w:eastAsia="宋体" w:cs="Times New Roman"/>
                <w:color w:val="auto"/>
                <w:kern w:val="2"/>
                <w:sz w:val="24"/>
                <w:szCs w:val="24"/>
                <w:lang w:val="en-US" w:eastAsia="zh-CN" w:bidi="ar"/>
              </w:rPr>
              <w:t>26</w:t>
            </w:r>
            <w:r>
              <w:rPr>
                <w:rFonts w:hint="eastAsia" w:ascii="宋体" w:hAnsi="宋体" w:eastAsia="宋体" w:cs="宋体"/>
                <w:color w:val="auto"/>
                <w:kern w:val="2"/>
                <w:sz w:val="24"/>
                <w:szCs w:val="24"/>
                <w:lang w:val="en-US" w:eastAsia="zh-CN" w:bidi="ar"/>
              </w:rPr>
              <w:t>）中的二级标准；二氧化硫、二氧化氮、一氧化碳浓度未超出《环境空气质量标准》（</w:t>
            </w:r>
            <w:r>
              <w:rPr>
                <w:rFonts w:hint="default" w:ascii="Times New Roman" w:hAnsi="Times New Roman" w:eastAsia="宋体" w:cs="Times New Roman"/>
                <w:color w:val="auto"/>
                <w:kern w:val="2"/>
                <w:sz w:val="24"/>
                <w:szCs w:val="24"/>
                <w:lang w:val="en-US" w:eastAsia="zh-CN" w:bidi="ar"/>
              </w:rPr>
              <w:t>GB3095-20</w:t>
            </w:r>
            <w:r>
              <w:rPr>
                <w:rFonts w:hint="eastAsia" w:ascii="Times New Roman" w:hAnsi="Times New Roman" w:eastAsia="宋体" w:cs="Times New Roman"/>
                <w:color w:val="auto"/>
                <w:kern w:val="2"/>
                <w:sz w:val="24"/>
                <w:szCs w:val="24"/>
                <w:lang w:val="en-US" w:eastAsia="zh-CN" w:bidi="ar"/>
              </w:rPr>
              <w:t>26</w:t>
            </w:r>
            <w:r>
              <w:rPr>
                <w:rFonts w:hint="eastAsia" w:ascii="宋体" w:hAnsi="宋体" w:eastAsia="宋体" w:cs="宋体"/>
                <w:color w:val="auto"/>
                <w:kern w:val="2"/>
                <w:sz w:val="24"/>
                <w:szCs w:val="24"/>
                <w:lang w:val="en-US" w:eastAsia="zh-CN" w:bidi="ar"/>
              </w:rPr>
              <w:t>）中的二级标准，根据《环境影响评价技术导则</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大气环境》（</w:t>
            </w:r>
            <w:r>
              <w:rPr>
                <w:rFonts w:hint="default" w:ascii="Times New Roman" w:hAnsi="Times New Roman" w:eastAsia="宋体" w:cs="Times New Roman"/>
                <w:color w:val="auto"/>
                <w:kern w:val="2"/>
                <w:sz w:val="24"/>
                <w:szCs w:val="24"/>
                <w:lang w:val="en-US" w:eastAsia="zh-CN" w:bidi="ar"/>
              </w:rPr>
              <w:t>HJ2.2-2018</w:t>
            </w:r>
            <w:r>
              <w:rPr>
                <w:rFonts w:hint="eastAsia" w:ascii="宋体" w:hAnsi="宋体" w:eastAsia="宋体" w:cs="宋体"/>
                <w:color w:val="auto"/>
                <w:kern w:val="2"/>
                <w:sz w:val="24"/>
                <w:szCs w:val="24"/>
                <w:lang w:val="en-US" w:eastAsia="zh-CN" w:bidi="ar"/>
              </w:rPr>
              <w:t>），六项污染物全部达标才为城市环境空气质量达标，因此，企业所在区域为不达标区，环境空气质量为不达标。</w:t>
            </w:r>
          </w:p>
          <w:p w14:paraId="583234BF">
            <w:pPr>
              <w:keepNext w:val="0"/>
              <w:keepLines w:val="0"/>
              <w:pageBreakBefore w:val="0"/>
              <w:suppressLineNumbers w:val="0"/>
              <w:kinsoku/>
              <w:wordWrap/>
              <w:overflowPunct/>
              <w:topLinePunct w:val="0"/>
              <w:bidi w:val="0"/>
              <w:adjustRightInd/>
              <w:snapToGrid/>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0"/>
                <w:sz w:val="24"/>
                <w:szCs w:val="24"/>
                <w:lang w:val="en-US" w:eastAsia="zh-CN" w:bidi="ar"/>
              </w:rPr>
              <w:t>为切实改善空气质量，持续改善全市环境空气质量，打赢大气污染防治攻坚战，安阳市生态环境保护委员会印发了《安阳市202</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年大气污染防治攻坚行动方案》</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根据</w:t>
            </w:r>
            <w:r>
              <w:rPr>
                <w:rFonts w:hint="eastAsia" w:ascii="Times New Roman" w:hAnsi="Times New Roman" w:eastAsia="宋体" w:cs="Times New Roman"/>
                <w:color w:val="auto"/>
                <w:kern w:val="0"/>
                <w:sz w:val="24"/>
                <w:szCs w:val="24"/>
                <w:lang w:val="en-US" w:eastAsia="zh-CN" w:bidi="ar"/>
              </w:rPr>
              <w:t>文件要求</w:t>
            </w:r>
            <w:r>
              <w:rPr>
                <w:rFonts w:hint="default" w:ascii="Times New Roman" w:hAnsi="Times New Roman" w:eastAsia="宋体" w:cs="Times New Roman"/>
                <w:color w:val="auto"/>
                <w:kern w:val="0"/>
                <w:sz w:val="24"/>
                <w:szCs w:val="24"/>
                <w:lang w:val="en-US" w:eastAsia="zh-CN" w:bidi="ar"/>
              </w:rPr>
              <w:t>，实施重点攻坚行动，强化制度机制落实，补齐能力体系短板，全力推动空气质量持续改善。攻坚行动包括：</w:t>
            </w:r>
            <w:r>
              <w:rPr>
                <w:rFonts w:hint="eastAsia" w:ascii="Times New Roman" w:hAnsi="Times New Roman" w:eastAsia="宋体" w:cs="Times New Roman"/>
                <w:color w:val="auto"/>
                <w:kern w:val="0"/>
                <w:sz w:val="24"/>
                <w:szCs w:val="24"/>
                <w:lang w:val="en-US" w:eastAsia="zh-CN" w:bidi="ar"/>
              </w:rPr>
              <w:t>产业结构调整攻坚、清洁运输替代攻坚、能源绿色转型攻坚、工业深度清污攻坚、污染协同治理攻坚、面源精细管控攻坚、污染天气应对攻坚、监测监管提升攻坚等，不断改善区域大气环境质量。</w:t>
            </w:r>
          </w:p>
          <w:p w14:paraId="31304535">
            <w:pPr>
              <w:keepNext w:val="0"/>
              <w:keepLines w:val="0"/>
              <w:pageBreakBefore w:val="0"/>
              <w:suppressLineNumbers w:val="0"/>
              <w:kinsoku/>
              <w:wordWrap/>
              <w:overflowPunct/>
              <w:topLinePunct w:val="0"/>
              <w:bidi w:val="0"/>
              <w:adjustRightInd/>
              <w:snapToGrid/>
              <w:spacing w:before="0" w:beforeLines="0" w:beforeAutospacing="0" w:after="0" w:afterLines="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w:t>
            </w:r>
            <w:r>
              <w:rPr>
                <w:rFonts w:hint="default" w:ascii="Times New Roman" w:hAnsi="Times New Roman" w:eastAsia="宋体" w:cs="Times New Roman"/>
                <w:color w:val="auto"/>
                <w:sz w:val="24"/>
                <w:szCs w:val="24"/>
                <w:highlight w:val="none"/>
              </w:rPr>
              <w:t>次</w:t>
            </w:r>
            <w:r>
              <w:rPr>
                <w:rFonts w:hint="eastAsia" w:cs="Times New Roman"/>
                <w:color w:val="auto"/>
                <w:sz w:val="24"/>
                <w:szCs w:val="24"/>
                <w:highlight w:val="none"/>
                <w:lang w:eastAsia="zh-CN"/>
              </w:rPr>
              <w:t>项目挤出（吹膜）</w:t>
            </w:r>
            <w:r>
              <w:rPr>
                <w:rFonts w:hint="eastAsia" w:cs="Times New Roman"/>
                <w:color w:val="auto"/>
                <w:sz w:val="24"/>
                <w:szCs w:val="24"/>
                <w:highlight w:val="none"/>
                <w:lang w:val="en-US" w:eastAsia="zh-CN"/>
              </w:rPr>
              <w:t>、高频复合、粘合、喷码工序废气</w:t>
            </w:r>
            <w:r>
              <w:rPr>
                <w:rFonts w:hint="default" w:ascii="Times New Roman" w:hAnsi="Times New Roman" w:eastAsia="宋体" w:cs="Times New Roman"/>
                <w:color w:val="auto"/>
                <w:sz w:val="24"/>
                <w:szCs w:val="24"/>
                <w:highlight w:val="none"/>
                <w:lang w:val="en-US" w:eastAsia="zh-CN"/>
              </w:rPr>
              <w:t>采用</w:t>
            </w:r>
            <w:r>
              <w:rPr>
                <w:rFonts w:hint="eastAsia" w:cs="Times New Roman"/>
                <w:color w:val="auto"/>
                <w:sz w:val="24"/>
                <w:szCs w:val="24"/>
                <w:highlight w:val="none"/>
                <w:lang w:val="en-US" w:eastAsia="zh-CN"/>
              </w:rPr>
              <w:t>集气罩</w:t>
            </w:r>
            <w:r>
              <w:rPr>
                <w:rFonts w:hint="default" w:ascii="Times New Roman" w:hAnsi="Times New Roman" w:eastAsia="宋体" w:cs="Times New Roman"/>
                <w:color w:val="auto"/>
                <w:sz w:val="24"/>
                <w:szCs w:val="24"/>
                <w:highlight w:val="none"/>
                <w:lang w:val="en-US" w:eastAsia="zh-CN"/>
              </w:rPr>
              <w:t>+1套“吸附、脱附+催化燃烧”收集处理后，由一根不低于15m高的排气筒（</w:t>
            </w:r>
            <w:r>
              <w:rPr>
                <w:rFonts w:hint="eastAsia" w:ascii="Times New Roman" w:hAnsi="Times New Roman" w:eastAsia="宋体" w:cs="Times New Roman"/>
                <w:color w:val="auto"/>
                <w:sz w:val="24"/>
                <w:szCs w:val="24"/>
                <w:highlight w:val="none"/>
                <w:lang w:val="en-US" w:eastAsia="zh-CN"/>
              </w:rPr>
              <w:t>DA001</w:t>
            </w:r>
            <w:r>
              <w:rPr>
                <w:rFonts w:hint="default" w:ascii="Times New Roman" w:hAnsi="Times New Roman" w:eastAsia="宋体" w:cs="Times New Roman"/>
                <w:color w:val="auto"/>
                <w:sz w:val="24"/>
                <w:szCs w:val="24"/>
                <w:highlight w:val="none"/>
                <w:lang w:val="en-US" w:eastAsia="zh-CN"/>
              </w:rPr>
              <w:t>）达标排放，</w:t>
            </w:r>
            <w:r>
              <w:rPr>
                <w:rFonts w:hint="default" w:ascii="Times New Roman" w:hAnsi="Times New Roman" w:eastAsia="宋体" w:cs="Times New Roman"/>
                <w:color w:val="auto"/>
                <w:sz w:val="24"/>
                <w:szCs w:val="24"/>
                <w:highlight w:val="none"/>
              </w:rPr>
              <w:t>对周边环境影响较小。</w:t>
            </w:r>
          </w:p>
          <w:p w14:paraId="7273F39E">
            <w:pPr>
              <w:pStyle w:val="13"/>
              <w:keepNext w:val="0"/>
              <w:keepLines w:val="0"/>
              <w:suppressLineNumbers w:val="0"/>
              <w:snapToGrid w:val="0"/>
              <w:spacing w:before="0" w:beforeAutospacing="0" w:after="0" w:afterAutospacing="0" w:line="360" w:lineRule="auto"/>
              <w:ind w:left="0" w:right="0"/>
              <w:rPr>
                <w:rFonts w:hint="default" w:ascii="Times New Roman" w:hAnsi="Times New Roman" w:eastAsia="Times New Roman" w:cs="Times New Roman"/>
                <w:b/>
                <w:color w:val="auto"/>
                <w:sz w:val="24"/>
                <w:szCs w:val="24"/>
                <w:highlight w:val="none"/>
              </w:rPr>
            </w:pPr>
            <w:r>
              <w:rPr>
                <w:rFonts w:hint="default" w:ascii="Times New Roman" w:hAnsi="Times New Roman" w:eastAsia="Times New Roman" w:cs="Times New Roman"/>
                <w:b/>
                <w:color w:val="auto"/>
                <w:sz w:val="24"/>
                <w:szCs w:val="24"/>
                <w:highlight w:val="none"/>
              </w:rPr>
              <w:t>2.地表水环境质量现状</w:t>
            </w:r>
          </w:p>
          <w:p w14:paraId="23A130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kern w:val="0"/>
                <w:sz w:val="24"/>
                <w:szCs w:val="24"/>
                <w:lang w:eastAsia="zh-CN"/>
              </w:rPr>
            </w:pPr>
            <w:r>
              <w:rPr>
                <w:rFonts w:hint="eastAsia"/>
                <w:color w:val="auto"/>
                <w:sz w:val="24"/>
                <w:szCs w:val="24"/>
                <w:highlight w:val="none"/>
              </w:rPr>
              <w:t>附近的地表水为</w:t>
            </w:r>
            <w:r>
              <w:rPr>
                <w:rFonts w:hint="eastAsia"/>
                <w:color w:val="auto"/>
                <w:sz w:val="24"/>
                <w:szCs w:val="24"/>
                <w:highlight w:val="none"/>
                <w:lang w:eastAsia="zh-CN"/>
              </w:rPr>
              <w:t>北侧</w:t>
            </w:r>
            <w:r>
              <w:rPr>
                <w:rFonts w:hint="eastAsia"/>
                <w:color w:val="auto"/>
                <w:sz w:val="24"/>
                <w:szCs w:val="24"/>
                <w:highlight w:val="none"/>
                <w:lang w:val="en-US" w:eastAsia="zh-CN"/>
              </w:rPr>
              <w:t>1421m处</w:t>
            </w:r>
            <w:r>
              <w:rPr>
                <w:rFonts w:hint="eastAsia"/>
                <w:color w:val="auto"/>
                <w:sz w:val="24"/>
                <w:szCs w:val="24"/>
                <w:highlight w:val="none"/>
              </w:rPr>
              <w:t>的</w:t>
            </w:r>
            <w:r>
              <w:rPr>
                <w:rFonts w:hint="eastAsia"/>
                <w:color w:val="auto"/>
                <w:sz w:val="24"/>
                <w:szCs w:val="24"/>
                <w:highlight w:val="none"/>
                <w:lang w:eastAsia="zh-CN"/>
              </w:rPr>
              <w:t>汤河</w:t>
            </w:r>
            <w:r>
              <w:rPr>
                <w:rFonts w:hint="eastAsia"/>
                <w:color w:val="auto"/>
                <w:sz w:val="24"/>
                <w:szCs w:val="24"/>
                <w:lang w:eastAsia="zh-CN"/>
              </w:rPr>
              <w:t>，距离最近的监控断面为汤河石辛庄断面</w:t>
            </w:r>
            <w:r>
              <w:rPr>
                <w:rFonts w:hint="eastAsia"/>
                <w:color w:val="auto"/>
                <w:sz w:val="24"/>
                <w:szCs w:val="24"/>
                <w:highlight w:val="none"/>
                <w:lang w:eastAsia="zh-CN"/>
              </w:rPr>
              <w:t>，</w:t>
            </w:r>
            <w:r>
              <w:rPr>
                <w:rFonts w:hint="eastAsia"/>
                <w:color w:val="auto"/>
                <w:sz w:val="24"/>
                <w:szCs w:val="24"/>
                <w:highlight w:val="none"/>
                <w:lang w:val="en-US" w:eastAsia="zh-CN"/>
              </w:rPr>
              <w:t>根据《安阳市2026年碧水保卫战实施方案》</w:t>
            </w:r>
            <w:r>
              <w:rPr>
                <w:rFonts w:hint="eastAsia" w:ascii="Times New Roman" w:hAnsi="Times New Roman" w:eastAsia="宋体" w:cs="宋体"/>
                <w:color w:val="auto"/>
                <w:kern w:val="0"/>
                <w:sz w:val="24"/>
                <w:szCs w:val="24"/>
                <w:highlight w:val="none"/>
                <w:lang w:val="en-US" w:eastAsia="zh-CN"/>
              </w:rPr>
              <w:t>汤河石辛庄断面2026年目标为</w:t>
            </w:r>
            <w:r>
              <w:rPr>
                <w:rFonts w:hint="eastAsia" w:ascii="宋体" w:hAnsi="宋体" w:eastAsia="宋体" w:cs="宋体"/>
                <w:color w:val="auto"/>
                <w:kern w:val="0"/>
                <w:sz w:val="24"/>
                <w:szCs w:val="24"/>
                <w:highlight w:val="none"/>
                <w:lang w:val="en-US" w:eastAsia="zh-CN"/>
              </w:rPr>
              <w:t>Ⅲ</w:t>
            </w:r>
            <w:r>
              <w:rPr>
                <w:rFonts w:hint="eastAsia" w:ascii="Times New Roman" w:hAnsi="Times New Roman" w:eastAsia="宋体" w:cs="宋体"/>
                <w:color w:val="auto"/>
                <w:kern w:val="0"/>
                <w:sz w:val="24"/>
                <w:szCs w:val="24"/>
                <w:highlight w:val="none"/>
                <w:lang w:val="en-US" w:eastAsia="zh-CN"/>
              </w:rPr>
              <w:t>类水体。《</w:t>
            </w:r>
            <w:r>
              <w:rPr>
                <w:rFonts w:hint="eastAsia"/>
                <w:color w:val="auto"/>
                <w:sz w:val="24"/>
                <w:szCs w:val="24"/>
                <w:highlight w:val="none"/>
                <w:lang w:eastAsia="zh-CN"/>
              </w:rPr>
              <w:t>安阳市 2024 年碧水保卫战实施方案</w:t>
            </w:r>
            <w:r>
              <w:rPr>
                <w:rFonts w:hint="eastAsia" w:ascii="Times New Roman" w:hAnsi="Times New Roman" w:eastAsia="宋体" w:cs="宋体"/>
                <w:color w:val="auto"/>
                <w:kern w:val="0"/>
                <w:sz w:val="24"/>
                <w:szCs w:val="24"/>
                <w:highlight w:val="none"/>
                <w:lang w:val="en-US" w:eastAsia="zh-CN"/>
              </w:rPr>
              <w:t>》汤河石辛庄断面2024年目标为Ⅴ类水体。根据安阳市生态环境局公布的《安阳市市控地表水自动监测》（2024年第1周-第52周）常规监测数据，汤河石辛庄断面监测结果见下表</w:t>
            </w:r>
            <w:r>
              <w:rPr>
                <w:rFonts w:hint="eastAsia" w:ascii="Times New Roman" w:hAnsi="Times New Roman" w:eastAsia="宋体" w:cs="宋体"/>
                <w:color w:val="auto"/>
                <w:kern w:val="0"/>
                <w:sz w:val="24"/>
                <w:szCs w:val="24"/>
                <w:highlight w:val="none"/>
                <w:lang w:eastAsia="zh-CN"/>
              </w:rPr>
              <w:t>。</w:t>
            </w:r>
          </w:p>
          <w:p w14:paraId="74FB8A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宋体"/>
                <w:b/>
                <w:bCs/>
                <w:color w:val="auto"/>
                <w:kern w:val="0"/>
                <w:sz w:val="24"/>
                <w:szCs w:val="24"/>
              </w:rPr>
            </w:pPr>
            <w:r>
              <w:rPr>
                <w:rFonts w:hint="eastAsia" w:ascii="Times New Roman" w:hAnsi="Times New Roman" w:eastAsia="宋体" w:cs="宋体"/>
                <w:b/>
                <w:bCs/>
                <w:color w:val="auto"/>
                <w:kern w:val="0"/>
                <w:sz w:val="24"/>
                <w:szCs w:val="24"/>
              </w:rPr>
              <w:t>202</w:t>
            </w:r>
            <w:r>
              <w:rPr>
                <w:rFonts w:hint="eastAsia" w:ascii="Times New Roman" w:hAnsi="Times New Roman" w:eastAsia="宋体" w:cs="宋体"/>
                <w:b/>
                <w:bCs/>
                <w:color w:val="auto"/>
                <w:kern w:val="0"/>
                <w:sz w:val="24"/>
                <w:szCs w:val="24"/>
                <w:lang w:val="en-US" w:eastAsia="zh-CN"/>
              </w:rPr>
              <w:t>4</w:t>
            </w:r>
            <w:r>
              <w:rPr>
                <w:rFonts w:hint="eastAsia" w:ascii="Times New Roman" w:hAnsi="Times New Roman" w:eastAsia="宋体" w:cs="宋体"/>
                <w:b/>
                <w:bCs/>
                <w:color w:val="auto"/>
                <w:kern w:val="0"/>
                <w:sz w:val="24"/>
                <w:szCs w:val="24"/>
              </w:rPr>
              <w:t>年汤河石辛庄市控县界断面全年监测结果一览表单位：mg/L</w:t>
            </w:r>
          </w:p>
          <w:tbl>
            <w:tblPr>
              <w:tblStyle w:val="26"/>
              <w:tblW w:w="495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94"/>
              <w:gridCol w:w="1253"/>
              <w:gridCol w:w="1375"/>
              <w:gridCol w:w="1375"/>
              <w:gridCol w:w="1305"/>
              <w:gridCol w:w="1446"/>
            </w:tblGrid>
            <w:tr w14:paraId="47A93D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jc w:val="center"/>
              </w:trPr>
              <w:tc>
                <w:tcPr>
                  <w:tcW w:w="1444" w:type="dxa"/>
                  <w:tcBorders>
                    <w:tl2br w:val="nil"/>
                    <w:tr2bl w:val="nil"/>
                  </w:tcBorders>
                  <w:noWrap w:val="0"/>
                  <w:tcMar>
                    <w:top w:w="0" w:type="dxa"/>
                    <w:left w:w="28" w:type="dxa"/>
                    <w:bottom w:w="0" w:type="dxa"/>
                    <w:right w:w="28" w:type="dxa"/>
                  </w:tcMar>
                  <w:vAlign w:val="center"/>
                </w:tcPr>
                <w:p w14:paraId="57C6A09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时间</w:t>
                  </w:r>
                </w:p>
              </w:tc>
              <w:tc>
                <w:tcPr>
                  <w:tcW w:w="1211" w:type="dxa"/>
                  <w:tcBorders>
                    <w:tl2br w:val="nil"/>
                    <w:tr2bl w:val="nil"/>
                  </w:tcBorders>
                  <w:noWrap w:val="0"/>
                  <w:tcMar>
                    <w:top w:w="0" w:type="dxa"/>
                    <w:left w:w="28" w:type="dxa"/>
                    <w:bottom w:w="0" w:type="dxa"/>
                    <w:right w:w="28" w:type="dxa"/>
                  </w:tcMar>
                  <w:vAlign w:val="center"/>
                </w:tcPr>
                <w:p w14:paraId="1D559CA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COD</w:t>
                  </w:r>
                </w:p>
              </w:tc>
              <w:tc>
                <w:tcPr>
                  <w:tcW w:w="1329" w:type="dxa"/>
                  <w:tcBorders>
                    <w:tl2br w:val="nil"/>
                    <w:tr2bl w:val="nil"/>
                  </w:tcBorders>
                  <w:noWrap w:val="0"/>
                  <w:tcMar>
                    <w:top w:w="0" w:type="dxa"/>
                    <w:left w:w="28" w:type="dxa"/>
                    <w:bottom w:w="0" w:type="dxa"/>
                    <w:right w:w="28" w:type="dxa"/>
                  </w:tcMar>
                  <w:vAlign w:val="center"/>
                </w:tcPr>
                <w:p w14:paraId="2A5414D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氨氮</w:t>
                  </w:r>
                </w:p>
              </w:tc>
              <w:tc>
                <w:tcPr>
                  <w:tcW w:w="1329" w:type="dxa"/>
                  <w:tcBorders>
                    <w:tl2br w:val="nil"/>
                    <w:tr2bl w:val="nil"/>
                  </w:tcBorders>
                  <w:noWrap w:val="0"/>
                  <w:tcMar>
                    <w:top w:w="0" w:type="dxa"/>
                    <w:left w:w="28" w:type="dxa"/>
                    <w:bottom w:w="0" w:type="dxa"/>
                    <w:right w:w="28" w:type="dxa"/>
                  </w:tcMar>
                  <w:vAlign w:val="center"/>
                </w:tcPr>
                <w:p w14:paraId="4EE7E81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总磷</w:t>
                  </w:r>
                </w:p>
              </w:tc>
              <w:tc>
                <w:tcPr>
                  <w:tcW w:w="1261" w:type="dxa"/>
                  <w:tcBorders>
                    <w:tl2br w:val="nil"/>
                    <w:tr2bl w:val="nil"/>
                  </w:tcBorders>
                  <w:noWrap w:val="0"/>
                  <w:tcMar>
                    <w:top w:w="0" w:type="dxa"/>
                    <w:left w:w="28" w:type="dxa"/>
                    <w:bottom w:w="0" w:type="dxa"/>
                    <w:right w:w="28" w:type="dxa"/>
                  </w:tcMar>
                  <w:vAlign w:val="center"/>
                </w:tcPr>
                <w:p w14:paraId="32A0D45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总氮</w:t>
                  </w:r>
                </w:p>
              </w:tc>
              <w:tc>
                <w:tcPr>
                  <w:tcW w:w="1397" w:type="dxa"/>
                  <w:tcBorders>
                    <w:tl2br w:val="nil"/>
                    <w:tr2bl w:val="nil"/>
                  </w:tcBorders>
                  <w:noWrap w:val="0"/>
                  <w:tcMar>
                    <w:top w:w="0" w:type="dxa"/>
                    <w:left w:w="28" w:type="dxa"/>
                    <w:bottom w:w="0" w:type="dxa"/>
                    <w:right w:w="28" w:type="dxa"/>
                  </w:tcMar>
                  <w:vAlign w:val="center"/>
                </w:tcPr>
                <w:p w14:paraId="36C70AB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高锰酸盐指数</w:t>
                  </w:r>
                </w:p>
              </w:tc>
            </w:tr>
            <w:tr w14:paraId="1B9363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2052BF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1周</w:t>
                  </w:r>
                </w:p>
              </w:tc>
              <w:tc>
                <w:tcPr>
                  <w:tcW w:w="1211" w:type="dxa"/>
                  <w:tcBorders>
                    <w:tl2br w:val="nil"/>
                    <w:tr2bl w:val="nil"/>
                  </w:tcBorders>
                  <w:noWrap w:val="0"/>
                  <w:tcMar>
                    <w:top w:w="0" w:type="dxa"/>
                    <w:left w:w="28" w:type="dxa"/>
                    <w:bottom w:w="0" w:type="dxa"/>
                    <w:right w:w="28" w:type="dxa"/>
                  </w:tcMar>
                  <w:vAlign w:val="center"/>
                </w:tcPr>
                <w:p w14:paraId="6F37AEC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16.5</w:t>
                  </w:r>
                </w:p>
              </w:tc>
              <w:tc>
                <w:tcPr>
                  <w:tcW w:w="1329" w:type="dxa"/>
                  <w:tcBorders>
                    <w:tl2br w:val="nil"/>
                    <w:tr2bl w:val="nil"/>
                  </w:tcBorders>
                  <w:noWrap w:val="0"/>
                  <w:tcMar>
                    <w:top w:w="0" w:type="dxa"/>
                    <w:left w:w="28" w:type="dxa"/>
                    <w:bottom w:w="0" w:type="dxa"/>
                    <w:right w:w="28" w:type="dxa"/>
                  </w:tcMar>
                  <w:vAlign w:val="center"/>
                </w:tcPr>
                <w:p w14:paraId="47D84E4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1.278</w:t>
                  </w:r>
                </w:p>
              </w:tc>
              <w:tc>
                <w:tcPr>
                  <w:tcW w:w="1329" w:type="dxa"/>
                  <w:tcBorders>
                    <w:tl2br w:val="nil"/>
                    <w:tr2bl w:val="nil"/>
                  </w:tcBorders>
                  <w:noWrap w:val="0"/>
                  <w:tcMar>
                    <w:top w:w="0" w:type="dxa"/>
                    <w:left w:w="28" w:type="dxa"/>
                    <w:bottom w:w="0" w:type="dxa"/>
                    <w:right w:w="28" w:type="dxa"/>
                  </w:tcMar>
                  <w:vAlign w:val="center"/>
                </w:tcPr>
                <w:p w14:paraId="505D5E3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0.142</w:t>
                  </w:r>
                </w:p>
              </w:tc>
              <w:tc>
                <w:tcPr>
                  <w:tcW w:w="1261" w:type="dxa"/>
                  <w:tcBorders>
                    <w:tl2br w:val="nil"/>
                    <w:tr2bl w:val="nil"/>
                  </w:tcBorders>
                  <w:noWrap w:val="0"/>
                  <w:tcMar>
                    <w:top w:w="0" w:type="dxa"/>
                    <w:left w:w="28" w:type="dxa"/>
                    <w:bottom w:w="0" w:type="dxa"/>
                    <w:right w:w="28" w:type="dxa"/>
                  </w:tcMar>
                  <w:vAlign w:val="center"/>
                </w:tcPr>
                <w:p w14:paraId="5631D3D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12.5</w:t>
                  </w:r>
                </w:p>
              </w:tc>
              <w:tc>
                <w:tcPr>
                  <w:tcW w:w="1397" w:type="dxa"/>
                  <w:tcBorders>
                    <w:tl2br w:val="nil"/>
                    <w:tr2bl w:val="nil"/>
                  </w:tcBorders>
                  <w:noWrap w:val="0"/>
                  <w:tcMar>
                    <w:top w:w="0" w:type="dxa"/>
                    <w:left w:w="28" w:type="dxa"/>
                    <w:bottom w:w="0" w:type="dxa"/>
                    <w:right w:w="28" w:type="dxa"/>
                  </w:tcMar>
                  <w:vAlign w:val="center"/>
                </w:tcPr>
                <w:p w14:paraId="5F34AC9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6.6</w:t>
                  </w:r>
                </w:p>
              </w:tc>
            </w:tr>
            <w:tr w14:paraId="6FD8A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35DD5DC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2周</w:t>
                  </w:r>
                </w:p>
              </w:tc>
              <w:tc>
                <w:tcPr>
                  <w:tcW w:w="1211" w:type="dxa"/>
                  <w:tcBorders>
                    <w:tl2br w:val="nil"/>
                    <w:tr2bl w:val="nil"/>
                  </w:tcBorders>
                  <w:noWrap w:val="0"/>
                  <w:tcMar>
                    <w:top w:w="0" w:type="dxa"/>
                    <w:left w:w="28" w:type="dxa"/>
                    <w:bottom w:w="0" w:type="dxa"/>
                    <w:right w:w="28" w:type="dxa"/>
                  </w:tcMar>
                  <w:vAlign w:val="center"/>
                </w:tcPr>
                <w:p w14:paraId="231F7C8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20.3</w:t>
                  </w:r>
                </w:p>
              </w:tc>
              <w:tc>
                <w:tcPr>
                  <w:tcW w:w="1329" w:type="dxa"/>
                  <w:tcBorders>
                    <w:tl2br w:val="nil"/>
                    <w:tr2bl w:val="nil"/>
                  </w:tcBorders>
                  <w:noWrap w:val="0"/>
                  <w:tcMar>
                    <w:top w:w="0" w:type="dxa"/>
                    <w:left w:w="28" w:type="dxa"/>
                    <w:bottom w:w="0" w:type="dxa"/>
                    <w:right w:w="28" w:type="dxa"/>
                  </w:tcMar>
                  <w:vAlign w:val="center"/>
                </w:tcPr>
                <w:p w14:paraId="0DA589B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1.74</w:t>
                  </w:r>
                </w:p>
              </w:tc>
              <w:tc>
                <w:tcPr>
                  <w:tcW w:w="1329" w:type="dxa"/>
                  <w:tcBorders>
                    <w:tl2br w:val="nil"/>
                    <w:tr2bl w:val="nil"/>
                  </w:tcBorders>
                  <w:noWrap w:val="0"/>
                  <w:tcMar>
                    <w:top w:w="0" w:type="dxa"/>
                    <w:left w:w="28" w:type="dxa"/>
                    <w:bottom w:w="0" w:type="dxa"/>
                    <w:right w:w="28" w:type="dxa"/>
                  </w:tcMar>
                  <w:vAlign w:val="center"/>
                </w:tcPr>
                <w:p w14:paraId="2FB2A91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0.193</w:t>
                  </w:r>
                </w:p>
              </w:tc>
              <w:tc>
                <w:tcPr>
                  <w:tcW w:w="1261" w:type="dxa"/>
                  <w:tcBorders>
                    <w:tl2br w:val="nil"/>
                    <w:tr2bl w:val="nil"/>
                  </w:tcBorders>
                  <w:noWrap w:val="0"/>
                  <w:tcMar>
                    <w:top w:w="0" w:type="dxa"/>
                    <w:left w:w="28" w:type="dxa"/>
                    <w:bottom w:w="0" w:type="dxa"/>
                    <w:right w:w="28" w:type="dxa"/>
                  </w:tcMar>
                  <w:vAlign w:val="center"/>
                </w:tcPr>
                <w:p w14:paraId="635E69F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14.1</w:t>
                  </w:r>
                </w:p>
              </w:tc>
              <w:tc>
                <w:tcPr>
                  <w:tcW w:w="1397" w:type="dxa"/>
                  <w:tcBorders>
                    <w:tl2br w:val="nil"/>
                    <w:tr2bl w:val="nil"/>
                  </w:tcBorders>
                  <w:noWrap w:val="0"/>
                  <w:tcMar>
                    <w:top w:w="0" w:type="dxa"/>
                    <w:left w:w="28" w:type="dxa"/>
                    <w:bottom w:w="0" w:type="dxa"/>
                    <w:right w:w="28" w:type="dxa"/>
                  </w:tcMar>
                  <w:vAlign w:val="center"/>
                </w:tcPr>
                <w:p w14:paraId="5D6888D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7.2</w:t>
                  </w:r>
                </w:p>
              </w:tc>
            </w:tr>
            <w:tr w14:paraId="571ACC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AFAC8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3周</w:t>
                  </w:r>
                </w:p>
              </w:tc>
              <w:tc>
                <w:tcPr>
                  <w:tcW w:w="1211" w:type="dxa"/>
                  <w:tcBorders>
                    <w:tl2br w:val="nil"/>
                    <w:tr2bl w:val="nil"/>
                  </w:tcBorders>
                  <w:noWrap w:val="0"/>
                  <w:tcMar>
                    <w:top w:w="0" w:type="dxa"/>
                    <w:left w:w="28" w:type="dxa"/>
                    <w:bottom w:w="0" w:type="dxa"/>
                    <w:right w:w="28" w:type="dxa"/>
                  </w:tcMar>
                  <w:vAlign w:val="center"/>
                </w:tcPr>
                <w:p w14:paraId="2298767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18.9</w:t>
                  </w:r>
                </w:p>
              </w:tc>
              <w:tc>
                <w:tcPr>
                  <w:tcW w:w="1329" w:type="dxa"/>
                  <w:tcBorders>
                    <w:tl2br w:val="nil"/>
                    <w:tr2bl w:val="nil"/>
                  </w:tcBorders>
                  <w:noWrap w:val="0"/>
                  <w:tcMar>
                    <w:top w:w="0" w:type="dxa"/>
                    <w:left w:w="28" w:type="dxa"/>
                    <w:bottom w:w="0" w:type="dxa"/>
                    <w:right w:w="28" w:type="dxa"/>
                  </w:tcMar>
                  <w:vAlign w:val="center"/>
                </w:tcPr>
                <w:p w14:paraId="5E303D1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1.69</w:t>
                  </w:r>
                </w:p>
              </w:tc>
              <w:tc>
                <w:tcPr>
                  <w:tcW w:w="1329" w:type="dxa"/>
                  <w:tcBorders>
                    <w:tl2br w:val="nil"/>
                    <w:tr2bl w:val="nil"/>
                  </w:tcBorders>
                  <w:noWrap w:val="0"/>
                  <w:tcMar>
                    <w:top w:w="0" w:type="dxa"/>
                    <w:left w:w="28" w:type="dxa"/>
                    <w:bottom w:w="0" w:type="dxa"/>
                    <w:right w:w="28" w:type="dxa"/>
                  </w:tcMar>
                  <w:vAlign w:val="center"/>
                </w:tcPr>
                <w:p w14:paraId="6F702FB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w:t>
                  </w:r>
                </w:p>
              </w:tc>
              <w:tc>
                <w:tcPr>
                  <w:tcW w:w="1261" w:type="dxa"/>
                  <w:tcBorders>
                    <w:tl2br w:val="nil"/>
                    <w:tr2bl w:val="nil"/>
                  </w:tcBorders>
                  <w:noWrap w:val="0"/>
                  <w:tcMar>
                    <w:top w:w="0" w:type="dxa"/>
                    <w:left w:w="28" w:type="dxa"/>
                    <w:bottom w:w="0" w:type="dxa"/>
                    <w:right w:w="28" w:type="dxa"/>
                  </w:tcMar>
                  <w:vAlign w:val="center"/>
                </w:tcPr>
                <w:p w14:paraId="3988EE8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14.2</w:t>
                  </w:r>
                </w:p>
              </w:tc>
              <w:tc>
                <w:tcPr>
                  <w:tcW w:w="1397" w:type="dxa"/>
                  <w:tcBorders>
                    <w:tl2br w:val="nil"/>
                    <w:tr2bl w:val="nil"/>
                  </w:tcBorders>
                  <w:noWrap w:val="0"/>
                  <w:tcMar>
                    <w:top w:w="0" w:type="dxa"/>
                    <w:left w:w="28" w:type="dxa"/>
                    <w:bottom w:w="0" w:type="dxa"/>
                    <w:right w:w="28" w:type="dxa"/>
                  </w:tcMar>
                  <w:vAlign w:val="center"/>
                </w:tcPr>
                <w:p w14:paraId="3564E85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6.9</w:t>
                  </w:r>
                </w:p>
              </w:tc>
            </w:tr>
            <w:tr w14:paraId="170627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1CF324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4周</w:t>
                  </w:r>
                </w:p>
              </w:tc>
              <w:tc>
                <w:tcPr>
                  <w:tcW w:w="1211" w:type="dxa"/>
                  <w:tcBorders>
                    <w:tl2br w:val="nil"/>
                    <w:tr2bl w:val="nil"/>
                  </w:tcBorders>
                  <w:noWrap w:val="0"/>
                  <w:tcMar>
                    <w:top w:w="0" w:type="dxa"/>
                    <w:left w:w="28" w:type="dxa"/>
                    <w:bottom w:w="0" w:type="dxa"/>
                    <w:right w:w="28" w:type="dxa"/>
                  </w:tcMar>
                  <w:vAlign w:val="center"/>
                </w:tcPr>
                <w:p w14:paraId="4E6AA98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16.9</w:t>
                  </w:r>
                </w:p>
              </w:tc>
              <w:tc>
                <w:tcPr>
                  <w:tcW w:w="1329" w:type="dxa"/>
                  <w:tcBorders>
                    <w:tl2br w:val="nil"/>
                    <w:tr2bl w:val="nil"/>
                  </w:tcBorders>
                  <w:noWrap w:val="0"/>
                  <w:tcMar>
                    <w:top w:w="0" w:type="dxa"/>
                    <w:left w:w="28" w:type="dxa"/>
                    <w:bottom w:w="0" w:type="dxa"/>
                    <w:right w:w="28" w:type="dxa"/>
                  </w:tcMar>
                  <w:vAlign w:val="center"/>
                </w:tcPr>
                <w:p w14:paraId="45533B8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1.12</w:t>
                  </w:r>
                </w:p>
              </w:tc>
              <w:tc>
                <w:tcPr>
                  <w:tcW w:w="1329" w:type="dxa"/>
                  <w:tcBorders>
                    <w:tl2br w:val="nil"/>
                    <w:tr2bl w:val="nil"/>
                  </w:tcBorders>
                  <w:noWrap w:val="0"/>
                  <w:tcMar>
                    <w:top w:w="0" w:type="dxa"/>
                    <w:left w:w="28" w:type="dxa"/>
                    <w:bottom w:w="0" w:type="dxa"/>
                    <w:right w:w="28" w:type="dxa"/>
                  </w:tcMar>
                  <w:vAlign w:val="center"/>
                </w:tcPr>
                <w:p w14:paraId="2E54343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0.205</w:t>
                  </w:r>
                </w:p>
              </w:tc>
              <w:tc>
                <w:tcPr>
                  <w:tcW w:w="1261" w:type="dxa"/>
                  <w:tcBorders>
                    <w:tl2br w:val="nil"/>
                    <w:tr2bl w:val="nil"/>
                  </w:tcBorders>
                  <w:noWrap w:val="0"/>
                  <w:tcMar>
                    <w:top w:w="0" w:type="dxa"/>
                    <w:left w:w="28" w:type="dxa"/>
                    <w:bottom w:w="0" w:type="dxa"/>
                    <w:right w:w="28" w:type="dxa"/>
                  </w:tcMar>
                  <w:vAlign w:val="center"/>
                </w:tcPr>
                <w:p w14:paraId="43024D5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13.7</w:t>
                  </w:r>
                </w:p>
              </w:tc>
              <w:tc>
                <w:tcPr>
                  <w:tcW w:w="1397" w:type="dxa"/>
                  <w:tcBorders>
                    <w:tl2br w:val="nil"/>
                    <w:tr2bl w:val="nil"/>
                  </w:tcBorders>
                  <w:noWrap w:val="0"/>
                  <w:tcMar>
                    <w:top w:w="0" w:type="dxa"/>
                    <w:left w:w="28" w:type="dxa"/>
                    <w:bottom w:w="0" w:type="dxa"/>
                    <w:right w:w="28" w:type="dxa"/>
                  </w:tcMar>
                  <w:vAlign w:val="center"/>
                </w:tcPr>
                <w:p w14:paraId="2BE918B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6.8</w:t>
                  </w:r>
                </w:p>
              </w:tc>
            </w:tr>
            <w:tr w14:paraId="637AEF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B5CE75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5周</w:t>
                  </w:r>
                </w:p>
              </w:tc>
              <w:tc>
                <w:tcPr>
                  <w:tcW w:w="1211" w:type="dxa"/>
                  <w:tcBorders>
                    <w:tl2br w:val="nil"/>
                    <w:tr2bl w:val="nil"/>
                  </w:tcBorders>
                  <w:noWrap w:val="0"/>
                  <w:tcMar>
                    <w:top w:w="0" w:type="dxa"/>
                    <w:left w:w="28" w:type="dxa"/>
                    <w:bottom w:w="0" w:type="dxa"/>
                    <w:right w:w="28" w:type="dxa"/>
                  </w:tcMar>
                  <w:vAlign w:val="center"/>
                </w:tcPr>
                <w:p w14:paraId="350F6CA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19.1</w:t>
                  </w:r>
                </w:p>
              </w:tc>
              <w:tc>
                <w:tcPr>
                  <w:tcW w:w="1329" w:type="dxa"/>
                  <w:tcBorders>
                    <w:tl2br w:val="nil"/>
                    <w:tr2bl w:val="nil"/>
                  </w:tcBorders>
                  <w:noWrap w:val="0"/>
                  <w:tcMar>
                    <w:top w:w="0" w:type="dxa"/>
                    <w:left w:w="28" w:type="dxa"/>
                    <w:bottom w:w="0" w:type="dxa"/>
                    <w:right w:w="28" w:type="dxa"/>
                  </w:tcMar>
                  <w:vAlign w:val="center"/>
                </w:tcPr>
                <w:p w14:paraId="0FE11F2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0.79</w:t>
                  </w:r>
                </w:p>
              </w:tc>
              <w:tc>
                <w:tcPr>
                  <w:tcW w:w="1329" w:type="dxa"/>
                  <w:tcBorders>
                    <w:tl2br w:val="nil"/>
                    <w:tr2bl w:val="nil"/>
                  </w:tcBorders>
                  <w:noWrap w:val="0"/>
                  <w:tcMar>
                    <w:top w:w="0" w:type="dxa"/>
                    <w:left w:w="28" w:type="dxa"/>
                    <w:bottom w:w="0" w:type="dxa"/>
                    <w:right w:w="28" w:type="dxa"/>
                  </w:tcMar>
                  <w:vAlign w:val="center"/>
                </w:tcPr>
                <w:p w14:paraId="61693F2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0.178</w:t>
                  </w:r>
                </w:p>
              </w:tc>
              <w:tc>
                <w:tcPr>
                  <w:tcW w:w="1261" w:type="dxa"/>
                  <w:tcBorders>
                    <w:tl2br w:val="nil"/>
                    <w:tr2bl w:val="nil"/>
                  </w:tcBorders>
                  <w:noWrap w:val="0"/>
                  <w:tcMar>
                    <w:top w:w="0" w:type="dxa"/>
                    <w:left w:w="28" w:type="dxa"/>
                    <w:bottom w:w="0" w:type="dxa"/>
                    <w:right w:w="28" w:type="dxa"/>
                  </w:tcMar>
                  <w:vAlign w:val="center"/>
                </w:tcPr>
                <w:p w14:paraId="497520A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13.2</w:t>
                  </w:r>
                </w:p>
              </w:tc>
              <w:tc>
                <w:tcPr>
                  <w:tcW w:w="1397" w:type="dxa"/>
                  <w:tcBorders>
                    <w:tl2br w:val="nil"/>
                    <w:tr2bl w:val="nil"/>
                  </w:tcBorders>
                  <w:noWrap w:val="0"/>
                  <w:tcMar>
                    <w:top w:w="0" w:type="dxa"/>
                    <w:left w:w="28" w:type="dxa"/>
                    <w:bottom w:w="0" w:type="dxa"/>
                    <w:right w:w="28" w:type="dxa"/>
                  </w:tcMar>
                  <w:vAlign w:val="center"/>
                </w:tcPr>
                <w:p w14:paraId="03A2FA9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6.0</w:t>
                  </w:r>
                </w:p>
              </w:tc>
            </w:tr>
            <w:tr w14:paraId="5369B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436EB5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6周</w:t>
                  </w:r>
                </w:p>
              </w:tc>
              <w:tc>
                <w:tcPr>
                  <w:tcW w:w="1211" w:type="dxa"/>
                  <w:tcBorders>
                    <w:tl2br w:val="nil"/>
                    <w:tr2bl w:val="nil"/>
                  </w:tcBorders>
                  <w:noWrap w:val="0"/>
                  <w:tcMar>
                    <w:top w:w="0" w:type="dxa"/>
                    <w:left w:w="28" w:type="dxa"/>
                    <w:bottom w:w="0" w:type="dxa"/>
                    <w:right w:w="28" w:type="dxa"/>
                  </w:tcMar>
                  <w:vAlign w:val="center"/>
                </w:tcPr>
                <w:p w14:paraId="63CC803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16.7</w:t>
                  </w:r>
                </w:p>
              </w:tc>
              <w:tc>
                <w:tcPr>
                  <w:tcW w:w="1329" w:type="dxa"/>
                  <w:tcBorders>
                    <w:tl2br w:val="nil"/>
                    <w:tr2bl w:val="nil"/>
                  </w:tcBorders>
                  <w:noWrap w:val="0"/>
                  <w:tcMar>
                    <w:top w:w="0" w:type="dxa"/>
                    <w:left w:w="28" w:type="dxa"/>
                    <w:bottom w:w="0" w:type="dxa"/>
                    <w:right w:w="28" w:type="dxa"/>
                  </w:tcMar>
                  <w:vAlign w:val="center"/>
                </w:tcPr>
                <w:p w14:paraId="117CDE6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1.374</w:t>
                  </w:r>
                </w:p>
              </w:tc>
              <w:tc>
                <w:tcPr>
                  <w:tcW w:w="1329" w:type="dxa"/>
                  <w:tcBorders>
                    <w:tl2br w:val="nil"/>
                    <w:tr2bl w:val="nil"/>
                  </w:tcBorders>
                  <w:noWrap w:val="0"/>
                  <w:tcMar>
                    <w:top w:w="0" w:type="dxa"/>
                    <w:left w:w="28" w:type="dxa"/>
                    <w:bottom w:w="0" w:type="dxa"/>
                    <w:right w:w="28" w:type="dxa"/>
                  </w:tcMar>
                  <w:vAlign w:val="center"/>
                </w:tcPr>
                <w:p w14:paraId="4200DE3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0.197</w:t>
                  </w:r>
                </w:p>
              </w:tc>
              <w:tc>
                <w:tcPr>
                  <w:tcW w:w="1261" w:type="dxa"/>
                  <w:tcBorders>
                    <w:tl2br w:val="nil"/>
                    <w:tr2bl w:val="nil"/>
                  </w:tcBorders>
                  <w:noWrap w:val="0"/>
                  <w:tcMar>
                    <w:top w:w="0" w:type="dxa"/>
                    <w:left w:w="28" w:type="dxa"/>
                    <w:bottom w:w="0" w:type="dxa"/>
                    <w:right w:w="28" w:type="dxa"/>
                  </w:tcMar>
                  <w:vAlign w:val="center"/>
                </w:tcPr>
                <w:p w14:paraId="582B562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14.7</w:t>
                  </w:r>
                </w:p>
              </w:tc>
              <w:tc>
                <w:tcPr>
                  <w:tcW w:w="1397" w:type="dxa"/>
                  <w:tcBorders>
                    <w:tl2br w:val="nil"/>
                    <w:tr2bl w:val="nil"/>
                  </w:tcBorders>
                  <w:noWrap w:val="0"/>
                  <w:tcMar>
                    <w:top w:w="0" w:type="dxa"/>
                    <w:left w:w="28" w:type="dxa"/>
                    <w:bottom w:w="0" w:type="dxa"/>
                    <w:right w:w="28" w:type="dxa"/>
                  </w:tcMar>
                  <w:vAlign w:val="center"/>
                </w:tcPr>
                <w:p w14:paraId="60564B1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6.3</w:t>
                  </w:r>
                </w:p>
              </w:tc>
            </w:tr>
            <w:tr w14:paraId="26449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A65178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7周</w:t>
                  </w:r>
                </w:p>
              </w:tc>
              <w:tc>
                <w:tcPr>
                  <w:tcW w:w="1211" w:type="dxa"/>
                  <w:tcBorders>
                    <w:tl2br w:val="nil"/>
                    <w:tr2bl w:val="nil"/>
                  </w:tcBorders>
                  <w:noWrap w:val="0"/>
                  <w:tcMar>
                    <w:top w:w="0" w:type="dxa"/>
                    <w:left w:w="28" w:type="dxa"/>
                    <w:bottom w:w="0" w:type="dxa"/>
                    <w:right w:w="28" w:type="dxa"/>
                  </w:tcMar>
                  <w:vAlign w:val="center"/>
                </w:tcPr>
                <w:p w14:paraId="04E53FC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14.7</w:t>
                  </w:r>
                </w:p>
              </w:tc>
              <w:tc>
                <w:tcPr>
                  <w:tcW w:w="1329" w:type="dxa"/>
                  <w:tcBorders>
                    <w:tl2br w:val="nil"/>
                    <w:tr2bl w:val="nil"/>
                  </w:tcBorders>
                  <w:noWrap w:val="0"/>
                  <w:tcMar>
                    <w:top w:w="0" w:type="dxa"/>
                    <w:left w:w="28" w:type="dxa"/>
                    <w:bottom w:w="0" w:type="dxa"/>
                    <w:right w:w="28" w:type="dxa"/>
                  </w:tcMar>
                  <w:vAlign w:val="center"/>
                </w:tcPr>
                <w:p w14:paraId="0E086DA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1.73</w:t>
                  </w:r>
                </w:p>
              </w:tc>
              <w:tc>
                <w:tcPr>
                  <w:tcW w:w="1329" w:type="dxa"/>
                  <w:tcBorders>
                    <w:tl2br w:val="nil"/>
                    <w:tr2bl w:val="nil"/>
                  </w:tcBorders>
                  <w:noWrap w:val="0"/>
                  <w:tcMar>
                    <w:top w:w="0" w:type="dxa"/>
                    <w:left w:w="28" w:type="dxa"/>
                    <w:bottom w:w="0" w:type="dxa"/>
                    <w:right w:w="28" w:type="dxa"/>
                  </w:tcMar>
                  <w:vAlign w:val="center"/>
                </w:tcPr>
                <w:p w14:paraId="693CD4F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w:t>
                  </w:r>
                </w:p>
              </w:tc>
              <w:tc>
                <w:tcPr>
                  <w:tcW w:w="1261" w:type="dxa"/>
                  <w:tcBorders>
                    <w:tl2br w:val="nil"/>
                    <w:tr2bl w:val="nil"/>
                  </w:tcBorders>
                  <w:noWrap w:val="0"/>
                  <w:tcMar>
                    <w:top w:w="0" w:type="dxa"/>
                    <w:left w:w="28" w:type="dxa"/>
                    <w:bottom w:w="0" w:type="dxa"/>
                    <w:right w:w="28" w:type="dxa"/>
                  </w:tcMar>
                  <w:vAlign w:val="center"/>
                </w:tcPr>
                <w:p w14:paraId="63BABAB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15</w:t>
                  </w:r>
                  <w:r>
                    <w:rPr>
                      <w:rFonts w:hint="eastAsia"/>
                      <w:color w:val="auto"/>
                      <w:lang w:val="en-US" w:eastAsia="zh-CN"/>
                    </w:rPr>
                    <w:t>.0</w:t>
                  </w:r>
                </w:p>
              </w:tc>
              <w:tc>
                <w:tcPr>
                  <w:tcW w:w="1397" w:type="dxa"/>
                  <w:tcBorders>
                    <w:tl2br w:val="nil"/>
                    <w:tr2bl w:val="nil"/>
                  </w:tcBorders>
                  <w:noWrap w:val="0"/>
                  <w:tcMar>
                    <w:top w:w="0" w:type="dxa"/>
                    <w:left w:w="28" w:type="dxa"/>
                    <w:bottom w:w="0" w:type="dxa"/>
                    <w:right w:w="28" w:type="dxa"/>
                  </w:tcMar>
                  <w:vAlign w:val="center"/>
                </w:tcPr>
                <w:p w14:paraId="045784E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5.7</w:t>
                  </w:r>
                </w:p>
              </w:tc>
            </w:tr>
            <w:tr w14:paraId="47846A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C07F3D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8周</w:t>
                  </w:r>
                </w:p>
              </w:tc>
              <w:tc>
                <w:tcPr>
                  <w:tcW w:w="1211" w:type="dxa"/>
                  <w:tcBorders>
                    <w:tl2br w:val="nil"/>
                    <w:tr2bl w:val="nil"/>
                  </w:tcBorders>
                  <w:noWrap w:val="0"/>
                  <w:tcMar>
                    <w:top w:w="0" w:type="dxa"/>
                    <w:left w:w="28" w:type="dxa"/>
                    <w:bottom w:w="0" w:type="dxa"/>
                    <w:right w:w="28" w:type="dxa"/>
                  </w:tcMar>
                  <w:vAlign w:val="center"/>
                </w:tcPr>
                <w:p w14:paraId="48C0FB5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16.3</w:t>
                  </w:r>
                </w:p>
              </w:tc>
              <w:tc>
                <w:tcPr>
                  <w:tcW w:w="1329" w:type="dxa"/>
                  <w:tcBorders>
                    <w:tl2br w:val="nil"/>
                    <w:tr2bl w:val="nil"/>
                  </w:tcBorders>
                  <w:noWrap w:val="0"/>
                  <w:tcMar>
                    <w:top w:w="0" w:type="dxa"/>
                    <w:left w:w="28" w:type="dxa"/>
                    <w:bottom w:w="0" w:type="dxa"/>
                    <w:right w:w="28" w:type="dxa"/>
                  </w:tcMar>
                  <w:vAlign w:val="center"/>
                </w:tcPr>
                <w:p w14:paraId="0091CEC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1.77</w:t>
                  </w:r>
                </w:p>
              </w:tc>
              <w:tc>
                <w:tcPr>
                  <w:tcW w:w="1329" w:type="dxa"/>
                  <w:tcBorders>
                    <w:tl2br w:val="nil"/>
                    <w:tr2bl w:val="nil"/>
                  </w:tcBorders>
                  <w:noWrap w:val="0"/>
                  <w:tcMar>
                    <w:top w:w="0" w:type="dxa"/>
                    <w:left w:w="28" w:type="dxa"/>
                    <w:bottom w:w="0" w:type="dxa"/>
                    <w:right w:w="28" w:type="dxa"/>
                  </w:tcMar>
                  <w:vAlign w:val="center"/>
                </w:tcPr>
                <w:p w14:paraId="5FE5301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0.253</w:t>
                  </w:r>
                </w:p>
              </w:tc>
              <w:tc>
                <w:tcPr>
                  <w:tcW w:w="1261" w:type="dxa"/>
                  <w:tcBorders>
                    <w:tl2br w:val="nil"/>
                    <w:tr2bl w:val="nil"/>
                  </w:tcBorders>
                  <w:noWrap w:val="0"/>
                  <w:tcMar>
                    <w:top w:w="0" w:type="dxa"/>
                    <w:left w:w="28" w:type="dxa"/>
                    <w:bottom w:w="0" w:type="dxa"/>
                    <w:right w:w="28" w:type="dxa"/>
                  </w:tcMar>
                  <w:vAlign w:val="center"/>
                </w:tcPr>
                <w:p w14:paraId="2B46472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14.9</w:t>
                  </w:r>
                </w:p>
              </w:tc>
              <w:tc>
                <w:tcPr>
                  <w:tcW w:w="1397" w:type="dxa"/>
                  <w:tcBorders>
                    <w:tl2br w:val="nil"/>
                    <w:tr2bl w:val="nil"/>
                  </w:tcBorders>
                  <w:noWrap w:val="0"/>
                  <w:tcMar>
                    <w:top w:w="0" w:type="dxa"/>
                    <w:left w:w="28" w:type="dxa"/>
                    <w:bottom w:w="0" w:type="dxa"/>
                    <w:right w:w="28" w:type="dxa"/>
                  </w:tcMar>
                  <w:vAlign w:val="center"/>
                </w:tcPr>
                <w:p w14:paraId="408B094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6.2</w:t>
                  </w:r>
                </w:p>
              </w:tc>
            </w:tr>
            <w:tr w14:paraId="29F180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0053DF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9周</w:t>
                  </w:r>
                </w:p>
              </w:tc>
              <w:tc>
                <w:tcPr>
                  <w:tcW w:w="1211" w:type="dxa"/>
                  <w:tcBorders>
                    <w:tl2br w:val="nil"/>
                    <w:tr2bl w:val="nil"/>
                  </w:tcBorders>
                  <w:noWrap w:val="0"/>
                  <w:tcMar>
                    <w:top w:w="0" w:type="dxa"/>
                    <w:left w:w="28" w:type="dxa"/>
                    <w:bottom w:w="0" w:type="dxa"/>
                    <w:right w:w="28" w:type="dxa"/>
                  </w:tcMar>
                  <w:vAlign w:val="center"/>
                </w:tcPr>
                <w:p w14:paraId="36F7222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17.2</w:t>
                  </w:r>
                </w:p>
              </w:tc>
              <w:tc>
                <w:tcPr>
                  <w:tcW w:w="1329" w:type="dxa"/>
                  <w:tcBorders>
                    <w:tl2br w:val="nil"/>
                    <w:tr2bl w:val="nil"/>
                  </w:tcBorders>
                  <w:noWrap w:val="0"/>
                  <w:tcMar>
                    <w:top w:w="0" w:type="dxa"/>
                    <w:left w:w="28" w:type="dxa"/>
                    <w:bottom w:w="0" w:type="dxa"/>
                    <w:right w:w="28" w:type="dxa"/>
                  </w:tcMar>
                  <w:vAlign w:val="center"/>
                </w:tcPr>
                <w:p w14:paraId="33223FB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1.562</w:t>
                  </w:r>
                </w:p>
              </w:tc>
              <w:tc>
                <w:tcPr>
                  <w:tcW w:w="1329" w:type="dxa"/>
                  <w:tcBorders>
                    <w:tl2br w:val="nil"/>
                    <w:tr2bl w:val="nil"/>
                  </w:tcBorders>
                  <w:noWrap w:val="0"/>
                  <w:tcMar>
                    <w:top w:w="0" w:type="dxa"/>
                    <w:left w:w="28" w:type="dxa"/>
                    <w:bottom w:w="0" w:type="dxa"/>
                    <w:right w:w="28" w:type="dxa"/>
                  </w:tcMar>
                  <w:vAlign w:val="center"/>
                </w:tcPr>
                <w:p w14:paraId="269288C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0.229</w:t>
                  </w:r>
                </w:p>
              </w:tc>
              <w:tc>
                <w:tcPr>
                  <w:tcW w:w="1261" w:type="dxa"/>
                  <w:tcBorders>
                    <w:tl2br w:val="nil"/>
                    <w:tr2bl w:val="nil"/>
                  </w:tcBorders>
                  <w:noWrap w:val="0"/>
                  <w:tcMar>
                    <w:top w:w="0" w:type="dxa"/>
                    <w:left w:w="28" w:type="dxa"/>
                    <w:bottom w:w="0" w:type="dxa"/>
                    <w:right w:w="28" w:type="dxa"/>
                  </w:tcMar>
                  <w:vAlign w:val="center"/>
                </w:tcPr>
                <w:p w14:paraId="2AFA399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15.0</w:t>
                  </w:r>
                </w:p>
              </w:tc>
              <w:tc>
                <w:tcPr>
                  <w:tcW w:w="1397" w:type="dxa"/>
                  <w:tcBorders>
                    <w:tl2br w:val="nil"/>
                    <w:tr2bl w:val="nil"/>
                  </w:tcBorders>
                  <w:noWrap w:val="0"/>
                  <w:tcMar>
                    <w:top w:w="0" w:type="dxa"/>
                    <w:left w:w="28" w:type="dxa"/>
                    <w:bottom w:w="0" w:type="dxa"/>
                    <w:right w:w="28" w:type="dxa"/>
                  </w:tcMar>
                  <w:vAlign w:val="center"/>
                </w:tcPr>
                <w:p w14:paraId="0037A02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6.9</w:t>
                  </w:r>
                </w:p>
              </w:tc>
            </w:tr>
            <w:tr w14:paraId="61B8E1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C4032A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10周</w:t>
                  </w:r>
                </w:p>
              </w:tc>
              <w:tc>
                <w:tcPr>
                  <w:tcW w:w="1211" w:type="dxa"/>
                  <w:tcBorders>
                    <w:tl2br w:val="nil"/>
                    <w:tr2bl w:val="nil"/>
                  </w:tcBorders>
                  <w:noWrap w:val="0"/>
                  <w:tcMar>
                    <w:top w:w="0" w:type="dxa"/>
                    <w:left w:w="28" w:type="dxa"/>
                    <w:bottom w:w="0" w:type="dxa"/>
                    <w:right w:w="28" w:type="dxa"/>
                  </w:tcMar>
                  <w:vAlign w:val="center"/>
                </w:tcPr>
                <w:p w14:paraId="70863F8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17.6</w:t>
                  </w:r>
                </w:p>
              </w:tc>
              <w:tc>
                <w:tcPr>
                  <w:tcW w:w="1329" w:type="dxa"/>
                  <w:tcBorders>
                    <w:tl2br w:val="nil"/>
                    <w:tr2bl w:val="nil"/>
                  </w:tcBorders>
                  <w:noWrap w:val="0"/>
                  <w:tcMar>
                    <w:top w:w="0" w:type="dxa"/>
                    <w:left w:w="28" w:type="dxa"/>
                    <w:bottom w:w="0" w:type="dxa"/>
                    <w:right w:w="28" w:type="dxa"/>
                  </w:tcMar>
                  <w:vAlign w:val="center"/>
                </w:tcPr>
                <w:p w14:paraId="2C93BEF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1.37</w:t>
                  </w:r>
                </w:p>
              </w:tc>
              <w:tc>
                <w:tcPr>
                  <w:tcW w:w="1329" w:type="dxa"/>
                  <w:tcBorders>
                    <w:tl2br w:val="nil"/>
                    <w:tr2bl w:val="nil"/>
                  </w:tcBorders>
                  <w:noWrap w:val="0"/>
                  <w:tcMar>
                    <w:top w:w="0" w:type="dxa"/>
                    <w:left w:w="28" w:type="dxa"/>
                    <w:bottom w:w="0" w:type="dxa"/>
                    <w:right w:w="28" w:type="dxa"/>
                  </w:tcMar>
                  <w:vAlign w:val="center"/>
                </w:tcPr>
                <w:p w14:paraId="317FBD6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0.225</w:t>
                  </w:r>
                </w:p>
              </w:tc>
              <w:tc>
                <w:tcPr>
                  <w:tcW w:w="1261" w:type="dxa"/>
                  <w:tcBorders>
                    <w:tl2br w:val="nil"/>
                    <w:tr2bl w:val="nil"/>
                  </w:tcBorders>
                  <w:noWrap w:val="0"/>
                  <w:tcMar>
                    <w:top w:w="0" w:type="dxa"/>
                    <w:left w:w="28" w:type="dxa"/>
                    <w:bottom w:w="0" w:type="dxa"/>
                    <w:right w:w="28" w:type="dxa"/>
                  </w:tcMar>
                  <w:vAlign w:val="center"/>
                </w:tcPr>
                <w:p w14:paraId="52DAFDF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14.3</w:t>
                  </w:r>
                </w:p>
              </w:tc>
              <w:tc>
                <w:tcPr>
                  <w:tcW w:w="1397" w:type="dxa"/>
                  <w:tcBorders>
                    <w:tl2br w:val="nil"/>
                    <w:tr2bl w:val="nil"/>
                  </w:tcBorders>
                  <w:noWrap w:val="0"/>
                  <w:tcMar>
                    <w:top w:w="0" w:type="dxa"/>
                    <w:left w:w="28" w:type="dxa"/>
                    <w:bottom w:w="0" w:type="dxa"/>
                    <w:right w:w="28" w:type="dxa"/>
                  </w:tcMar>
                  <w:vAlign w:val="center"/>
                </w:tcPr>
                <w:p w14:paraId="0EC04A4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7.3</w:t>
                  </w:r>
                </w:p>
              </w:tc>
            </w:tr>
            <w:tr w14:paraId="4D0E2C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2CFB35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11周</w:t>
                  </w:r>
                </w:p>
              </w:tc>
              <w:tc>
                <w:tcPr>
                  <w:tcW w:w="1211" w:type="dxa"/>
                  <w:tcBorders>
                    <w:tl2br w:val="nil"/>
                    <w:tr2bl w:val="nil"/>
                  </w:tcBorders>
                  <w:noWrap w:val="0"/>
                  <w:tcMar>
                    <w:top w:w="0" w:type="dxa"/>
                    <w:left w:w="28" w:type="dxa"/>
                    <w:bottom w:w="0" w:type="dxa"/>
                    <w:right w:w="28" w:type="dxa"/>
                  </w:tcMar>
                  <w:vAlign w:val="center"/>
                </w:tcPr>
                <w:p w14:paraId="07E9327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25.6</w:t>
                  </w:r>
                </w:p>
              </w:tc>
              <w:tc>
                <w:tcPr>
                  <w:tcW w:w="1329" w:type="dxa"/>
                  <w:tcBorders>
                    <w:tl2br w:val="nil"/>
                    <w:tr2bl w:val="nil"/>
                  </w:tcBorders>
                  <w:noWrap w:val="0"/>
                  <w:tcMar>
                    <w:top w:w="0" w:type="dxa"/>
                    <w:left w:w="28" w:type="dxa"/>
                    <w:bottom w:w="0" w:type="dxa"/>
                    <w:right w:w="28" w:type="dxa"/>
                  </w:tcMar>
                  <w:vAlign w:val="center"/>
                </w:tcPr>
                <w:p w14:paraId="38A11E2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1.142</w:t>
                  </w:r>
                </w:p>
              </w:tc>
              <w:tc>
                <w:tcPr>
                  <w:tcW w:w="1329" w:type="dxa"/>
                  <w:tcBorders>
                    <w:tl2br w:val="nil"/>
                    <w:tr2bl w:val="nil"/>
                  </w:tcBorders>
                  <w:noWrap w:val="0"/>
                  <w:tcMar>
                    <w:top w:w="0" w:type="dxa"/>
                    <w:left w:w="28" w:type="dxa"/>
                    <w:bottom w:w="0" w:type="dxa"/>
                    <w:right w:w="28" w:type="dxa"/>
                  </w:tcMar>
                  <w:vAlign w:val="center"/>
                </w:tcPr>
                <w:p w14:paraId="5F94247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0.244</w:t>
                  </w:r>
                </w:p>
              </w:tc>
              <w:tc>
                <w:tcPr>
                  <w:tcW w:w="1261" w:type="dxa"/>
                  <w:tcBorders>
                    <w:tl2br w:val="nil"/>
                    <w:tr2bl w:val="nil"/>
                  </w:tcBorders>
                  <w:noWrap w:val="0"/>
                  <w:tcMar>
                    <w:top w:w="0" w:type="dxa"/>
                    <w:left w:w="28" w:type="dxa"/>
                    <w:bottom w:w="0" w:type="dxa"/>
                    <w:right w:w="28" w:type="dxa"/>
                  </w:tcMar>
                  <w:vAlign w:val="center"/>
                </w:tcPr>
                <w:p w14:paraId="38DCAF6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14.6</w:t>
                  </w:r>
                </w:p>
              </w:tc>
              <w:tc>
                <w:tcPr>
                  <w:tcW w:w="1397" w:type="dxa"/>
                  <w:tcBorders>
                    <w:tl2br w:val="nil"/>
                    <w:tr2bl w:val="nil"/>
                  </w:tcBorders>
                  <w:noWrap w:val="0"/>
                  <w:tcMar>
                    <w:top w:w="0" w:type="dxa"/>
                    <w:left w:w="28" w:type="dxa"/>
                    <w:bottom w:w="0" w:type="dxa"/>
                    <w:right w:w="28" w:type="dxa"/>
                  </w:tcMar>
                  <w:vAlign w:val="center"/>
                </w:tcPr>
                <w:p w14:paraId="1084533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8.8</w:t>
                  </w:r>
                </w:p>
              </w:tc>
            </w:tr>
            <w:tr w14:paraId="660D3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FFA72F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12周</w:t>
                  </w:r>
                </w:p>
              </w:tc>
              <w:tc>
                <w:tcPr>
                  <w:tcW w:w="1211" w:type="dxa"/>
                  <w:tcBorders>
                    <w:tl2br w:val="nil"/>
                    <w:tr2bl w:val="nil"/>
                  </w:tcBorders>
                  <w:noWrap w:val="0"/>
                  <w:tcMar>
                    <w:top w:w="0" w:type="dxa"/>
                    <w:left w:w="28" w:type="dxa"/>
                    <w:bottom w:w="0" w:type="dxa"/>
                    <w:right w:w="28" w:type="dxa"/>
                  </w:tcMar>
                  <w:vAlign w:val="center"/>
                </w:tcPr>
                <w:p w14:paraId="24F3B7D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37.1</w:t>
                  </w:r>
                </w:p>
              </w:tc>
              <w:tc>
                <w:tcPr>
                  <w:tcW w:w="1329" w:type="dxa"/>
                  <w:tcBorders>
                    <w:tl2br w:val="nil"/>
                    <w:tr2bl w:val="nil"/>
                  </w:tcBorders>
                  <w:noWrap w:val="0"/>
                  <w:tcMar>
                    <w:top w:w="0" w:type="dxa"/>
                    <w:left w:w="28" w:type="dxa"/>
                    <w:bottom w:w="0" w:type="dxa"/>
                    <w:right w:w="28" w:type="dxa"/>
                  </w:tcMar>
                  <w:vAlign w:val="center"/>
                </w:tcPr>
                <w:p w14:paraId="1441175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0.231</w:t>
                  </w:r>
                </w:p>
              </w:tc>
              <w:tc>
                <w:tcPr>
                  <w:tcW w:w="1329" w:type="dxa"/>
                  <w:tcBorders>
                    <w:tl2br w:val="nil"/>
                    <w:tr2bl w:val="nil"/>
                  </w:tcBorders>
                  <w:noWrap w:val="0"/>
                  <w:tcMar>
                    <w:top w:w="0" w:type="dxa"/>
                    <w:left w:w="28" w:type="dxa"/>
                    <w:bottom w:w="0" w:type="dxa"/>
                    <w:right w:w="28" w:type="dxa"/>
                  </w:tcMar>
                  <w:vAlign w:val="center"/>
                </w:tcPr>
                <w:p w14:paraId="5F016C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0.243</w:t>
                  </w:r>
                </w:p>
              </w:tc>
              <w:tc>
                <w:tcPr>
                  <w:tcW w:w="1261" w:type="dxa"/>
                  <w:tcBorders>
                    <w:tl2br w:val="nil"/>
                    <w:tr2bl w:val="nil"/>
                  </w:tcBorders>
                  <w:noWrap w:val="0"/>
                  <w:tcMar>
                    <w:top w:w="0" w:type="dxa"/>
                    <w:left w:w="28" w:type="dxa"/>
                    <w:bottom w:w="0" w:type="dxa"/>
                    <w:right w:w="28" w:type="dxa"/>
                  </w:tcMar>
                  <w:vAlign w:val="center"/>
                </w:tcPr>
                <w:p w14:paraId="6A84D33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14.8</w:t>
                  </w:r>
                </w:p>
              </w:tc>
              <w:tc>
                <w:tcPr>
                  <w:tcW w:w="1397" w:type="dxa"/>
                  <w:tcBorders>
                    <w:tl2br w:val="nil"/>
                    <w:tr2bl w:val="nil"/>
                  </w:tcBorders>
                  <w:noWrap w:val="0"/>
                  <w:tcMar>
                    <w:top w:w="0" w:type="dxa"/>
                    <w:left w:w="28" w:type="dxa"/>
                    <w:bottom w:w="0" w:type="dxa"/>
                    <w:right w:w="28" w:type="dxa"/>
                  </w:tcMar>
                  <w:vAlign w:val="center"/>
                </w:tcPr>
                <w:p w14:paraId="4F46AC1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13.3</w:t>
                  </w:r>
                </w:p>
              </w:tc>
            </w:tr>
            <w:tr w14:paraId="248841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1690C8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13周</w:t>
                  </w:r>
                </w:p>
              </w:tc>
              <w:tc>
                <w:tcPr>
                  <w:tcW w:w="1211" w:type="dxa"/>
                  <w:tcBorders>
                    <w:tl2br w:val="nil"/>
                    <w:tr2bl w:val="nil"/>
                  </w:tcBorders>
                  <w:noWrap w:val="0"/>
                  <w:tcMar>
                    <w:top w:w="0" w:type="dxa"/>
                    <w:left w:w="28" w:type="dxa"/>
                    <w:bottom w:w="0" w:type="dxa"/>
                    <w:right w:w="28" w:type="dxa"/>
                  </w:tcMar>
                  <w:vAlign w:val="center"/>
                </w:tcPr>
                <w:p w14:paraId="46D7BD6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33.2</w:t>
                  </w:r>
                </w:p>
              </w:tc>
              <w:tc>
                <w:tcPr>
                  <w:tcW w:w="1329" w:type="dxa"/>
                  <w:tcBorders>
                    <w:tl2br w:val="nil"/>
                    <w:tr2bl w:val="nil"/>
                  </w:tcBorders>
                  <w:noWrap w:val="0"/>
                  <w:tcMar>
                    <w:top w:w="0" w:type="dxa"/>
                    <w:left w:w="28" w:type="dxa"/>
                    <w:bottom w:w="0" w:type="dxa"/>
                    <w:right w:w="28" w:type="dxa"/>
                  </w:tcMar>
                  <w:vAlign w:val="center"/>
                </w:tcPr>
                <w:p w14:paraId="1B3DCE8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1.04</w:t>
                  </w:r>
                </w:p>
              </w:tc>
              <w:tc>
                <w:tcPr>
                  <w:tcW w:w="1329" w:type="dxa"/>
                  <w:tcBorders>
                    <w:tl2br w:val="nil"/>
                    <w:tr2bl w:val="nil"/>
                  </w:tcBorders>
                  <w:noWrap w:val="0"/>
                  <w:tcMar>
                    <w:top w:w="0" w:type="dxa"/>
                    <w:left w:w="28" w:type="dxa"/>
                    <w:bottom w:w="0" w:type="dxa"/>
                    <w:right w:w="28" w:type="dxa"/>
                  </w:tcMar>
                  <w:vAlign w:val="center"/>
                </w:tcPr>
                <w:p w14:paraId="2E8A242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0.354</w:t>
                  </w:r>
                </w:p>
              </w:tc>
              <w:tc>
                <w:tcPr>
                  <w:tcW w:w="1261" w:type="dxa"/>
                  <w:tcBorders>
                    <w:tl2br w:val="nil"/>
                    <w:tr2bl w:val="nil"/>
                  </w:tcBorders>
                  <w:noWrap w:val="0"/>
                  <w:tcMar>
                    <w:top w:w="0" w:type="dxa"/>
                    <w:left w:w="28" w:type="dxa"/>
                    <w:bottom w:w="0" w:type="dxa"/>
                    <w:right w:w="28" w:type="dxa"/>
                  </w:tcMar>
                  <w:vAlign w:val="center"/>
                </w:tcPr>
                <w:p w14:paraId="1EC1D05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12.3</w:t>
                  </w:r>
                </w:p>
              </w:tc>
              <w:tc>
                <w:tcPr>
                  <w:tcW w:w="1397" w:type="dxa"/>
                  <w:tcBorders>
                    <w:tl2br w:val="nil"/>
                    <w:tr2bl w:val="nil"/>
                  </w:tcBorders>
                  <w:noWrap w:val="0"/>
                  <w:tcMar>
                    <w:top w:w="0" w:type="dxa"/>
                    <w:left w:w="28" w:type="dxa"/>
                    <w:bottom w:w="0" w:type="dxa"/>
                    <w:right w:w="28" w:type="dxa"/>
                  </w:tcMar>
                  <w:vAlign w:val="center"/>
                </w:tcPr>
                <w:p w14:paraId="0B97860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11.0</w:t>
                  </w:r>
                </w:p>
              </w:tc>
            </w:tr>
            <w:tr w14:paraId="31BB93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933F50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14周</w:t>
                  </w:r>
                </w:p>
              </w:tc>
              <w:tc>
                <w:tcPr>
                  <w:tcW w:w="1211" w:type="dxa"/>
                  <w:tcBorders>
                    <w:tl2br w:val="nil"/>
                    <w:tr2bl w:val="nil"/>
                  </w:tcBorders>
                  <w:noWrap w:val="0"/>
                  <w:tcMar>
                    <w:top w:w="0" w:type="dxa"/>
                    <w:left w:w="28" w:type="dxa"/>
                    <w:bottom w:w="0" w:type="dxa"/>
                    <w:right w:w="28" w:type="dxa"/>
                  </w:tcMar>
                  <w:vAlign w:val="center"/>
                </w:tcPr>
                <w:p w14:paraId="444524B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25.6</w:t>
                  </w:r>
                </w:p>
              </w:tc>
              <w:tc>
                <w:tcPr>
                  <w:tcW w:w="1329" w:type="dxa"/>
                  <w:tcBorders>
                    <w:tl2br w:val="nil"/>
                    <w:tr2bl w:val="nil"/>
                  </w:tcBorders>
                  <w:noWrap w:val="0"/>
                  <w:tcMar>
                    <w:top w:w="0" w:type="dxa"/>
                    <w:left w:w="28" w:type="dxa"/>
                    <w:bottom w:w="0" w:type="dxa"/>
                    <w:right w:w="28" w:type="dxa"/>
                  </w:tcMar>
                  <w:vAlign w:val="center"/>
                </w:tcPr>
                <w:p w14:paraId="0DB257B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0.22</w:t>
                  </w:r>
                </w:p>
              </w:tc>
              <w:tc>
                <w:tcPr>
                  <w:tcW w:w="1329" w:type="dxa"/>
                  <w:tcBorders>
                    <w:tl2br w:val="nil"/>
                    <w:tr2bl w:val="nil"/>
                  </w:tcBorders>
                  <w:noWrap w:val="0"/>
                  <w:tcMar>
                    <w:top w:w="0" w:type="dxa"/>
                    <w:left w:w="28" w:type="dxa"/>
                    <w:bottom w:w="0" w:type="dxa"/>
                    <w:right w:w="28" w:type="dxa"/>
                  </w:tcMar>
                  <w:vAlign w:val="center"/>
                </w:tcPr>
                <w:p w14:paraId="0CD17C2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0.199</w:t>
                  </w:r>
                </w:p>
              </w:tc>
              <w:tc>
                <w:tcPr>
                  <w:tcW w:w="1261" w:type="dxa"/>
                  <w:tcBorders>
                    <w:tl2br w:val="nil"/>
                    <w:tr2bl w:val="nil"/>
                  </w:tcBorders>
                  <w:noWrap w:val="0"/>
                  <w:tcMar>
                    <w:top w:w="0" w:type="dxa"/>
                    <w:left w:w="28" w:type="dxa"/>
                    <w:bottom w:w="0" w:type="dxa"/>
                    <w:right w:w="28" w:type="dxa"/>
                  </w:tcMar>
                  <w:vAlign w:val="center"/>
                </w:tcPr>
                <w:p w14:paraId="48B8A67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11.6</w:t>
                  </w:r>
                </w:p>
              </w:tc>
              <w:tc>
                <w:tcPr>
                  <w:tcW w:w="1397" w:type="dxa"/>
                  <w:tcBorders>
                    <w:tl2br w:val="nil"/>
                    <w:tr2bl w:val="nil"/>
                  </w:tcBorders>
                  <w:noWrap w:val="0"/>
                  <w:tcMar>
                    <w:top w:w="0" w:type="dxa"/>
                    <w:left w:w="28" w:type="dxa"/>
                    <w:bottom w:w="0" w:type="dxa"/>
                    <w:right w:w="28" w:type="dxa"/>
                  </w:tcMar>
                  <w:vAlign w:val="center"/>
                </w:tcPr>
                <w:p w14:paraId="78C058C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7.9</w:t>
                  </w:r>
                </w:p>
              </w:tc>
            </w:tr>
            <w:tr w14:paraId="3C57D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733FCD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15周</w:t>
                  </w:r>
                </w:p>
              </w:tc>
              <w:tc>
                <w:tcPr>
                  <w:tcW w:w="1211" w:type="dxa"/>
                  <w:tcBorders>
                    <w:tl2br w:val="nil"/>
                    <w:tr2bl w:val="nil"/>
                  </w:tcBorders>
                  <w:noWrap w:val="0"/>
                  <w:tcMar>
                    <w:top w:w="0" w:type="dxa"/>
                    <w:left w:w="28" w:type="dxa"/>
                    <w:bottom w:w="0" w:type="dxa"/>
                    <w:right w:w="28" w:type="dxa"/>
                  </w:tcMar>
                  <w:vAlign w:val="center"/>
                </w:tcPr>
                <w:p w14:paraId="42BD69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31.8</w:t>
                  </w:r>
                </w:p>
              </w:tc>
              <w:tc>
                <w:tcPr>
                  <w:tcW w:w="1329" w:type="dxa"/>
                  <w:tcBorders>
                    <w:tl2br w:val="nil"/>
                    <w:tr2bl w:val="nil"/>
                  </w:tcBorders>
                  <w:noWrap w:val="0"/>
                  <w:tcMar>
                    <w:top w:w="0" w:type="dxa"/>
                    <w:left w:w="28" w:type="dxa"/>
                    <w:bottom w:w="0" w:type="dxa"/>
                    <w:right w:w="28" w:type="dxa"/>
                  </w:tcMar>
                  <w:vAlign w:val="center"/>
                </w:tcPr>
                <w:p w14:paraId="497049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0.036</w:t>
                  </w:r>
                </w:p>
              </w:tc>
              <w:tc>
                <w:tcPr>
                  <w:tcW w:w="1329" w:type="dxa"/>
                  <w:tcBorders>
                    <w:tl2br w:val="nil"/>
                    <w:tr2bl w:val="nil"/>
                  </w:tcBorders>
                  <w:noWrap w:val="0"/>
                  <w:tcMar>
                    <w:top w:w="0" w:type="dxa"/>
                    <w:left w:w="28" w:type="dxa"/>
                    <w:bottom w:w="0" w:type="dxa"/>
                    <w:right w:w="28" w:type="dxa"/>
                  </w:tcMar>
                  <w:vAlign w:val="center"/>
                </w:tcPr>
                <w:p w14:paraId="7E49A79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0.163</w:t>
                  </w:r>
                </w:p>
              </w:tc>
              <w:tc>
                <w:tcPr>
                  <w:tcW w:w="1261" w:type="dxa"/>
                  <w:tcBorders>
                    <w:tl2br w:val="nil"/>
                    <w:tr2bl w:val="nil"/>
                  </w:tcBorders>
                  <w:noWrap w:val="0"/>
                  <w:tcMar>
                    <w:top w:w="0" w:type="dxa"/>
                    <w:left w:w="28" w:type="dxa"/>
                    <w:bottom w:w="0" w:type="dxa"/>
                    <w:right w:w="28" w:type="dxa"/>
                  </w:tcMar>
                  <w:vAlign w:val="center"/>
                </w:tcPr>
                <w:p w14:paraId="6F2F2A9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11.0</w:t>
                  </w:r>
                </w:p>
              </w:tc>
              <w:tc>
                <w:tcPr>
                  <w:tcW w:w="1397" w:type="dxa"/>
                  <w:tcBorders>
                    <w:tl2br w:val="nil"/>
                    <w:tr2bl w:val="nil"/>
                  </w:tcBorders>
                  <w:noWrap w:val="0"/>
                  <w:tcMar>
                    <w:top w:w="0" w:type="dxa"/>
                    <w:left w:w="28" w:type="dxa"/>
                    <w:bottom w:w="0" w:type="dxa"/>
                    <w:right w:w="28" w:type="dxa"/>
                  </w:tcMar>
                  <w:vAlign w:val="center"/>
                </w:tcPr>
                <w:p w14:paraId="1030AA5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7B6AE4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91EEC0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16周</w:t>
                  </w:r>
                </w:p>
              </w:tc>
              <w:tc>
                <w:tcPr>
                  <w:tcW w:w="1211" w:type="dxa"/>
                  <w:tcBorders>
                    <w:tl2br w:val="nil"/>
                    <w:tr2bl w:val="nil"/>
                  </w:tcBorders>
                  <w:noWrap w:val="0"/>
                  <w:tcMar>
                    <w:top w:w="0" w:type="dxa"/>
                    <w:left w:w="28" w:type="dxa"/>
                    <w:bottom w:w="0" w:type="dxa"/>
                    <w:right w:w="28" w:type="dxa"/>
                  </w:tcMar>
                  <w:vAlign w:val="center"/>
                </w:tcPr>
                <w:p w14:paraId="31035A4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29.7</w:t>
                  </w:r>
                </w:p>
              </w:tc>
              <w:tc>
                <w:tcPr>
                  <w:tcW w:w="1329" w:type="dxa"/>
                  <w:tcBorders>
                    <w:tl2br w:val="nil"/>
                    <w:tr2bl w:val="nil"/>
                  </w:tcBorders>
                  <w:noWrap w:val="0"/>
                  <w:tcMar>
                    <w:top w:w="0" w:type="dxa"/>
                    <w:left w:w="28" w:type="dxa"/>
                    <w:bottom w:w="0" w:type="dxa"/>
                    <w:right w:w="28" w:type="dxa"/>
                  </w:tcMar>
                  <w:vAlign w:val="center"/>
                </w:tcPr>
                <w:p w14:paraId="4B4A5DD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0.122</w:t>
                  </w:r>
                </w:p>
              </w:tc>
              <w:tc>
                <w:tcPr>
                  <w:tcW w:w="1329" w:type="dxa"/>
                  <w:tcBorders>
                    <w:tl2br w:val="nil"/>
                    <w:tr2bl w:val="nil"/>
                  </w:tcBorders>
                  <w:noWrap w:val="0"/>
                  <w:tcMar>
                    <w:top w:w="0" w:type="dxa"/>
                    <w:left w:w="28" w:type="dxa"/>
                    <w:bottom w:w="0" w:type="dxa"/>
                    <w:right w:w="28" w:type="dxa"/>
                  </w:tcMar>
                  <w:vAlign w:val="center"/>
                </w:tcPr>
                <w:p w14:paraId="4D62319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0.176</w:t>
                  </w:r>
                </w:p>
              </w:tc>
              <w:tc>
                <w:tcPr>
                  <w:tcW w:w="1261" w:type="dxa"/>
                  <w:tcBorders>
                    <w:tl2br w:val="nil"/>
                    <w:tr2bl w:val="nil"/>
                  </w:tcBorders>
                  <w:noWrap w:val="0"/>
                  <w:tcMar>
                    <w:top w:w="0" w:type="dxa"/>
                    <w:left w:w="28" w:type="dxa"/>
                    <w:bottom w:w="0" w:type="dxa"/>
                    <w:right w:w="28" w:type="dxa"/>
                  </w:tcMar>
                  <w:vAlign w:val="center"/>
                </w:tcPr>
                <w:p w14:paraId="59C716F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10.4</w:t>
                  </w:r>
                </w:p>
              </w:tc>
              <w:tc>
                <w:tcPr>
                  <w:tcW w:w="1397" w:type="dxa"/>
                  <w:tcBorders>
                    <w:tl2br w:val="nil"/>
                    <w:tr2bl w:val="nil"/>
                  </w:tcBorders>
                  <w:noWrap w:val="0"/>
                  <w:tcMar>
                    <w:top w:w="0" w:type="dxa"/>
                    <w:left w:w="28" w:type="dxa"/>
                    <w:bottom w:w="0" w:type="dxa"/>
                    <w:right w:w="28" w:type="dxa"/>
                  </w:tcMar>
                  <w:vAlign w:val="center"/>
                </w:tcPr>
                <w:p w14:paraId="0F4500E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9.4</w:t>
                  </w:r>
                </w:p>
              </w:tc>
            </w:tr>
            <w:tr w14:paraId="4B1CE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FD06D8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17周</w:t>
                  </w:r>
                </w:p>
              </w:tc>
              <w:tc>
                <w:tcPr>
                  <w:tcW w:w="1211" w:type="dxa"/>
                  <w:tcBorders>
                    <w:tl2br w:val="nil"/>
                    <w:tr2bl w:val="nil"/>
                  </w:tcBorders>
                  <w:noWrap w:val="0"/>
                  <w:tcMar>
                    <w:top w:w="0" w:type="dxa"/>
                    <w:left w:w="28" w:type="dxa"/>
                    <w:bottom w:w="0" w:type="dxa"/>
                    <w:right w:w="28" w:type="dxa"/>
                  </w:tcMar>
                  <w:vAlign w:val="center"/>
                </w:tcPr>
                <w:p w14:paraId="1EB3A74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35.2</w:t>
                  </w:r>
                </w:p>
              </w:tc>
              <w:tc>
                <w:tcPr>
                  <w:tcW w:w="1329" w:type="dxa"/>
                  <w:tcBorders>
                    <w:tl2br w:val="nil"/>
                    <w:tr2bl w:val="nil"/>
                  </w:tcBorders>
                  <w:noWrap w:val="0"/>
                  <w:tcMar>
                    <w:top w:w="0" w:type="dxa"/>
                    <w:left w:w="28" w:type="dxa"/>
                    <w:bottom w:w="0" w:type="dxa"/>
                    <w:right w:w="28" w:type="dxa"/>
                  </w:tcMar>
                  <w:vAlign w:val="center"/>
                </w:tcPr>
                <w:p w14:paraId="6F028F0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0.36</w:t>
                  </w:r>
                </w:p>
              </w:tc>
              <w:tc>
                <w:tcPr>
                  <w:tcW w:w="1329" w:type="dxa"/>
                  <w:tcBorders>
                    <w:tl2br w:val="nil"/>
                    <w:tr2bl w:val="nil"/>
                  </w:tcBorders>
                  <w:noWrap w:val="0"/>
                  <w:tcMar>
                    <w:top w:w="0" w:type="dxa"/>
                    <w:left w:w="28" w:type="dxa"/>
                    <w:bottom w:w="0" w:type="dxa"/>
                    <w:right w:w="28" w:type="dxa"/>
                  </w:tcMar>
                  <w:vAlign w:val="center"/>
                </w:tcPr>
                <w:p w14:paraId="1EC1E8F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0.196</w:t>
                  </w:r>
                </w:p>
              </w:tc>
              <w:tc>
                <w:tcPr>
                  <w:tcW w:w="1261" w:type="dxa"/>
                  <w:tcBorders>
                    <w:tl2br w:val="nil"/>
                    <w:tr2bl w:val="nil"/>
                  </w:tcBorders>
                  <w:noWrap w:val="0"/>
                  <w:tcMar>
                    <w:top w:w="0" w:type="dxa"/>
                    <w:left w:w="28" w:type="dxa"/>
                    <w:bottom w:w="0" w:type="dxa"/>
                    <w:right w:w="28" w:type="dxa"/>
                  </w:tcMar>
                  <w:vAlign w:val="center"/>
                </w:tcPr>
                <w:p w14:paraId="2908B12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10.1</w:t>
                  </w:r>
                </w:p>
              </w:tc>
              <w:tc>
                <w:tcPr>
                  <w:tcW w:w="1397" w:type="dxa"/>
                  <w:tcBorders>
                    <w:tl2br w:val="nil"/>
                    <w:tr2bl w:val="nil"/>
                  </w:tcBorders>
                  <w:noWrap w:val="0"/>
                  <w:tcMar>
                    <w:top w:w="0" w:type="dxa"/>
                    <w:left w:w="28" w:type="dxa"/>
                    <w:bottom w:w="0" w:type="dxa"/>
                    <w:right w:w="28" w:type="dxa"/>
                  </w:tcMar>
                  <w:vAlign w:val="center"/>
                </w:tcPr>
                <w:p w14:paraId="2FD6787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11.1</w:t>
                  </w:r>
                </w:p>
              </w:tc>
            </w:tr>
            <w:tr w14:paraId="4AF9A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DC44DE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18周</w:t>
                  </w:r>
                </w:p>
              </w:tc>
              <w:tc>
                <w:tcPr>
                  <w:tcW w:w="1211" w:type="dxa"/>
                  <w:tcBorders>
                    <w:tl2br w:val="nil"/>
                    <w:tr2bl w:val="nil"/>
                  </w:tcBorders>
                  <w:noWrap w:val="0"/>
                  <w:tcMar>
                    <w:top w:w="0" w:type="dxa"/>
                    <w:left w:w="28" w:type="dxa"/>
                    <w:bottom w:w="0" w:type="dxa"/>
                    <w:right w:w="28" w:type="dxa"/>
                  </w:tcMar>
                  <w:vAlign w:val="center"/>
                </w:tcPr>
                <w:p w14:paraId="1071089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45.8 </w:t>
                  </w:r>
                </w:p>
              </w:tc>
              <w:tc>
                <w:tcPr>
                  <w:tcW w:w="1329" w:type="dxa"/>
                  <w:tcBorders>
                    <w:tl2br w:val="nil"/>
                    <w:tr2bl w:val="nil"/>
                  </w:tcBorders>
                  <w:noWrap w:val="0"/>
                  <w:tcMar>
                    <w:top w:w="0" w:type="dxa"/>
                    <w:left w:w="28" w:type="dxa"/>
                    <w:bottom w:w="0" w:type="dxa"/>
                    <w:right w:w="28" w:type="dxa"/>
                  </w:tcMar>
                  <w:vAlign w:val="center"/>
                </w:tcPr>
                <w:p w14:paraId="3135F67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0.27 </w:t>
                  </w:r>
                </w:p>
              </w:tc>
              <w:tc>
                <w:tcPr>
                  <w:tcW w:w="1329" w:type="dxa"/>
                  <w:tcBorders>
                    <w:tl2br w:val="nil"/>
                    <w:tr2bl w:val="nil"/>
                  </w:tcBorders>
                  <w:noWrap w:val="0"/>
                  <w:tcMar>
                    <w:top w:w="0" w:type="dxa"/>
                    <w:left w:w="28" w:type="dxa"/>
                    <w:bottom w:w="0" w:type="dxa"/>
                    <w:right w:w="28" w:type="dxa"/>
                  </w:tcMar>
                  <w:vAlign w:val="center"/>
                </w:tcPr>
                <w:p w14:paraId="77C526C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0.332 </w:t>
                  </w:r>
                </w:p>
              </w:tc>
              <w:tc>
                <w:tcPr>
                  <w:tcW w:w="1261" w:type="dxa"/>
                  <w:tcBorders>
                    <w:tl2br w:val="nil"/>
                    <w:tr2bl w:val="nil"/>
                  </w:tcBorders>
                  <w:noWrap w:val="0"/>
                  <w:tcMar>
                    <w:top w:w="0" w:type="dxa"/>
                    <w:left w:w="28" w:type="dxa"/>
                    <w:bottom w:w="0" w:type="dxa"/>
                    <w:right w:w="28" w:type="dxa"/>
                  </w:tcMar>
                  <w:vAlign w:val="center"/>
                </w:tcPr>
                <w:p w14:paraId="336C0F4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8.8</w:t>
                  </w:r>
                </w:p>
              </w:tc>
              <w:tc>
                <w:tcPr>
                  <w:tcW w:w="1397" w:type="dxa"/>
                  <w:tcBorders>
                    <w:tl2br w:val="nil"/>
                    <w:tr2bl w:val="nil"/>
                  </w:tcBorders>
                  <w:noWrap w:val="0"/>
                  <w:tcMar>
                    <w:top w:w="0" w:type="dxa"/>
                    <w:left w:w="28" w:type="dxa"/>
                    <w:bottom w:w="0" w:type="dxa"/>
                    <w:right w:w="28" w:type="dxa"/>
                  </w:tcMar>
                  <w:vAlign w:val="center"/>
                </w:tcPr>
                <w:p w14:paraId="3BF3BD7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10.5</w:t>
                  </w:r>
                </w:p>
              </w:tc>
            </w:tr>
            <w:tr w14:paraId="2DEEB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45D7AC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19周</w:t>
                  </w:r>
                </w:p>
              </w:tc>
              <w:tc>
                <w:tcPr>
                  <w:tcW w:w="1211" w:type="dxa"/>
                  <w:tcBorders>
                    <w:tl2br w:val="nil"/>
                    <w:tr2bl w:val="nil"/>
                  </w:tcBorders>
                  <w:noWrap w:val="0"/>
                  <w:tcMar>
                    <w:top w:w="0" w:type="dxa"/>
                    <w:left w:w="28" w:type="dxa"/>
                    <w:bottom w:w="0" w:type="dxa"/>
                    <w:right w:w="28" w:type="dxa"/>
                  </w:tcMar>
                  <w:vAlign w:val="center"/>
                </w:tcPr>
                <w:p w14:paraId="2D688A4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30.3 </w:t>
                  </w:r>
                </w:p>
              </w:tc>
              <w:tc>
                <w:tcPr>
                  <w:tcW w:w="1329" w:type="dxa"/>
                  <w:tcBorders>
                    <w:tl2br w:val="nil"/>
                    <w:tr2bl w:val="nil"/>
                  </w:tcBorders>
                  <w:noWrap w:val="0"/>
                  <w:tcMar>
                    <w:top w:w="0" w:type="dxa"/>
                    <w:left w:w="28" w:type="dxa"/>
                    <w:bottom w:w="0" w:type="dxa"/>
                    <w:right w:w="28" w:type="dxa"/>
                  </w:tcMar>
                  <w:vAlign w:val="center"/>
                </w:tcPr>
                <w:p w14:paraId="33AC0E3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0.04 </w:t>
                  </w:r>
                </w:p>
              </w:tc>
              <w:tc>
                <w:tcPr>
                  <w:tcW w:w="1329" w:type="dxa"/>
                  <w:tcBorders>
                    <w:tl2br w:val="nil"/>
                    <w:tr2bl w:val="nil"/>
                  </w:tcBorders>
                  <w:noWrap w:val="0"/>
                  <w:tcMar>
                    <w:top w:w="0" w:type="dxa"/>
                    <w:left w:w="28" w:type="dxa"/>
                    <w:bottom w:w="0" w:type="dxa"/>
                    <w:right w:w="28" w:type="dxa"/>
                  </w:tcMar>
                  <w:vAlign w:val="center"/>
                </w:tcPr>
                <w:p w14:paraId="5E3B7E2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0.178 </w:t>
                  </w:r>
                </w:p>
              </w:tc>
              <w:tc>
                <w:tcPr>
                  <w:tcW w:w="1261" w:type="dxa"/>
                  <w:tcBorders>
                    <w:tl2br w:val="nil"/>
                    <w:tr2bl w:val="nil"/>
                  </w:tcBorders>
                  <w:noWrap w:val="0"/>
                  <w:tcMar>
                    <w:top w:w="0" w:type="dxa"/>
                    <w:left w:w="28" w:type="dxa"/>
                    <w:bottom w:w="0" w:type="dxa"/>
                    <w:right w:w="28" w:type="dxa"/>
                  </w:tcMar>
                  <w:vAlign w:val="center"/>
                </w:tcPr>
                <w:p w14:paraId="4CDD728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8.5</w:t>
                  </w:r>
                </w:p>
              </w:tc>
              <w:tc>
                <w:tcPr>
                  <w:tcW w:w="1397" w:type="dxa"/>
                  <w:tcBorders>
                    <w:tl2br w:val="nil"/>
                    <w:tr2bl w:val="nil"/>
                  </w:tcBorders>
                  <w:noWrap w:val="0"/>
                  <w:tcMar>
                    <w:top w:w="0" w:type="dxa"/>
                    <w:left w:w="28" w:type="dxa"/>
                    <w:bottom w:w="0" w:type="dxa"/>
                    <w:right w:w="28" w:type="dxa"/>
                  </w:tcMar>
                  <w:vAlign w:val="center"/>
                </w:tcPr>
                <w:p w14:paraId="763818C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8.3</w:t>
                  </w:r>
                </w:p>
              </w:tc>
            </w:tr>
            <w:tr w14:paraId="38AD1E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977A06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20周</w:t>
                  </w:r>
                </w:p>
              </w:tc>
              <w:tc>
                <w:tcPr>
                  <w:tcW w:w="1211" w:type="dxa"/>
                  <w:tcBorders>
                    <w:tl2br w:val="nil"/>
                    <w:tr2bl w:val="nil"/>
                  </w:tcBorders>
                  <w:noWrap w:val="0"/>
                  <w:tcMar>
                    <w:top w:w="0" w:type="dxa"/>
                    <w:left w:w="28" w:type="dxa"/>
                    <w:bottom w:w="0" w:type="dxa"/>
                    <w:right w:w="28" w:type="dxa"/>
                  </w:tcMar>
                  <w:vAlign w:val="center"/>
                </w:tcPr>
                <w:p w14:paraId="1D858D5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26.3 </w:t>
                  </w:r>
                </w:p>
              </w:tc>
              <w:tc>
                <w:tcPr>
                  <w:tcW w:w="1329" w:type="dxa"/>
                  <w:tcBorders>
                    <w:tl2br w:val="nil"/>
                    <w:tr2bl w:val="nil"/>
                  </w:tcBorders>
                  <w:noWrap w:val="0"/>
                  <w:tcMar>
                    <w:top w:w="0" w:type="dxa"/>
                    <w:left w:w="28" w:type="dxa"/>
                    <w:bottom w:w="0" w:type="dxa"/>
                    <w:right w:w="28" w:type="dxa"/>
                  </w:tcMar>
                  <w:vAlign w:val="center"/>
                </w:tcPr>
                <w:p w14:paraId="296C7C6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0.04 </w:t>
                  </w:r>
                </w:p>
              </w:tc>
              <w:tc>
                <w:tcPr>
                  <w:tcW w:w="1329" w:type="dxa"/>
                  <w:tcBorders>
                    <w:tl2br w:val="nil"/>
                    <w:tr2bl w:val="nil"/>
                  </w:tcBorders>
                  <w:noWrap w:val="0"/>
                  <w:tcMar>
                    <w:top w:w="0" w:type="dxa"/>
                    <w:left w:w="28" w:type="dxa"/>
                    <w:bottom w:w="0" w:type="dxa"/>
                    <w:right w:w="28" w:type="dxa"/>
                  </w:tcMar>
                  <w:vAlign w:val="center"/>
                </w:tcPr>
                <w:p w14:paraId="1A71116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0.124 </w:t>
                  </w:r>
                </w:p>
              </w:tc>
              <w:tc>
                <w:tcPr>
                  <w:tcW w:w="1261" w:type="dxa"/>
                  <w:tcBorders>
                    <w:tl2br w:val="nil"/>
                    <w:tr2bl w:val="nil"/>
                  </w:tcBorders>
                  <w:noWrap w:val="0"/>
                  <w:tcMar>
                    <w:top w:w="0" w:type="dxa"/>
                    <w:left w:w="28" w:type="dxa"/>
                    <w:bottom w:w="0" w:type="dxa"/>
                    <w:right w:w="28" w:type="dxa"/>
                  </w:tcMar>
                  <w:vAlign w:val="center"/>
                </w:tcPr>
                <w:p w14:paraId="5E33980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7.3</w:t>
                  </w:r>
                </w:p>
              </w:tc>
              <w:tc>
                <w:tcPr>
                  <w:tcW w:w="1397" w:type="dxa"/>
                  <w:tcBorders>
                    <w:tl2br w:val="nil"/>
                    <w:tr2bl w:val="nil"/>
                  </w:tcBorders>
                  <w:noWrap w:val="0"/>
                  <w:tcMar>
                    <w:top w:w="0" w:type="dxa"/>
                    <w:left w:w="28" w:type="dxa"/>
                    <w:bottom w:w="0" w:type="dxa"/>
                    <w:right w:w="28" w:type="dxa"/>
                  </w:tcMar>
                  <w:vAlign w:val="center"/>
                </w:tcPr>
                <w:p w14:paraId="4275153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8.2</w:t>
                  </w:r>
                </w:p>
              </w:tc>
            </w:tr>
            <w:tr w14:paraId="366695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751608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21周</w:t>
                  </w:r>
                </w:p>
              </w:tc>
              <w:tc>
                <w:tcPr>
                  <w:tcW w:w="1211" w:type="dxa"/>
                  <w:tcBorders>
                    <w:tl2br w:val="nil"/>
                    <w:tr2bl w:val="nil"/>
                  </w:tcBorders>
                  <w:noWrap w:val="0"/>
                  <w:tcMar>
                    <w:top w:w="0" w:type="dxa"/>
                    <w:left w:w="28" w:type="dxa"/>
                    <w:bottom w:w="0" w:type="dxa"/>
                    <w:right w:w="28" w:type="dxa"/>
                  </w:tcMar>
                  <w:vAlign w:val="center"/>
                </w:tcPr>
                <w:p w14:paraId="0DBDE4B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34E41E1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26381A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261" w:type="dxa"/>
                  <w:tcBorders>
                    <w:tl2br w:val="nil"/>
                    <w:tr2bl w:val="nil"/>
                  </w:tcBorders>
                  <w:noWrap w:val="0"/>
                  <w:tcMar>
                    <w:top w:w="0" w:type="dxa"/>
                    <w:left w:w="28" w:type="dxa"/>
                    <w:bottom w:w="0" w:type="dxa"/>
                    <w:right w:w="28" w:type="dxa"/>
                  </w:tcMar>
                  <w:vAlign w:val="center"/>
                </w:tcPr>
                <w:p w14:paraId="484655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w:t>
                  </w:r>
                </w:p>
              </w:tc>
              <w:tc>
                <w:tcPr>
                  <w:tcW w:w="1397" w:type="dxa"/>
                  <w:tcBorders>
                    <w:tl2br w:val="nil"/>
                    <w:tr2bl w:val="nil"/>
                  </w:tcBorders>
                  <w:noWrap w:val="0"/>
                  <w:tcMar>
                    <w:top w:w="0" w:type="dxa"/>
                    <w:left w:w="28" w:type="dxa"/>
                    <w:bottom w:w="0" w:type="dxa"/>
                    <w:right w:w="28" w:type="dxa"/>
                  </w:tcMar>
                  <w:vAlign w:val="center"/>
                </w:tcPr>
                <w:p w14:paraId="3377CCC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w:t>
                  </w:r>
                </w:p>
              </w:tc>
            </w:tr>
            <w:tr w14:paraId="7B2D2A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7EAB0C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22周</w:t>
                  </w:r>
                </w:p>
              </w:tc>
              <w:tc>
                <w:tcPr>
                  <w:tcW w:w="1211" w:type="dxa"/>
                  <w:tcBorders>
                    <w:tl2br w:val="nil"/>
                    <w:tr2bl w:val="nil"/>
                  </w:tcBorders>
                  <w:noWrap w:val="0"/>
                  <w:tcMar>
                    <w:top w:w="0" w:type="dxa"/>
                    <w:left w:w="28" w:type="dxa"/>
                    <w:bottom w:w="0" w:type="dxa"/>
                    <w:right w:w="28" w:type="dxa"/>
                  </w:tcMar>
                  <w:vAlign w:val="center"/>
                </w:tcPr>
                <w:p w14:paraId="6E74692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40.9 </w:t>
                  </w:r>
                </w:p>
              </w:tc>
              <w:tc>
                <w:tcPr>
                  <w:tcW w:w="1329" w:type="dxa"/>
                  <w:tcBorders>
                    <w:tl2br w:val="nil"/>
                    <w:tr2bl w:val="nil"/>
                  </w:tcBorders>
                  <w:noWrap w:val="0"/>
                  <w:tcMar>
                    <w:top w:w="0" w:type="dxa"/>
                    <w:left w:w="28" w:type="dxa"/>
                    <w:bottom w:w="0" w:type="dxa"/>
                    <w:right w:w="28" w:type="dxa"/>
                  </w:tcMar>
                  <w:vAlign w:val="center"/>
                </w:tcPr>
                <w:p w14:paraId="298E1820">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0.05 </w:t>
                  </w:r>
                </w:p>
              </w:tc>
              <w:tc>
                <w:tcPr>
                  <w:tcW w:w="1329" w:type="dxa"/>
                  <w:tcBorders>
                    <w:tl2br w:val="nil"/>
                    <w:tr2bl w:val="nil"/>
                  </w:tcBorders>
                  <w:noWrap w:val="0"/>
                  <w:tcMar>
                    <w:top w:w="0" w:type="dxa"/>
                    <w:left w:w="28" w:type="dxa"/>
                    <w:bottom w:w="0" w:type="dxa"/>
                    <w:right w:w="28" w:type="dxa"/>
                  </w:tcMar>
                  <w:vAlign w:val="center"/>
                </w:tcPr>
                <w:p w14:paraId="2910F31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0.237 </w:t>
                  </w:r>
                </w:p>
              </w:tc>
              <w:tc>
                <w:tcPr>
                  <w:tcW w:w="1261" w:type="dxa"/>
                  <w:tcBorders>
                    <w:tl2br w:val="nil"/>
                    <w:tr2bl w:val="nil"/>
                  </w:tcBorders>
                  <w:noWrap w:val="0"/>
                  <w:tcMar>
                    <w:top w:w="0" w:type="dxa"/>
                    <w:left w:w="28" w:type="dxa"/>
                    <w:bottom w:w="0" w:type="dxa"/>
                    <w:right w:w="28" w:type="dxa"/>
                  </w:tcMar>
                  <w:vAlign w:val="center"/>
                </w:tcPr>
                <w:p w14:paraId="3CC6327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5.5</w:t>
                  </w:r>
                </w:p>
              </w:tc>
              <w:tc>
                <w:tcPr>
                  <w:tcW w:w="1397" w:type="dxa"/>
                  <w:tcBorders>
                    <w:tl2br w:val="nil"/>
                    <w:tr2bl w:val="nil"/>
                  </w:tcBorders>
                  <w:noWrap w:val="0"/>
                  <w:tcMar>
                    <w:top w:w="0" w:type="dxa"/>
                    <w:left w:w="28" w:type="dxa"/>
                    <w:bottom w:w="0" w:type="dxa"/>
                    <w:right w:w="28" w:type="dxa"/>
                  </w:tcMar>
                  <w:vAlign w:val="center"/>
                </w:tcPr>
                <w:p w14:paraId="7E8456B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74FD65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1DD104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23周</w:t>
                  </w:r>
                </w:p>
              </w:tc>
              <w:tc>
                <w:tcPr>
                  <w:tcW w:w="1211" w:type="dxa"/>
                  <w:tcBorders>
                    <w:tl2br w:val="nil"/>
                    <w:tr2bl w:val="nil"/>
                  </w:tcBorders>
                  <w:noWrap w:val="0"/>
                  <w:tcMar>
                    <w:top w:w="0" w:type="dxa"/>
                    <w:left w:w="28" w:type="dxa"/>
                    <w:bottom w:w="0" w:type="dxa"/>
                    <w:right w:w="28" w:type="dxa"/>
                  </w:tcMar>
                  <w:vAlign w:val="center"/>
                </w:tcPr>
                <w:p w14:paraId="039D7BA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26.9 </w:t>
                  </w:r>
                </w:p>
              </w:tc>
              <w:tc>
                <w:tcPr>
                  <w:tcW w:w="1329" w:type="dxa"/>
                  <w:tcBorders>
                    <w:tl2br w:val="nil"/>
                    <w:tr2bl w:val="nil"/>
                  </w:tcBorders>
                  <w:noWrap w:val="0"/>
                  <w:tcMar>
                    <w:top w:w="0" w:type="dxa"/>
                    <w:left w:w="28" w:type="dxa"/>
                    <w:bottom w:w="0" w:type="dxa"/>
                    <w:right w:w="28" w:type="dxa"/>
                  </w:tcMar>
                  <w:vAlign w:val="center"/>
                </w:tcPr>
                <w:p w14:paraId="7A6DE0D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0.07 </w:t>
                  </w:r>
                </w:p>
              </w:tc>
              <w:tc>
                <w:tcPr>
                  <w:tcW w:w="1329" w:type="dxa"/>
                  <w:tcBorders>
                    <w:tl2br w:val="nil"/>
                    <w:tr2bl w:val="nil"/>
                  </w:tcBorders>
                  <w:noWrap w:val="0"/>
                  <w:tcMar>
                    <w:top w:w="0" w:type="dxa"/>
                    <w:left w:w="28" w:type="dxa"/>
                    <w:bottom w:w="0" w:type="dxa"/>
                    <w:right w:w="28" w:type="dxa"/>
                  </w:tcMar>
                  <w:vAlign w:val="center"/>
                </w:tcPr>
                <w:p w14:paraId="2B35CD5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0.142 </w:t>
                  </w:r>
                </w:p>
              </w:tc>
              <w:tc>
                <w:tcPr>
                  <w:tcW w:w="1261" w:type="dxa"/>
                  <w:tcBorders>
                    <w:tl2br w:val="nil"/>
                    <w:tr2bl w:val="nil"/>
                  </w:tcBorders>
                  <w:noWrap w:val="0"/>
                  <w:tcMar>
                    <w:top w:w="0" w:type="dxa"/>
                    <w:left w:w="28" w:type="dxa"/>
                    <w:bottom w:w="0" w:type="dxa"/>
                    <w:right w:w="28" w:type="dxa"/>
                  </w:tcMar>
                  <w:vAlign w:val="center"/>
                </w:tcPr>
                <w:p w14:paraId="3C844CD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5.9</w:t>
                  </w:r>
                </w:p>
              </w:tc>
              <w:tc>
                <w:tcPr>
                  <w:tcW w:w="1397" w:type="dxa"/>
                  <w:tcBorders>
                    <w:tl2br w:val="nil"/>
                    <w:tr2bl w:val="nil"/>
                  </w:tcBorders>
                  <w:noWrap w:val="0"/>
                  <w:tcMar>
                    <w:top w:w="0" w:type="dxa"/>
                    <w:left w:w="28" w:type="dxa"/>
                    <w:bottom w:w="0" w:type="dxa"/>
                    <w:right w:w="28" w:type="dxa"/>
                  </w:tcMar>
                  <w:vAlign w:val="center"/>
                </w:tcPr>
                <w:p w14:paraId="73C7AAEA">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7.5</w:t>
                  </w:r>
                </w:p>
              </w:tc>
            </w:tr>
            <w:tr w14:paraId="433C1E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476023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24周</w:t>
                  </w:r>
                </w:p>
              </w:tc>
              <w:tc>
                <w:tcPr>
                  <w:tcW w:w="1211" w:type="dxa"/>
                  <w:tcBorders>
                    <w:tl2br w:val="nil"/>
                    <w:tr2bl w:val="nil"/>
                  </w:tcBorders>
                  <w:noWrap w:val="0"/>
                  <w:tcMar>
                    <w:top w:w="0" w:type="dxa"/>
                    <w:left w:w="28" w:type="dxa"/>
                    <w:bottom w:w="0" w:type="dxa"/>
                    <w:right w:w="28" w:type="dxa"/>
                  </w:tcMar>
                  <w:vAlign w:val="center"/>
                </w:tcPr>
                <w:p w14:paraId="6E4ACE9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33.6 </w:t>
                  </w:r>
                </w:p>
              </w:tc>
              <w:tc>
                <w:tcPr>
                  <w:tcW w:w="1329" w:type="dxa"/>
                  <w:tcBorders>
                    <w:tl2br w:val="nil"/>
                    <w:tr2bl w:val="nil"/>
                  </w:tcBorders>
                  <w:noWrap w:val="0"/>
                  <w:tcMar>
                    <w:top w:w="0" w:type="dxa"/>
                    <w:left w:w="28" w:type="dxa"/>
                    <w:bottom w:w="0" w:type="dxa"/>
                    <w:right w:w="28" w:type="dxa"/>
                  </w:tcMar>
                  <w:vAlign w:val="center"/>
                </w:tcPr>
                <w:p w14:paraId="111866E4">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0.06 </w:t>
                  </w:r>
                </w:p>
              </w:tc>
              <w:tc>
                <w:tcPr>
                  <w:tcW w:w="1329" w:type="dxa"/>
                  <w:tcBorders>
                    <w:tl2br w:val="nil"/>
                    <w:tr2bl w:val="nil"/>
                  </w:tcBorders>
                  <w:noWrap w:val="0"/>
                  <w:tcMar>
                    <w:top w:w="0" w:type="dxa"/>
                    <w:left w:w="28" w:type="dxa"/>
                    <w:bottom w:w="0" w:type="dxa"/>
                    <w:right w:w="28" w:type="dxa"/>
                  </w:tcMar>
                  <w:vAlign w:val="center"/>
                </w:tcPr>
                <w:p w14:paraId="101A5CA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0.176 </w:t>
                  </w:r>
                </w:p>
              </w:tc>
              <w:tc>
                <w:tcPr>
                  <w:tcW w:w="1261" w:type="dxa"/>
                  <w:tcBorders>
                    <w:tl2br w:val="nil"/>
                    <w:tr2bl w:val="nil"/>
                  </w:tcBorders>
                  <w:noWrap w:val="0"/>
                  <w:tcMar>
                    <w:top w:w="0" w:type="dxa"/>
                    <w:left w:w="28" w:type="dxa"/>
                    <w:bottom w:w="0" w:type="dxa"/>
                    <w:right w:w="28" w:type="dxa"/>
                  </w:tcMar>
                  <w:vAlign w:val="center"/>
                </w:tcPr>
                <w:p w14:paraId="091B4B4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5.0</w:t>
                  </w:r>
                </w:p>
              </w:tc>
              <w:tc>
                <w:tcPr>
                  <w:tcW w:w="1397" w:type="dxa"/>
                  <w:tcBorders>
                    <w:tl2br w:val="nil"/>
                    <w:tr2bl w:val="nil"/>
                  </w:tcBorders>
                  <w:noWrap w:val="0"/>
                  <w:tcMar>
                    <w:top w:w="0" w:type="dxa"/>
                    <w:left w:w="28" w:type="dxa"/>
                    <w:bottom w:w="0" w:type="dxa"/>
                    <w:right w:w="28" w:type="dxa"/>
                  </w:tcMar>
                  <w:vAlign w:val="center"/>
                </w:tcPr>
                <w:p w14:paraId="74BEDA2E">
                  <w:pPr>
                    <w:pStyle w:val="78"/>
                    <w:keepNext w:val="0"/>
                    <w:keepLines w:val="0"/>
                    <w:suppressLineNumbers w:val="0"/>
                    <w:tabs>
                      <w:tab w:val="right" w:leader="dot" w:pos="8296"/>
                    </w:tabs>
                    <w:bidi w:val="0"/>
                    <w:spacing w:before="0" w:beforeAutospacing="0" w:after="0" w:afterAutospacing="0"/>
                    <w:ind w:right="0"/>
                    <w:rPr>
                      <w:rFonts w:hint="eastAsia"/>
                      <w:color w:val="auto"/>
                      <w:lang w:eastAsia="zh-CN"/>
                    </w:rPr>
                  </w:pPr>
                  <w:r>
                    <w:rPr>
                      <w:rFonts w:hint="default"/>
                      <w:color w:val="auto"/>
                    </w:rPr>
                    <w:t>7.</w:t>
                  </w:r>
                  <w:r>
                    <w:rPr>
                      <w:rFonts w:hint="eastAsia"/>
                      <w:color w:val="auto"/>
                      <w:lang w:val="en-US" w:eastAsia="zh-CN"/>
                    </w:rPr>
                    <w:t>9</w:t>
                  </w:r>
                </w:p>
              </w:tc>
            </w:tr>
            <w:tr w14:paraId="510E17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FF6D2C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25周</w:t>
                  </w:r>
                </w:p>
              </w:tc>
              <w:tc>
                <w:tcPr>
                  <w:tcW w:w="1211" w:type="dxa"/>
                  <w:tcBorders>
                    <w:tl2br w:val="nil"/>
                    <w:tr2bl w:val="nil"/>
                  </w:tcBorders>
                  <w:noWrap w:val="0"/>
                  <w:tcMar>
                    <w:top w:w="0" w:type="dxa"/>
                    <w:left w:w="28" w:type="dxa"/>
                    <w:bottom w:w="0" w:type="dxa"/>
                    <w:right w:w="28" w:type="dxa"/>
                  </w:tcMar>
                  <w:vAlign w:val="center"/>
                </w:tcPr>
                <w:p w14:paraId="3540BF9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38.4 </w:t>
                  </w:r>
                </w:p>
              </w:tc>
              <w:tc>
                <w:tcPr>
                  <w:tcW w:w="1329" w:type="dxa"/>
                  <w:tcBorders>
                    <w:tl2br w:val="nil"/>
                    <w:tr2bl w:val="nil"/>
                  </w:tcBorders>
                  <w:noWrap w:val="0"/>
                  <w:tcMar>
                    <w:top w:w="0" w:type="dxa"/>
                    <w:left w:w="28" w:type="dxa"/>
                    <w:bottom w:w="0" w:type="dxa"/>
                    <w:right w:w="28" w:type="dxa"/>
                  </w:tcMar>
                  <w:vAlign w:val="center"/>
                </w:tcPr>
                <w:p w14:paraId="671F760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0.39 </w:t>
                  </w:r>
                </w:p>
              </w:tc>
              <w:tc>
                <w:tcPr>
                  <w:tcW w:w="1329" w:type="dxa"/>
                  <w:tcBorders>
                    <w:tl2br w:val="nil"/>
                    <w:tr2bl w:val="nil"/>
                  </w:tcBorders>
                  <w:noWrap w:val="0"/>
                  <w:tcMar>
                    <w:top w:w="0" w:type="dxa"/>
                    <w:left w:w="28" w:type="dxa"/>
                    <w:bottom w:w="0" w:type="dxa"/>
                    <w:right w:w="28" w:type="dxa"/>
                  </w:tcMar>
                  <w:vAlign w:val="center"/>
                </w:tcPr>
                <w:p w14:paraId="0D0E313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0.217 </w:t>
                  </w:r>
                </w:p>
              </w:tc>
              <w:tc>
                <w:tcPr>
                  <w:tcW w:w="1261" w:type="dxa"/>
                  <w:tcBorders>
                    <w:tl2br w:val="nil"/>
                    <w:tr2bl w:val="nil"/>
                  </w:tcBorders>
                  <w:noWrap w:val="0"/>
                  <w:tcMar>
                    <w:top w:w="0" w:type="dxa"/>
                    <w:left w:w="28" w:type="dxa"/>
                    <w:bottom w:w="0" w:type="dxa"/>
                    <w:right w:w="28" w:type="dxa"/>
                  </w:tcMar>
                  <w:vAlign w:val="center"/>
                </w:tcPr>
                <w:p w14:paraId="2DE530D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4.6</w:t>
                  </w:r>
                </w:p>
              </w:tc>
              <w:tc>
                <w:tcPr>
                  <w:tcW w:w="1397" w:type="dxa"/>
                  <w:tcBorders>
                    <w:tl2br w:val="nil"/>
                    <w:tr2bl w:val="nil"/>
                  </w:tcBorders>
                  <w:noWrap w:val="0"/>
                  <w:tcMar>
                    <w:top w:w="0" w:type="dxa"/>
                    <w:left w:w="28" w:type="dxa"/>
                    <w:bottom w:w="0" w:type="dxa"/>
                    <w:right w:w="28" w:type="dxa"/>
                  </w:tcMar>
                  <w:vAlign w:val="center"/>
                </w:tcPr>
                <w:p w14:paraId="43E2586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9.7</w:t>
                  </w:r>
                </w:p>
              </w:tc>
            </w:tr>
            <w:tr w14:paraId="3F138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3301BD4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26周</w:t>
                  </w:r>
                </w:p>
              </w:tc>
              <w:tc>
                <w:tcPr>
                  <w:tcW w:w="1211" w:type="dxa"/>
                  <w:tcBorders>
                    <w:tl2br w:val="nil"/>
                    <w:tr2bl w:val="nil"/>
                  </w:tcBorders>
                  <w:noWrap w:val="0"/>
                  <w:tcMar>
                    <w:top w:w="0" w:type="dxa"/>
                    <w:left w:w="28" w:type="dxa"/>
                    <w:bottom w:w="0" w:type="dxa"/>
                    <w:right w:w="28" w:type="dxa"/>
                  </w:tcMar>
                  <w:vAlign w:val="center"/>
                </w:tcPr>
                <w:p w14:paraId="1B00A95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41.4</w:t>
                  </w:r>
                </w:p>
              </w:tc>
              <w:tc>
                <w:tcPr>
                  <w:tcW w:w="1329" w:type="dxa"/>
                  <w:tcBorders>
                    <w:tl2br w:val="nil"/>
                    <w:tr2bl w:val="nil"/>
                  </w:tcBorders>
                  <w:noWrap w:val="0"/>
                  <w:tcMar>
                    <w:top w:w="0" w:type="dxa"/>
                    <w:left w:w="28" w:type="dxa"/>
                    <w:bottom w:w="0" w:type="dxa"/>
                    <w:right w:w="28" w:type="dxa"/>
                  </w:tcMar>
                  <w:vAlign w:val="center"/>
                </w:tcPr>
                <w:p w14:paraId="002D02F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0.35</w:t>
                  </w:r>
                </w:p>
              </w:tc>
              <w:tc>
                <w:tcPr>
                  <w:tcW w:w="1329" w:type="dxa"/>
                  <w:tcBorders>
                    <w:tl2br w:val="nil"/>
                    <w:tr2bl w:val="nil"/>
                  </w:tcBorders>
                  <w:noWrap w:val="0"/>
                  <w:tcMar>
                    <w:top w:w="0" w:type="dxa"/>
                    <w:left w:w="28" w:type="dxa"/>
                    <w:bottom w:w="0" w:type="dxa"/>
                    <w:right w:w="28" w:type="dxa"/>
                  </w:tcMar>
                  <w:vAlign w:val="center"/>
                </w:tcPr>
                <w:p w14:paraId="6DDFC78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0.153</w:t>
                  </w:r>
                </w:p>
              </w:tc>
              <w:tc>
                <w:tcPr>
                  <w:tcW w:w="1261" w:type="dxa"/>
                  <w:tcBorders>
                    <w:tl2br w:val="nil"/>
                    <w:tr2bl w:val="nil"/>
                  </w:tcBorders>
                  <w:noWrap w:val="0"/>
                  <w:tcMar>
                    <w:top w:w="0" w:type="dxa"/>
                    <w:left w:w="28" w:type="dxa"/>
                    <w:bottom w:w="0" w:type="dxa"/>
                    <w:right w:w="28" w:type="dxa"/>
                  </w:tcMar>
                  <w:vAlign w:val="center"/>
                </w:tcPr>
                <w:p w14:paraId="4490599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6.08</w:t>
                  </w:r>
                </w:p>
              </w:tc>
              <w:tc>
                <w:tcPr>
                  <w:tcW w:w="1397" w:type="dxa"/>
                  <w:tcBorders>
                    <w:tl2br w:val="nil"/>
                    <w:tr2bl w:val="nil"/>
                  </w:tcBorders>
                  <w:noWrap w:val="0"/>
                  <w:tcMar>
                    <w:top w:w="0" w:type="dxa"/>
                    <w:left w:w="28" w:type="dxa"/>
                    <w:bottom w:w="0" w:type="dxa"/>
                    <w:right w:w="28" w:type="dxa"/>
                  </w:tcMar>
                  <w:vAlign w:val="center"/>
                </w:tcPr>
                <w:p w14:paraId="72FFB4C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11.5</w:t>
                  </w:r>
                </w:p>
              </w:tc>
            </w:tr>
            <w:tr w14:paraId="313D2F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8BA311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27周</w:t>
                  </w:r>
                </w:p>
              </w:tc>
              <w:tc>
                <w:tcPr>
                  <w:tcW w:w="1211" w:type="dxa"/>
                  <w:tcBorders>
                    <w:tl2br w:val="nil"/>
                    <w:tr2bl w:val="nil"/>
                  </w:tcBorders>
                  <w:noWrap w:val="0"/>
                  <w:tcMar>
                    <w:top w:w="0" w:type="dxa"/>
                    <w:left w:w="28" w:type="dxa"/>
                    <w:bottom w:w="0" w:type="dxa"/>
                    <w:right w:w="28" w:type="dxa"/>
                  </w:tcMar>
                  <w:vAlign w:val="center"/>
                </w:tcPr>
                <w:p w14:paraId="2B750A0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50.1</w:t>
                  </w:r>
                </w:p>
              </w:tc>
              <w:tc>
                <w:tcPr>
                  <w:tcW w:w="1329" w:type="dxa"/>
                  <w:tcBorders>
                    <w:tl2br w:val="nil"/>
                    <w:tr2bl w:val="nil"/>
                  </w:tcBorders>
                  <w:noWrap w:val="0"/>
                  <w:tcMar>
                    <w:top w:w="0" w:type="dxa"/>
                    <w:left w:w="28" w:type="dxa"/>
                    <w:bottom w:w="0" w:type="dxa"/>
                    <w:right w:w="28" w:type="dxa"/>
                  </w:tcMar>
                  <w:vAlign w:val="center"/>
                </w:tcPr>
                <w:p w14:paraId="4B5833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1.252</w:t>
                  </w:r>
                </w:p>
              </w:tc>
              <w:tc>
                <w:tcPr>
                  <w:tcW w:w="1329" w:type="dxa"/>
                  <w:tcBorders>
                    <w:tl2br w:val="nil"/>
                    <w:tr2bl w:val="nil"/>
                  </w:tcBorders>
                  <w:noWrap w:val="0"/>
                  <w:tcMar>
                    <w:top w:w="0" w:type="dxa"/>
                    <w:left w:w="28" w:type="dxa"/>
                    <w:bottom w:w="0" w:type="dxa"/>
                    <w:right w:w="28" w:type="dxa"/>
                  </w:tcMar>
                  <w:vAlign w:val="center"/>
                </w:tcPr>
                <w:p w14:paraId="76F8B34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0.37</w:t>
                  </w:r>
                </w:p>
              </w:tc>
              <w:tc>
                <w:tcPr>
                  <w:tcW w:w="1261" w:type="dxa"/>
                  <w:tcBorders>
                    <w:tl2br w:val="nil"/>
                    <w:tr2bl w:val="nil"/>
                  </w:tcBorders>
                  <w:noWrap w:val="0"/>
                  <w:tcMar>
                    <w:top w:w="0" w:type="dxa"/>
                    <w:left w:w="28" w:type="dxa"/>
                    <w:bottom w:w="0" w:type="dxa"/>
                    <w:right w:w="28" w:type="dxa"/>
                  </w:tcMar>
                  <w:vAlign w:val="center"/>
                </w:tcPr>
                <w:p w14:paraId="1551F48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6.29</w:t>
                  </w:r>
                </w:p>
              </w:tc>
              <w:tc>
                <w:tcPr>
                  <w:tcW w:w="1397" w:type="dxa"/>
                  <w:tcBorders>
                    <w:tl2br w:val="nil"/>
                    <w:tr2bl w:val="nil"/>
                  </w:tcBorders>
                  <w:noWrap w:val="0"/>
                  <w:tcMar>
                    <w:top w:w="0" w:type="dxa"/>
                    <w:left w:w="28" w:type="dxa"/>
                    <w:bottom w:w="0" w:type="dxa"/>
                    <w:right w:w="28" w:type="dxa"/>
                  </w:tcMar>
                  <w:vAlign w:val="center"/>
                </w:tcPr>
                <w:p w14:paraId="3846B04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9.4</w:t>
                  </w:r>
                </w:p>
              </w:tc>
            </w:tr>
            <w:tr w14:paraId="2319C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5CFC09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28周</w:t>
                  </w:r>
                </w:p>
              </w:tc>
              <w:tc>
                <w:tcPr>
                  <w:tcW w:w="1211" w:type="dxa"/>
                  <w:tcBorders>
                    <w:tl2br w:val="nil"/>
                    <w:tr2bl w:val="nil"/>
                  </w:tcBorders>
                  <w:noWrap w:val="0"/>
                  <w:tcMar>
                    <w:top w:w="0" w:type="dxa"/>
                    <w:left w:w="28" w:type="dxa"/>
                    <w:bottom w:w="0" w:type="dxa"/>
                    <w:right w:w="28" w:type="dxa"/>
                  </w:tcMar>
                  <w:vAlign w:val="center"/>
                </w:tcPr>
                <w:p w14:paraId="2C2552D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41.4</w:t>
                  </w:r>
                </w:p>
              </w:tc>
              <w:tc>
                <w:tcPr>
                  <w:tcW w:w="1329" w:type="dxa"/>
                  <w:tcBorders>
                    <w:tl2br w:val="nil"/>
                    <w:tr2bl w:val="nil"/>
                  </w:tcBorders>
                  <w:noWrap w:val="0"/>
                  <w:tcMar>
                    <w:top w:w="0" w:type="dxa"/>
                    <w:left w:w="28" w:type="dxa"/>
                    <w:bottom w:w="0" w:type="dxa"/>
                    <w:right w:w="28" w:type="dxa"/>
                  </w:tcMar>
                  <w:vAlign w:val="center"/>
                </w:tcPr>
                <w:p w14:paraId="7E47681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1.471</w:t>
                  </w:r>
                </w:p>
              </w:tc>
              <w:tc>
                <w:tcPr>
                  <w:tcW w:w="1329" w:type="dxa"/>
                  <w:tcBorders>
                    <w:tl2br w:val="nil"/>
                    <w:tr2bl w:val="nil"/>
                  </w:tcBorders>
                  <w:noWrap w:val="0"/>
                  <w:tcMar>
                    <w:top w:w="0" w:type="dxa"/>
                    <w:left w:w="28" w:type="dxa"/>
                    <w:bottom w:w="0" w:type="dxa"/>
                    <w:right w:w="28" w:type="dxa"/>
                  </w:tcMar>
                  <w:vAlign w:val="center"/>
                </w:tcPr>
                <w:p w14:paraId="344522A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0.48</w:t>
                  </w:r>
                </w:p>
              </w:tc>
              <w:tc>
                <w:tcPr>
                  <w:tcW w:w="1261" w:type="dxa"/>
                  <w:tcBorders>
                    <w:tl2br w:val="nil"/>
                    <w:tr2bl w:val="nil"/>
                  </w:tcBorders>
                  <w:noWrap w:val="0"/>
                  <w:tcMar>
                    <w:top w:w="0" w:type="dxa"/>
                    <w:left w:w="28" w:type="dxa"/>
                    <w:bottom w:w="0" w:type="dxa"/>
                    <w:right w:w="28" w:type="dxa"/>
                  </w:tcMar>
                  <w:vAlign w:val="center"/>
                </w:tcPr>
                <w:p w14:paraId="4518B8D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8.88</w:t>
                  </w:r>
                </w:p>
              </w:tc>
              <w:tc>
                <w:tcPr>
                  <w:tcW w:w="1397" w:type="dxa"/>
                  <w:tcBorders>
                    <w:tl2br w:val="nil"/>
                    <w:tr2bl w:val="nil"/>
                  </w:tcBorders>
                  <w:noWrap w:val="0"/>
                  <w:tcMar>
                    <w:top w:w="0" w:type="dxa"/>
                    <w:left w:w="28" w:type="dxa"/>
                    <w:bottom w:w="0" w:type="dxa"/>
                    <w:right w:w="28" w:type="dxa"/>
                  </w:tcMar>
                  <w:vAlign w:val="center"/>
                </w:tcPr>
                <w:p w14:paraId="0B2B1DD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7EFEBB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924BF0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29周</w:t>
                  </w:r>
                </w:p>
              </w:tc>
              <w:tc>
                <w:tcPr>
                  <w:tcW w:w="1211" w:type="dxa"/>
                  <w:tcBorders>
                    <w:tl2br w:val="nil"/>
                    <w:tr2bl w:val="nil"/>
                  </w:tcBorders>
                  <w:noWrap w:val="0"/>
                  <w:tcMar>
                    <w:top w:w="0" w:type="dxa"/>
                    <w:left w:w="28" w:type="dxa"/>
                    <w:bottom w:w="0" w:type="dxa"/>
                    <w:right w:w="28" w:type="dxa"/>
                  </w:tcMar>
                  <w:vAlign w:val="center"/>
                </w:tcPr>
                <w:p w14:paraId="6C27134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37.7</w:t>
                  </w:r>
                </w:p>
              </w:tc>
              <w:tc>
                <w:tcPr>
                  <w:tcW w:w="1329" w:type="dxa"/>
                  <w:tcBorders>
                    <w:tl2br w:val="nil"/>
                    <w:tr2bl w:val="nil"/>
                  </w:tcBorders>
                  <w:noWrap w:val="0"/>
                  <w:tcMar>
                    <w:top w:w="0" w:type="dxa"/>
                    <w:left w:w="28" w:type="dxa"/>
                    <w:bottom w:w="0" w:type="dxa"/>
                    <w:right w:w="28" w:type="dxa"/>
                  </w:tcMar>
                  <w:vAlign w:val="center"/>
                </w:tcPr>
                <w:p w14:paraId="6B2E1AF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1.16</w:t>
                  </w:r>
                </w:p>
              </w:tc>
              <w:tc>
                <w:tcPr>
                  <w:tcW w:w="1329" w:type="dxa"/>
                  <w:tcBorders>
                    <w:tl2br w:val="nil"/>
                    <w:tr2bl w:val="nil"/>
                  </w:tcBorders>
                  <w:noWrap w:val="0"/>
                  <w:tcMar>
                    <w:top w:w="0" w:type="dxa"/>
                    <w:left w:w="28" w:type="dxa"/>
                    <w:bottom w:w="0" w:type="dxa"/>
                    <w:right w:w="28" w:type="dxa"/>
                  </w:tcMar>
                  <w:vAlign w:val="center"/>
                </w:tcPr>
                <w:p w14:paraId="245DF59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0.557</w:t>
                  </w:r>
                </w:p>
              </w:tc>
              <w:tc>
                <w:tcPr>
                  <w:tcW w:w="1261" w:type="dxa"/>
                  <w:tcBorders>
                    <w:tl2br w:val="nil"/>
                    <w:tr2bl w:val="nil"/>
                  </w:tcBorders>
                  <w:noWrap w:val="0"/>
                  <w:tcMar>
                    <w:top w:w="0" w:type="dxa"/>
                    <w:left w:w="28" w:type="dxa"/>
                    <w:bottom w:w="0" w:type="dxa"/>
                    <w:right w:w="28" w:type="dxa"/>
                  </w:tcMar>
                  <w:vAlign w:val="center"/>
                </w:tcPr>
                <w:p w14:paraId="615FA60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9.63</w:t>
                  </w:r>
                </w:p>
              </w:tc>
              <w:tc>
                <w:tcPr>
                  <w:tcW w:w="1397" w:type="dxa"/>
                  <w:tcBorders>
                    <w:tl2br w:val="nil"/>
                    <w:tr2bl w:val="nil"/>
                  </w:tcBorders>
                  <w:noWrap w:val="0"/>
                  <w:tcMar>
                    <w:top w:w="0" w:type="dxa"/>
                    <w:left w:w="28" w:type="dxa"/>
                    <w:bottom w:w="0" w:type="dxa"/>
                    <w:right w:w="28" w:type="dxa"/>
                  </w:tcMar>
                  <w:vAlign w:val="center"/>
                </w:tcPr>
                <w:p w14:paraId="656AB6C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10.0</w:t>
                  </w:r>
                </w:p>
              </w:tc>
            </w:tr>
            <w:tr w14:paraId="233C6B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ADE994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30周</w:t>
                  </w:r>
                </w:p>
              </w:tc>
              <w:tc>
                <w:tcPr>
                  <w:tcW w:w="1211" w:type="dxa"/>
                  <w:tcBorders>
                    <w:tl2br w:val="nil"/>
                    <w:tr2bl w:val="nil"/>
                  </w:tcBorders>
                  <w:noWrap w:val="0"/>
                  <w:tcMar>
                    <w:top w:w="0" w:type="dxa"/>
                    <w:left w:w="28" w:type="dxa"/>
                    <w:bottom w:w="0" w:type="dxa"/>
                    <w:right w:w="28" w:type="dxa"/>
                  </w:tcMar>
                  <w:vAlign w:val="center"/>
                </w:tcPr>
                <w:p w14:paraId="2BCCC31F">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49.2</w:t>
                  </w:r>
                </w:p>
              </w:tc>
              <w:tc>
                <w:tcPr>
                  <w:tcW w:w="1329" w:type="dxa"/>
                  <w:tcBorders>
                    <w:tl2br w:val="nil"/>
                    <w:tr2bl w:val="nil"/>
                  </w:tcBorders>
                  <w:noWrap w:val="0"/>
                  <w:tcMar>
                    <w:top w:w="0" w:type="dxa"/>
                    <w:left w:w="28" w:type="dxa"/>
                    <w:bottom w:w="0" w:type="dxa"/>
                    <w:right w:w="28" w:type="dxa"/>
                  </w:tcMar>
                  <w:vAlign w:val="center"/>
                </w:tcPr>
                <w:p w14:paraId="77043442">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0.75</w:t>
                  </w:r>
                </w:p>
              </w:tc>
              <w:tc>
                <w:tcPr>
                  <w:tcW w:w="1329" w:type="dxa"/>
                  <w:tcBorders>
                    <w:tl2br w:val="nil"/>
                    <w:tr2bl w:val="nil"/>
                  </w:tcBorders>
                  <w:noWrap w:val="0"/>
                  <w:tcMar>
                    <w:top w:w="0" w:type="dxa"/>
                    <w:left w:w="28" w:type="dxa"/>
                    <w:bottom w:w="0" w:type="dxa"/>
                    <w:right w:w="28" w:type="dxa"/>
                  </w:tcMar>
                  <w:vAlign w:val="center"/>
                </w:tcPr>
                <w:p w14:paraId="092B887C">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0.573</w:t>
                  </w:r>
                </w:p>
              </w:tc>
              <w:tc>
                <w:tcPr>
                  <w:tcW w:w="1261" w:type="dxa"/>
                  <w:tcBorders>
                    <w:tl2br w:val="nil"/>
                    <w:tr2bl w:val="nil"/>
                  </w:tcBorders>
                  <w:noWrap w:val="0"/>
                  <w:tcMar>
                    <w:top w:w="0" w:type="dxa"/>
                    <w:left w:w="28" w:type="dxa"/>
                    <w:bottom w:w="0" w:type="dxa"/>
                    <w:right w:w="28" w:type="dxa"/>
                  </w:tcMar>
                  <w:vAlign w:val="center"/>
                </w:tcPr>
                <w:p w14:paraId="5DFDA55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7.68</w:t>
                  </w:r>
                </w:p>
              </w:tc>
              <w:tc>
                <w:tcPr>
                  <w:tcW w:w="1397" w:type="dxa"/>
                  <w:tcBorders>
                    <w:tl2br w:val="nil"/>
                    <w:tr2bl w:val="nil"/>
                  </w:tcBorders>
                  <w:noWrap w:val="0"/>
                  <w:tcMar>
                    <w:top w:w="0" w:type="dxa"/>
                    <w:left w:w="28" w:type="dxa"/>
                    <w:bottom w:w="0" w:type="dxa"/>
                    <w:right w:w="28" w:type="dxa"/>
                  </w:tcMar>
                  <w:vAlign w:val="center"/>
                </w:tcPr>
                <w:p w14:paraId="6B960E9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7.9</w:t>
                  </w:r>
                </w:p>
              </w:tc>
            </w:tr>
            <w:tr w14:paraId="75300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79A6F7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31周</w:t>
                  </w:r>
                </w:p>
              </w:tc>
              <w:tc>
                <w:tcPr>
                  <w:tcW w:w="1211" w:type="dxa"/>
                  <w:tcBorders>
                    <w:tl2br w:val="nil"/>
                    <w:tr2bl w:val="nil"/>
                  </w:tcBorders>
                  <w:noWrap w:val="0"/>
                  <w:tcMar>
                    <w:top w:w="0" w:type="dxa"/>
                    <w:left w:w="28" w:type="dxa"/>
                    <w:bottom w:w="0" w:type="dxa"/>
                    <w:right w:w="28" w:type="dxa"/>
                  </w:tcMar>
                  <w:vAlign w:val="center"/>
                </w:tcPr>
                <w:p w14:paraId="566B62E9">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28.3</w:t>
                  </w:r>
                </w:p>
              </w:tc>
              <w:tc>
                <w:tcPr>
                  <w:tcW w:w="1329" w:type="dxa"/>
                  <w:tcBorders>
                    <w:tl2br w:val="nil"/>
                    <w:tr2bl w:val="nil"/>
                  </w:tcBorders>
                  <w:noWrap w:val="0"/>
                  <w:tcMar>
                    <w:top w:w="0" w:type="dxa"/>
                    <w:left w:w="28" w:type="dxa"/>
                    <w:bottom w:w="0" w:type="dxa"/>
                    <w:right w:w="28" w:type="dxa"/>
                  </w:tcMar>
                  <w:vAlign w:val="center"/>
                </w:tcPr>
                <w:p w14:paraId="260A4E1F">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0.385</w:t>
                  </w:r>
                </w:p>
              </w:tc>
              <w:tc>
                <w:tcPr>
                  <w:tcW w:w="1329" w:type="dxa"/>
                  <w:tcBorders>
                    <w:tl2br w:val="nil"/>
                    <w:tr2bl w:val="nil"/>
                  </w:tcBorders>
                  <w:noWrap w:val="0"/>
                  <w:tcMar>
                    <w:top w:w="0" w:type="dxa"/>
                    <w:left w:w="28" w:type="dxa"/>
                    <w:bottom w:w="0" w:type="dxa"/>
                    <w:right w:w="28" w:type="dxa"/>
                  </w:tcMar>
                  <w:vAlign w:val="center"/>
                </w:tcPr>
                <w:p w14:paraId="7B08D9B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0.357</w:t>
                  </w:r>
                </w:p>
              </w:tc>
              <w:tc>
                <w:tcPr>
                  <w:tcW w:w="1261" w:type="dxa"/>
                  <w:tcBorders>
                    <w:tl2br w:val="nil"/>
                    <w:tr2bl w:val="nil"/>
                  </w:tcBorders>
                  <w:noWrap w:val="0"/>
                  <w:tcMar>
                    <w:top w:w="0" w:type="dxa"/>
                    <w:left w:w="28" w:type="dxa"/>
                    <w:bottom w:w="0" w:type="dxa"/>
                    <w:right w:w="28" w:type="dxa"/>
                  </w:tcMar>
                  <w:vAlign w:val="center"/>
                </w:tcPr>
                <w:p w14:paraId="35CB1C3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8.99</w:t>
                  </w:r>
                </w:p>
              </w:tc>
              <w:tc>
                <w:tcPr>
                  <w:tcW w:w="1397" w:type="dxa"/>
                  <w:tcBorders>
                    <w:tl2br w:val="nil"/>
                    <w:tr2bl w:val="nil"/>
                  </w:tcBorders>
                  <w:noWrap w:val="0"/>
                  <w:tcMar>
                    <w:top w:w="0" w:type="dxa"/>
                    <w:left w:w="28" w:type="dxa"/>
                    <w:bottom w:w="0" w:type="dxa"/>
                    <w:right w:w="28" w:type="dxa"/>
                  </w:tcMar>
                  <w:vAlign w:val="center"/>
                </w:tcPr>
                <w:p w14:paraId="53519C7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7.8</w:t>
                  </w:r>
                </w:p>
              </w:tc>
            </w:tr>
            <w:tr w14:paraId="6BF90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1E9022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32周</w:t>
                  </w:r>
                </w:p>
              </w:tc>
              <w:tc>
                <w:tcPr>
                  <w:tcW w:w="1211" w:type="dxa"/>
                  <w:tcBorders>
                    <w:tl2br w:val="nil"/>
                    <w:tr2bl w:val="nil"/>
                  </w:tcBorders>
                  <w:noWrap w:val="0"/>
                  <w:tcMar>
                    <w:top w:w="0" w:type="dxa"/>
                    <w:left w:w="28" w:type="dxa"/>
                    <w:bottom w:w="0" w:type="dxa"/>
                    <w:right w:w="28" w:type="dxa"/>
                  </w:tcMar>
                  <w:vAlign w:val="center"/>
                </w:tcPr>
                <w:p w14:paraId="0B3A8BE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28.0 </w:t>
                  </w:r>
                </w:p>
              </w:tc>
              <w:tc>
                <w:tcPr>
                  <w:tcW w:w="1329" w:type="dxa"/>
                  <w:tcBorders>
                    <w:tl2br w:val="nil"/>
                    <w:tr2bl w:val="nil"/>
                  </w:tcBorders>
                  <w:noWrap w:val="0"/>
                  <w:tcMar>
                    <w:top w:w="0" w:type="dxa"/>
                    <w:left w:w="28" w:type="dxa"/>
                    <w:bottom w:w="0" w:type="dxa"/>
                    <w:right w:w="28" w:type="dxa"/>
                  </w:tcMar>
                  <w:vAlign w:val="center"/>
                </w:tcPr>
                <w:p w14:paraId="04CB91C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0.775</w:t>
                  </w:r>
                </w:p>
              </w:tc>
              <w:tc>
                <w:tcPr>
                  <w:tcW w:w="1329" w:type="dxa"/>
                  <w:tcBorders>
                    <w:tl2br w:val="nil"/>
                    <w:tr2bl w:val="nil"/>
                  </w:tcBorders>
                  <w:noWrap w:val="0"/>
                  <w:tcMar>
                    <w:top w:w="0" w:type="dxa"/>
                    <w:left w:w="28" w:type="dxa"/>
                    <w:bottom w:w="0" w:type="dxa"/>
                    <w:right w:w="28" w:type="dxa"/>
                  </w:tcMar>
                  <w:vAlign w:val="center"/>
                </w:tcPr>
                <w:p w14:paraId="7D6A38E5">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0.411</w:t>
                  </w:r>
                </w:p>
              </w:tc>
              <w:tc>
                <w:tcPr>
                  <w:tcW w:w="1261" w:type="dxa"/>
                  <w:tcBorders>
                    <w:tl2br w:val="nil"/>
                    <w:tr2bl w:val="nil"/>
                  </w:tcBorders>
                  <w:noWrap w:val="0"/>
                  <w:tcMar>
                    <w:top w:w="0" w:type="dxa"/>
                    <w:left w:w="28" w:type="dxa"/>
                    <w:bottom w:w="0" w:type="dxa"/>
                    <w:right w:w="28" w:type="dxa"/>
                  </w:tcMar>
                  <w:vAlign w:val="center"/>
                </w:tcPr>
                <w:p w14:paraId="73CC4A0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w:t>
                  </w:r>
                </w:p>
              </w:tc>
              <w:tc>
                <w:tcPr>
                  <w:tcW w:w="1397" w:type="dxa"/>
                  <w:tcBorders>
                    <w:tl2br w:val="nil"/>
                    <w:tr2bl w:val="nil"/>
                  </w:tcBorders>
                  <w:noWrap w:val="0"/>
                  <w:tcMar>
                    <w:top w:w="0" w:type="dxa"/>
                    <w:left w:w="28" w:type="dxa"/>
                    <w:bottom w:w="0" w:type="dxa"/>
                    <w:right w:w="28" w:type="dxa"/>
                  </w:tcMar>
                  <w:vAlign w:val="center"/>
                </w:tcPr>
                <w:p w14:paraId="2AEA54E7">
                  <w:pPr>
                    <w:pStyle w:val="78"/>
                    <w:keepNext w:val="0"/>
                    <w:keepLines w:val="0"/>
                    <w:suppressLineNumbers w:val="0"/>
                    <w:tabs>
                      <w:tab w:val="right" w:leader="dot" w:pos="8296"/>
                    </w:tabs>
                    <w:bidi w:val="0"/>
                    <w:spacing w:before="0" w:beforeAutospacing="0" w:after="0" w:afterAutospacing="0"/>
                    <w:ind w:right="0"/>
                    <w:rPr>
                      <w:rFonts w:hint="eastAsia"/>
                      <w:color w:val="auto"/>
                      <w:lang w:eastAsia="zh-CN"/>
                    </w:rPr>
                  </w:pPr>
                  <w:r>
                    <w:rPr>
                      <w:rFonts w:hint="default"/>
                      <w:color w:val="auto"/>
                    </w:rPr>
                    <w:t>8.</w:t>
                  </w:r>
                  <w:r>
                    <w:rPr>
                      <w:rFonts w:hint="eastAsia"/>
                      <w:color w:val="auto"/>
                      <w:lang w:val="en-US" w:eastAsia="zh-CN"/>
                    </w:rPr>
                    <w:t>0</w:t>
                  </w:r>
                </w:p>
              </w:tc>
            </w:tr>
            <w:tr w14:paraId="37529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A88927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33周</w:t>
                  </w:r>
                </w:p>
              </w:tc>
              <w:tc>
                <w:tcPr>
                  <w:tcW w:w="1211" w:type="dxa"/>
                  <w:tcBorders>
                    <w:tl2br w:val="nil"/>
                    <w:tr2bl w:val="nil"/>
                  </w:tcBorders>
                  <w:noWrap w:val="0"/>
                  <w:tcMar>
                    <w:top w:w="0" w:type="dxa"/>
                    <w:left w:w="28" w:type="dxa"/>
                    <w:bottom w:w="0" w:type="dxa"/>
                    <w:right w:w="28" w:type="dxa"/>
                  </w:tcMar>
                  <w:vAlign w:val="center"/>
                </w:tcPr>
                <w:p w14:paraId="3CE69E34">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16.9 </w:t>
                  </w:r>
                </w:p>
              </w:tc>
              <w:tc>
                <w:tcPr>
                  <w:tcW w:w="1329" w:type="dxa"/>
                  <w:tcBorders>
                    <w:tl2br w:val="nil"/>
                    <w:tr2bl w:val="nil"/>
                  </w:tcBorders>
                  <w:noWrap w:val="0"/>
                  <w:tcMar>
                    <w:top w:w="0" w:type="dxa"/>
                    <w:left w:w="28" w:type="dxa"/>
                    <w:bottom w:w="0" w:type="dxa"/>
                    <w:right w:w="28" w:type="dxa"/>
                  </w:tcMar>
                  <w:vAlign w:val="center"/>
                </w:tcPr>
                <w:p w14:paraId="6D4C7E2C">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1.934</w:t>
                  </w:r>
                </w:p>
              </w:tc>
              <w:tc>
                <w:tcPr>
                  <w:tcW w:w="1329" w:type="dxa"/>
                  <w:tcBorders>
                    <w:tl2br w:val="nil"/>
                    <w:tr2bl w:val="nil"/>
                  </w:tcBorders>
                  <w:noWrap w:val="0"/>
                  <w:tcMar>
                    <w:top w:w="0" w:type="dxa"/>
                    <w:left w:w="28" w:type="dxa"/>
                    <w:bottom w:w="0" w:type="dxa"/>
                    <w:right w:w="28" w:type="dxa"/>
                  </w:tcMar>
                  <w:vAlign w:val="center"/>
                </w:tcPr>
                <w:p w14:paraId="406BCDC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0.456</w:t>
                  </w:r>
                </w:p>
              </w:tc>
              <w:tc>
                <w:tcPr>
                  <w:tcW w:w="1261" w:type="dxa"/>
                  <w:tcBorders>
                    <w:tl2br w:val="nil"/>
                    <w:tr2bl w:val="nil"/>
                  </w:tcBorders>
                  <w:noWrap w:val="0"/>
                  <w:tcMar>
                    <w:top w:w="0" w:type="dxa"/>
                    <w:left w:w="28" w:type="dxa"/>
                    <w:bottom w:w="0" w:type="dxa"/>
                    <w:right w:w="28" w:type="dxa"/>
                  </w:tcMar>
                  <w:vAlign w:val="center"/>
                </w:tcPr>
                <w:p w14:paraId="4C2428E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11.9</w:t>
                  </w:r>
                </w:p>
              </w:tc>
              <w:tc>
                <w:tcPr>
                  <w:tcW w:w="1397" w:type="dxa"/>
                  <w:tcBorders>
                    <w:tl2br w:val="nil"/>
                    <w:tr2bl w:val="nil"/>
                  </w:tcBorders>
                  <w:noWrap w:val="0"/>
                  <w:tcMar>
                    <w:top w:w="0" w:type="dxa"/>
                    <w:left w:w="28" w:type="dxa"/>
                    <w:bottom w:w="0" w:type="dxa"/>
                    <w:right w:w="28" w:type="dxa"/>
                  </w:tcMar>
                  <w:vAlign w:val="center"/>
                </w:tcPr>
                <w:p w14:paraId="27D46D9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8.2</w:t>
                  </w:r>
                </w:p>
              </w:tc>
            </w:tr>
            <w:tr w14:paraId="51E51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75DC41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34周</w:t>
                  </w:r>
                </w:p>
              </w:tc>
              <w:tc>
                <w:tcPr>
                  <w:tcW w:w="1211" w:type="dxa"/>
                  <w:tcBorders>
                    <w:tl2br w:val="nil"/>
                    <w:tr2bl w:val="nil"/>
                  </w:tcBorders>
                  <w:noWrap w:val="0"/>
                  <w:tcMar>
                    <w:top w:w="0" w:type="dxa"/>
                    <w:left w:w="28" w:type="dxa"/>
                    <w:bottom w:w="0" w:type="dxa"/>
                    <w:right w:w="28" w:type="dxa"/>
                  </w:tcMar>
                  <w:vAlign w:val="center"/>
                </w:tcPr>
                <w:p w14:paraId="65005A51">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31.8 </w:t>
                  </w:r>
                </w:p>
              </w:tc>
              <w:tc>
                <w:tcPr>
                  <w:tcW w:w="1329" w:type="dxa"/>
                  <w:tcBorders>
                    <w:tl2br w:val="nil"/>
                    <w:tr2bl w:val="nil"/>
                  </w:tcBorders>
                  <w:noWrap w:val="0"/>
                  <w:tcMar>
                    <w:top w:w="0" w:type="dxa"/>
                    <w:left w:w="28" w:type="dxa"/>
                    <w:bottom w:w="0" w:type="dxa"/>
                    <w:right w:w="28" w:type="dxa"/>
                  </w:tcMar>
                  <w:vAlign w:val="center"/>
                </w:tcPr>
                <w:p w14:paraId="3E66A352">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1.390 </w:t>
                  </w:r>
                </w:p>
              </w:tc>
              <w:tc>
                <w:tcPr>
                  <w:tcW w:w="1329" w:type="dxa"/>
                  <w:tcBorders>
                    <w:tl2br w:val="nil"/>
                    <w:tr2bl w:val="nil"/>
                  </w:tcBorders>
                  <w:noWrap w:val="0"/>
                  <w:tcMar>
                    <w:top w:w="0" w:type="dxa"/>
                    <w:left w:w="28" w:type="dxa"/>
                    <w:bottom w:w="0" w:type="dxa"/>
                    <w:right w:w="28" w:type="dxa"/>
                  </w:tcMar>
                  <w:vAlign w:val="center"/>
                </w:tcPr>
                <w:p w14:paraId="15C48C2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0.549</w:t>
                  </w:r>
                </w:p>
              </w:tc>
              <w:tc>
                <w:tcPr>
                  <w:tcW w:w="1261" w:type="dxa"/>
                  <w:tcBorders>
                    <w:tl2br w:val="nil"/>
                    <w:tr2bl w:val="nil"/>
                  </w:tcBorders>
                  <w:noWrap w:val="0"/>
                  <w:tcMar>
                    <w:top w:w="0" w:type="dxa"/>
                    <w:left w:w="28" w:type="dxa"/>
                    <w:bottom w:w="0" w:type="dxa"/>
                    <w:right w:w="28" w:type="dxa"/>
                  </w:tcMar>
                  <w:vAlign w:val="center"/>
                </w:tcPr>
                <w:p w14:paraId="392844E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11.6</w:t>
                  </w:r>
                </w:p>
              </w:tc>
              <w:tc>
                <w:tcPr>
                  <w:tcW w:w="1397" w:type="dxa"/>
                  <w:tcBorders>
                    <w:tl2br w:val="nil"/>
                    <w:tr2bl w:val="nil"/>
                  </w:tcBorders>
                  <w:noWrap w:val="0"/>
                  <w:tcMar>
                    <w:top w:w="0" w:type="dxa"/>
                    <w:left w:w="28" w:type="dxa"/>
                    <w:bottom w:w="0" w:type="dxa"/>
                    <w:right w:w="28" w:type="dxa"/>
                  </w:tcMar>
                  <w:vAlign w:val="center"/>
                </w:tcPr>
                <w:p w14:paraId="18F9775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9.7</w:t>
                  </w:r>
                </w:p>
              </w:tc>
            </w:tr>
            <w:tr w14:paraId="1AD6D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6775BE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35周</w:t>
                  </w:r>
                </w:p>
              </w:tc>
              <w:tc>
                <w:tcPr>
                  <w:tcW w:w="1211" w:type="dxa"/>
                  <w:tcBorders>
                    <w:tl2br w:val="nil"/>
                    <w:tr2bl w:val="nil"/>
                  </w:tcBorders>
                  <w:noWrap w:val="0"/>
                  <w:tcMar>
                    <w:top w:w="0" w:type="dxa"/>
                    <w:left w:w="28" w:type="dxa"/>
                    <w:bottom w:w="0" w:type="dxa"/>
                    <w:right w:w="28" w:type="dxa"/>
                  </w:tcMar>
                  <w:vAlign w:val="center"/>
                </w:tcPr>
                <w:p w14:paraId="65A5BEBC">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32.0 </w:t>
                  </w:r>
                </w:p>
              </w:tc>
              <w:tc>
                <w:tcPr>
                  <w:tcW w:w="1329" w:type="dxa"/>
                  <w:tcBorders>
                    <w:tl2br w:val="nil"/>
                    <w:tr2bl w:val="nil"/>
                  </w:tcBorders>
                  <w:noWrap w:val="0"/>
                  <w:tcMar>
                    <w:top w:w="0" w:type="dxa"/>
                    <w:left w:w="28" w:type="dxa"/>
                    <w:bottom w:w="0" w:type="dxa"/>
                    <w:right w:w="28" w:type="dxa"/>
                  </w:tcMar>
                  <w:vAlign w:val="center"/>
                </w:tcPr>
                <w:p w14:paraId="67BCFE3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1.160 </w:t>
                  </w:r>
                </w:p>
              </w:tc>
              <w:tc>
                <w:tcPr>
                  <w:tcW w:w="1329" w:type="dxa"/>
                  <w:tcBorders>
                    <w:tl2br w:val="nil"/>
                    <w:tr2bl w:val="nil"/>
                  </w:tcBorders>
                  <w:noWrap w:val="0"/>
                  <w:tcMar>
                    <w:top w:w="0" w:type="dxa"/>
                    <w:left w:w="28" w:type="dxa"/>
                    <w:bottom w:w="0" w:type="dxa"/>
                    <w:right w:w="28" w:type="dxa"/>
                  </w:tcMar>
                  <w:vAlign w:val="center"/>
                </w:tcPr>
                <w:p w14:paraId="7E49AA44">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0.551</w:t>
                  </w:r>
                </w:p>
              </w:tc>
              <w:tc>
                <w:tcPr>
                  <w:tcW w:w="1261" w:type="dxa"/>
                  <w:tcBorders>
                    <w:tl2br w:val="nil"/>
                    <w:tr2bl w:val="nil"/>
                  </w:tcBorders>
                  <w:noWrap w:val="0"/>
                  <w:tcMar>
                    <w:top w:w="0" w:type="dxa"/>
                    <w:left w:w="28" w:type="dxa"/>
                    <w:bottom w:w="0" w:type="dxa"/>
                    <w:right w:w="28" w:type="dxa"/>
                  </w:tcMar>
                  <w:vAlign w:val="center"/>
                </w:tcPr>
                <w:p w14:paraId="721C461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10.5</w:t>
                  </w:r>
                </w:p>
              </w:tc>
              <w:tc>
                <w:tcPr>
                  <w:tcW w:w="1397" w:type="dxa"/>
                  <w:tcBorders>
                    <w:tl2br w:val="nil"/>
                    <w:tr2bl w:val="nil"/>
                  </w:tcBorders>
                  <w:noWrap w:val="0"/>
                  <w:tcMar>
                    <w:top w:w="0" w:type="dxa"/>
                    <w:left w:w="28" w:type="dxa"/>
                    <w:bottom w:w="0" w:type="dxa"/>
                    <w:right w:w="28" w:type="dxa"/>
                  </w:tcMar>
                  <w:vAlign w:val="center"/>
                </w:tcPr>
                <w:p w14:paraId="59CB6B0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8.3</w:t>
                  </w:r>
                </w:p>
              </w:tc>
            </w:tr>
            <w:tr w14:paraId="24FACC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28A2B7A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36周</w:t>
                  </w:r>
                </w:p>
              </w:tc>
              <w:tc>
                <w:tcPr>
                  <w:tcW w:w="1211" w:type="dxa"/>
                  <w:tcBorders>
                    <w:tl2br w:val="nil"/>
                    <w:tr2bl w:val="nil"/>
                  </w:tcBorders>
                  <w:noWrap w:val="0"/>
                  <w:tcMar>
                    <w:top w:w="0" w:type="dxa"/>
                    <w:left w:w="28" w:type="dxa"/>
                    <w:bottom w:w="0" w:type="dxa"/>
                    <w:right w:w="28" w:type="dxa"/>
                  </w:tcMar>
                  <w:vAlign w:val="center"/>
                </w:tcPr>
                <w:p w14:paraId="4382F5A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28.1 </w:t>
                  </w:r>
                </w:p>
              </w:tc>
              <w:tc>
                <w:tcPr>
                  <w:tcW w:w="1329" w:type="dxa"/>
                  <w:tcBorders>
                    <w:tl2br w:val="nil"/>
                    <w:tr2bl w:val="nil"/>
                  </w:tcBorders>
                  <w:noWrap w:val="0"/>
                  <w:tcMar>
                    <w:top w:w="0" w:type="dxa"/>
                    <w:left w:w="28" w:type="dxa"/>
                    <w:bottom w:w="0" w:type="dxa"/>
                    <w:right w:w="28" w:type="dxa"/>
                  </w:tcMar>
                  <w:vAlign w:val="center"/>
                </w:tcPr>
                <w:p w14:paraId="12317B9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0.288 </w:t>
                  </w:r>
                </w:p>
              </w:tc>
              <w:tc>
                <w:tcPr>
                  <w:tcW w:w="1329" w:type="dxa"/>
                  <w:tcBorders>
                    <w:tl2br w:val="nil"/>
                    <w:tr2bl w:val="nil"/>
                  </w:tcBorders>
                  <w:noWrap w:val="0"/>
                  <w:tcMar>
                    <w:top w:w="0" w:type="dxa"/>
                    <w:left w:w="28" w:type="dxa"/>
                    <w:bottom w:w="0" w:type="dxa"/>
                    <w:right w:w="28" w:type="dxa"/>
                  </w:tcMar>
                  <w:vAlign w:val="center"/>
                </w:tcPr>
                <w:p w14:paraId="72C87A6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0.407</w:t>
                  </w:r>
                </w:p>
              </w:tc>
              <w:tc>
                <w:tcPr>
                  <w:tcW w:w="1261" w:type="dxa"/>
                  <w:tcBorders>
                    <w:tl2br w:val="nil"/>
                    <w:tr2bl w:val="nil"/>
                  </w:tcBorders>
                  <w:noWrap w:val="0"/>
                  <w:tcMar>
                    <w:top w:w="0" w:type="dxa"/>
                    <w:left w:w="28" w:type="dxa"/>
                    <w:bottom w:w="0" w:type="dxa"/>
                    <w:right w:w="28" w:type="dxa"/>
                  </w:tcMar>
                  <w:vAlign w:val="center"/>
                </w:tcPr>
                <w:p w14:paraId="1F2FED3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10.2</w:t>
                  </w:r>
                </w:p>
              </w:tc>
              <w:tc>
                <w:tcPr>
                  <w:tcW w:w="1397" w:type="dxa"/>
                  <w:tcBorders>
                    <w:tl2br w:val="nil"/>
                    <w:tr2bl w:val="nil"/>
                  </w:tcBorders>
                  <w:noWrap w:val="0"/>
                  <w:tcMar>
                    <w:top w:w="0" w:type="dxa"/>
                    <w:left w:w="28" w:type="dxa"/>
                    <w:bottom w:w="0" w:type="dxa"/>
                    <w:right w:w="28" w:type="dxa"/>
                  </w:tcMar>
                  <w:vAlign w:val="center"/>
                </w:tcPr>
                <w:p w14:paraId="1E5B6C9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7.2</w:t>
                  </w:r>
                </w:p>
              </w:tc>
            </w:tr>
            <w:tr w14:paraId="77E37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9CC3ED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37周</w:t>
                  </w:r>
                </w:p>
              </w:tc>
              <w:tc>
                <w:tcPr>
                  <w:tcW w:w="1211" w:type="dxa"/>
                  <w:tcBorders>
                    <w:tl2br w:val="nil"/>
                    <w:tr2bl w:val="nil"/>
                  </w:tcBorders>
                  <w:noWrap w:val="0"/>
                  <w:tcMar>
                    <w:top w:w="0" w:type="dxa"/>
                    <w:left w:w="28" w:type="dxa"/>
                    <w:bottom w:w="0" w:type="dxa"/>
                    <w:right w:w="28" w:type="dxa"/>
                  </w:tcMar>
                  <w:vAlign w:val="center"/>
                </w:tcPr>
                <w:p w14:paraId="79F53255">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30.0 </w:t>
                  </w:r>
                </w:p>
              </w:tc>
              <w:tc>
                <w:tcPr>
                  <w:tcW w:w="1329" w:type="dxa"/>
                  <w:tcBorders>
                    <w:tl2br w:val="nil"/>
                    <w:tr2bl w:val="nil"/>
                  </w:tcBorders>
                  <w:noWrap w:val="0"/>
                  <w:tcMar>
                    <w:top w:w="0" w:type="dxa"/>
                    <w:left w:w="28" w:type="dxa"/>
                    <w:bottom w:w="0" w:type="dxa"/>
                    <w:right w:w="28" w:type="dxa"/>
                  </w:tcMar>
                  <w:vAlign w:val="center"/>
                </w:tcPr>
                <w:p w14:paraId="188483B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1.899 </w:t>
                  </w:r>
                </w:p>
              </w:tc>
              <w:tc>
                <w:tcPr>
                  <w:tcW w:w="1329" w:type="dxa"/>
                  <w:tcBorders>
                    <w:tl2br w:val="nil"/>
                    <w:tr2bl w:val="nil"/>
                  </w:tcBorders>
                  <w:noWrap w:val="0"/>
                  <w:tcMar>
                    <w:top w:w="0" w:type="dxa"/>
                    <w:left w:w="28" w:type="dxa"/>
                    <w:bottom w:w="0" w:type="dxa"/>
                    <w:right w:w="28" w:type="dxa"/>
                  </w:tcMar>
                  <w:vAlign w:val="center"/>
                </w:tcPr>
                <w:p w14:paraId="14B38BA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0.596</w:t>
                  </w:r>
                </w:p>
              </w:tc>
              <w:tc>
                <w:tcPr>
                  <w:tcW w:w="1261" w:type="dxa"/>
                  <w:tcBorders>
                    <w:tl2br w:val="nil"/>
                    <w:tr2bl w:val="nil"/>
                  </w:tcBorders>
                  <w:noWrap w:val="0"/>
                  <w:tcMar>
                    <w:top w:w="0" w:type="dxa"/>
                    <w:left w:w="28" w:type="dxa"/>
                    <w:bottom w:w="0" w:type="dxa"/>
                    <w:right w:w="28" w:type="dxa"/>
                  </w:tcMar>
                  <w:vAlign w:val="center"/>
                </w:tcPr>
                <w:p w14:paraId="7CA2319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10.9</w:t>
                  </w:r>
                </w:p>
              </w:tc>
              <w:tc>
                <w:tcPr>
                  <w:tcW w:w="1397" w:type="dxa"/>
                  <w:tcBorders>
                    <w:tl2br w:val="nil"/>
                    <w:tr2bl w:val="nil"/>
                  </w:tcBorders>
                  <w:noWrap w:val="0"/>
                  <w:tcMar>
                    <w:top w:w="0" w:type="dxa"/>
                    <w:left w:w="28" w:type="dxa"/>
                    <w:bottom w:w="0" w:type="dxa"/>
                    <w:right w:w="28" w:type="dxa"/>
                  </w:tcMar>
                  <w:vAlign w:val="center"/>
                </w:tcPr>
                <w:p w14:paraId="7D19C1F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9.6</w:t>
                  </w:r>
                </w:p>
              </w:tc>
            </w:tr>
            <w:tr w14:paraId="5F650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52A2B6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38周</w:t>
                  </w:r>
                </w:p>
              </w:tc>
              <w:tc>
                <w:tcPr>
                  <w:tcW w:w="1211" w:type="dxa"/>
                  <w:tcBorders>
                    <w:tl2br w:val="nil"/>
                    <w:tr2bl w:val="nil"/>
                  </w:tcBorders>
                  <w:noWrap w:val="0"/>
                  <w:tcMar>
                    <w:top w:w="0" w:type="dxa"/>
                    <w:left w:w="28" w:type="dxa"/>
                    <w:bottom w:w="0" w:type="dxa"/>
                    <w:right w:w="28" w:type="dxa"/>
                  </w:tcMar>
                  <w:vAlign w:val="center"/>
                </w:tcPr>
                <w:p w14:paraId="33ECCB8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140221D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329" w:type="dxa"/>
                  <w:tcBorders>
                    <w:tl2br w:val="nil"/>
                    <w:tr2bl w:val="nil"/>
                  </w:tcBorders>
                  <w:noWrap w:val="0"/>
                  <w:tcMar>
                    <w:top w:w="0" w:type="dxa"/>
                    <w:left w:w="28" w:type="dxa"/>
                    <w:bottom w:w="0" w:type="dxa"/>
                    <w:right w:w="28" w:type="dxa"/>
                  </w:tcMar>
                  <w:vAlign w:val="center"/>
                </w:tcPr>
                <w:p w14:paraId="67810DA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c>
                <w:tcPr>
                  <w:tcW w:w="1261" w:type="dxa"/>
                  <w:tcBorders>
                    <w:tl2br w:val="nil"/>
                    <w:tr2bl w:val="nil"/>
                  </w:tcBorders>
                  <w:noWrap w:val="0"/>
                  <w:tcMar>
                    <w:top w:w="0" w:type="dxa"/>
                    <w:left w:w="28" w:type="dxa"/>
                    <w:bottom w:w="0" w:type="dxa"/>
                    <w:right w:w="28" w:type="dxa"/>
                  </w:tcMar>
                  <w:vAlign w:val="center"/>
                </w:tcPr>
                <w:p w14:paraId="50E0CB6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w:t>
                  </w:r>
                </w:p>
              </w:tc>
              <w:tc>
                <w:tcPr>
                  <w:tcW w:w="1397" w:type="dxa"/>
                  <w:tcBorders>
                    <w:tl2br w:val="nil"/>
                    <w:tr2bl w:val="nil"/>
                  </w:tcBorders>
                  <w:noWrap w:val="0"/>
                  <w:tcMar>
                    <w:top w:w="0" w:type="dxa"/>
                    <w:left w:w="28" w:type="dxa"/>
                    <w:bottom w:w="0" w:type="dxa"/>
                    <w:right w:w="28" w:type="dxa"/>
                  </w:tcMar>
                  <w:vAlign w:val="center"/>
                </w:tcPr>
                <w:p w14:paraId="1A9B094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w:t>
                  </w:r>
                </w:p>
              </w:tc>
            </w:tr>
            <w:tr w14:paraId="6413AC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ADA48D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39周</w:t>
                  </w:r>
                </w:p>
              </w:tc>
              <w:tc>
                <w:tcPr>
                  <w:tcW w:w="1211" w:type="dxa"/>
                  <w:tcBorders>
                    <w:tl2br w:val="nil"/>
                    <w:tr2bl w:val="nil"/>
                  </w:tcBorders>
                  <w:noWrap w:val="0"/>
                  <w:tcMar>
                    <w:top w:w="0" w:type="dxa"/>
                    <w:left w:w="28" w:type="dxa"/>
                    <w:bottom w:w="0" w:type="dxa"/>
                    <w:right w:w="28" w:type="dxa"/>
                  </w:tcMar>
                  <w:vAlign w:val="center"/>
                </w:tcPr>
                <w:p w14:paraId="7FE74D6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27.8 </w:t>
                  </w:r>
                </w:p>
              </w:tc>
              <w:tc>
                <w:tcPr>
                  <w:tcW w:w="1329" w:type="dxa"/>
                  <w:tcBorders>
                    <w:tl2br w:val="nil"/>
                    <w:tr2bl w:val="nil"/>
                  </w:tcBorders>
                  <w:noWrap w:val="0"/>
                  <w:tcMar>
                    <w:top w:w="0" w:type="dxa"/>
                    <w:left w:w="28" w:type="dxa"/>
                    <w:bottom w:w="0" w:type="dxa"/>
                    <w:right w:w="28" w:type="dxa"/>
                  </w:tcMar>
                  <w:vAlign w:val="center"/>
                </w:tcPr>
                <w:p w14:paraId="1281B0B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0.790 </w:t>
                  </w:r>
                </w:p>
              </w:tc>
              <w:tc>
                <w:tcPr>
                  <w:tcW w:w="1329" w:type="dxa"/>
                  <w:tcBorders>
                    <w:tl2br w:val="nil"/>
                    <w:tr2bl w:val="nil"/>
                  </w:tcBorders>
                  <w:noWrap w:val="0"/>
                  <w:tcMar>
                    <w:top w:w="0" w:type="dxa"/>
                    <w:left w:w="28" w:type="dxa"/>
                    <w:bottom w:w="0" w:type="dxa"/>
                    <w:right w:w="28" w:type="dxa"/>
                  </w:tcMar>
                  <w:vAlign w:val="center"/>
                </w:tcPr>
                <w:p w14:paraId="401EA3E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0.352</w:t>
                  </w:r>
                </w:p>
              </w:tc>
              <w:tc>
                <w:tcPr>
                  <w:tcW w:w="1261" w:type="dxa"/>
                  <w:tcBorders>
                    <w:tl2br w:val="nil"/>
                    <w:tr2bl w:val="nil"/>
                  </w:tcBorders>
                  <w:noWrap w:val="0"/>
                  <w:tcMar>
                    <w:top w:w="0" w:type="dxa"/>
                    <w:left w:w="28" w:type="dxa"/>
                    <w:bottom w:w="0" w:type="dxa"/>
                    <w:right w:w="28" w:type="dxa"/>
                  </w:tcMar>
                  <w:vAlign w:val="center"/>
                </w:tcPr>
                <w:p w14:paraId="0ABDA878">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8.60</w:t>
                  </w:r>
                </w:p>
              </w:tc>
              <w:tc>
                <w:tcPr>
                  <w:tcW w:w="1397" w:type="dxa"/>
                  <w:tcBorders>
                    <w:tl2br w:val="nil"/>
                    <w:tr2bl w:val="nil"/>
                  </w:tcBorders>
                  <w:noWrap w:val="0"/>
                  <w:tcMar>
                    <w:top w:w="0" w:type="dxa"/>
                    <w:left w:w="28" w:type="dxa"/>
                    <w:bottom w:w="0" w:type="dxa"/>
                    <w:right w:w="28" w:type="dxa"/>
                  </w:tcMar>
                  <w:vAlign w:val="center"/>
                </w:tcPr>
                <w:p w14:paraId="51FFD63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10.1</w:t>
                  </w:r>
                </w:p>
              </w:tc>
            </w:tr>
            <w:tr w14:paraId="148A5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93F567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40周</w:t>
                  </w:r>
                </w:p>
              </w:tc>
              <w:tc>
                <w:tcPr>
                  <w:tcW w:w="1211" w:type="dxa"/>
                  <w:tcBorders>
                    <w:tl2br w:val="nil"/>
                    <w:tr2bl w:val="nil"/>
                  </w:tcBorders>
                  <w:noWrap w:val="0"/>
                  <w:tcMar>
                    <w:top w:w="0" w:type="dxa"/>
                    <w:left w:w="28" w:type="dxa"/>
                    <w:bottom w:w="0" w:type="dxa"/>
                    <w:right w:w="28" w:type="dxa"/>
                  </w:tcMar>
                  <w:vAlign w:val="center"/>
                </w:tcPr>
                <w:p w14:paraId="508E026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22.4 </w:t>
                  </w:r>
                </w:p>
              </w:tc>
              <w:tc>
                <w:tcPr>
                  <w:tcW w:w="1329" w:type="dxa"/>
                  <w:tcBorders>
                    <w:tl2br w:val="nil"/>
                    <w:tr2bl w:val="nil"/>
                  </w:tcBorders>
                  <w:noWrap w:val="0"/>
                  <w:tcMar>
                    <w:top w:w="0" w:type="dxa"/>
                    <w:left w:w="28" w:type="dxa"/>
                    <w:bottom w:w="0" w:type="dxa"/>
                    <w:right w:w="28" w:type="dxa"/>
                  </w:tcMar>
                  <w:vAlign w:val="center"/>
                </w:tcPr>
                <w:p w14:paraId="0A0DE7D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1.687 </w:t>
                  </w:r>
                </w:p>
              </w:tc>
              <w:tc>
                <w:tcPr>
                  <w:tcW w:w="1329" w:type="dxa"/>
                  <w:tcBorders>
                    <w:tl2br w:val="nil"/>
                    <w:tr2bl w:val="nil"/>
                  </w:tcBorders>
                  <w:noWrap w:val="0"/>
                  <w:tcMar>
                    <w:top w:w="0" w:type="dxa"/>
                    <w:left w:w="28" w:type="dxa"/>
                    <w:bottom w:w="0" w:type="dxa"/>
                    <w:right w:w="28" w:type="dxa"/>
                  </w:tcMar>
                  <w:vAlign w:val="center"/>
                </w:tcPr>
                <w:p w14:paraId="31F204B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0.365</w:t>
                  </w:r>
                </w:p>
              </w:tc>
              <w:tc>
                <w:tcPr>
                  <w:tcW w:w="1261" w:type="dxa"/>
                  <w:tcBorders>
                    <w:tl2br w:val="nil"/>
                    <w:tr2bl w:val="nil"/>
                  </w:tcBorders>
                  <w:noWrap w:val="0"/>
                  <w:tcMar>
                    <w:top w:w="0" w:type="dxa"/>
                    <w:left w:w="28" w:type="dxa"/>
                    <w:bottom w:w="0" w:type="dxa"/>
                    <w:right w:w="28" w:type="dxa"/>
                  </w:tcMar>
                  <w:vAlign w:val="center"/>
                </w:tcPr>
                <w:p w14:paraId="5C8CF5F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8.66</w:t>
                  </w:r>
                </w:p>
              </w:tc>
              <w:tc>
                <w:tcPr>
                  <w:tcW w:w="1397" w:type="dxa"/>
                  <w:tcBorders>
                    <w:tl2br w:val="nil"/>
                    <w:tr2bl w:val="nil"/>
                  </w:tcBorders>
                  <w:noWrap w:val="0"/>
                  <w:tcMar>
                    <w:top w:w="0" w:type="dxa"/>
                    <w:left w:w="28" w:type="dxa"/>
                    <w:bottom w:w="0" w:type="dxa"/>
                    <w:right w:w="28" w:type="dxa"/>
                  </w:tcMar>
                  <w:vAlign w:val="center"/>
                </w:tcPr>
                <w:p w14:paraId="45B9ACC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8.8</w:t>
                  </w:r>
                </w:p>
              </w:tc>
            </w:tr>
            <w:tr w14:paraId="03E38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1F0642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41周</w:t>
                  </w:r>
                </w:p>
              </w:tc>
              <w:tc>
                <w:tcPr>
                  <w:tcW w:w="1211" w:type="dxa"/>
                  <w:tcBorders>
                    <w:tl2br w:val="nil"/>
                    <w:tr2bl w:val="nil"/>
                  </w:tcBorders>
                  <w:noWrap w:val="0"/>
                  <w:tcMar>
                    <w:top w:w="0" w:type="dxa"/>
                    <w:left w:w="28" w:type="dxa"/>
                    <w:bottom w:w="0" w:type="dxa"/>
                    <w:right w:w="28" w:type="dxa"/>
                  </w:tcMar>
                  <w:vAlign w:val="center"/>
                </w:tcPr>
                <w:p w14:paraId="3345C059">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23.1 </w:t>
                  </w:r>
                </w:p>
              </w:tc>
              <w:tc>
                <w:tcPr>
                  <w:tcW w:w="1329" w:type="dxa"/>
                  <w:tcBorders>
                    <w:tl2br w:val="nil"/>
                    <w:tr2bl w:val="nil"/>
                  </w:tcBorders>
                  <w:noWrap w:val="0"/>
                  <w:tcMar>
                    <w:top w:w="0" w:type="dxa"/>
                    <w:left w:w="28" w:type="dxa"/>
                    <w:bottom w:w="0" w:type="dxa"/>
                    <w:right w:w="28" w:type="dxa"/>
                  </w:tcMar>
                  <w:vAlign w:val="center"/>
                </w:tcPr>
                <w:p w14:paraId="69A93DA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0.394 </w:t>
                  </w:r>
                </w:p>
              </w:tc>
              <w:tc>
                <w:tcPr>
                  <w:tcW w:w="1329" w:type="dxa"/>
                  <w:tcBorders>
                    <w:tl2br w:val="nil"/>
                    <w:tr2bl w:val="nil"/>
                  </w:tcBorders>
                  <w:noWrap w:val="0"/>
                  <w:tcMar>
                    <w:top w:w="0" w:type="dxa"/>
                    <w:left w:w="28" w:type="dxa"/>
                    <w:bottom w:w="0" w:type="dxa"/>
                    <w:right w:w="28" w:type="dxa"/>
                  </w:tcMar>
                  <w:vAlign w:val="center"/>
                </w:tcPr>
                <w:p w14:paraId="5B6A2F5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0.244</w:t>
                  </w:r>
                </w:p>
              </w:tc>
              <w:tc>
                <w:tcPr>
                  <w:tcW w:w="1261" w:type="dxa"/>
                  <w:tcBorders>
                    <w:tl2br w:val="nil"/>
                    <w:tr2bl w:val="nil"/>
                  </w:tcBorders>
                  <w:noWrap w:val="0"/>
                  <w:tcMar>
                    <w:top w:w="0" w:type="dxa"/>
                    <w:left w:w="28" w:type="dxa"/>
                    <w:bottom w:w="0" w:type="dxa"/>
                    <w:right w:w="28" w:type="dxa"/>
                  </w:tcMar>
                  <w:vAlign w:val="center"/>
                </w:tcPr>
                <w:p w14:paraId="09E5551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8.04</w:t>
                  </w:r>
                </w:p>
              </w:tc>
              <w:tc>
                <w:tcPr>
                  <w:tcW w:w="1397" w:type="dxa"/>
                  <w:tcBorders>
                    <w:tl2br w:val="nil"/>
                    <w:tr2bl w:val="nil"/>
                  </w:tcBorders>
                  <w:noWrap w:val="0"/>
                  <w:tcMar>
                    <w:top w:w="0" w:type="dxa"/>
                    <w:left w:w="28" w:type="dxa"/>
                    <w:bottom w:w="0" w:type="dxa"/>
                    <w:right w:w="28" w:type="dxa"/>
                  </w:tcMar>
                  <w:vAlign w:val="center"/>
                </w:tcPr>
                <w:p w14:paraId="3D614D9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8.8</w:t>
                  </w:r>
                </w:p>
              </w:tc>
            </w:tr>
            <w:tr w14:paraId="29CA1D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05FA9B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42周</w:t>
                  </w:r>
                </w:p>
              </w:tc>
              <w:tc>
                <w:tcPr>
                  <w:tcW w:w="1211" w:type="dxa"/>
                  <w:tcBorders>
                    <w:tl2br w:val="nil"/>
                    <w:tr2bl w:val="nil"/>
                  </w:tcBorders>
                  <w:noWrap w:val="0"/>
                  <w:tcMar>
                    <w:top w:w="0" w:type="dxa"/>
                    <w:left w:w="28" w:type="dxa"/>
                    <w:bottom w:w="0" w:type="dxa"/>
                    <w:right w:w="28" w:type="dxa"/>
                  </w:tcMar>
                  <w:vAlign w:val="center"/>
                </w:tcPr>
                <w:p w14:paraId="387D3FAE">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28.0 </w:t>
                  </w:r>
                </w:p>
              </w:tc>
              <w:tc>
                <w:tcPr>
                  <w:tcW w:w="1329" w:type="dxa"/>
                  <w:tcBorders>
                    <w:tl2br w:val="nil"/>
                    <w:tr2bl w:val="nil"/>
                  </w:tcBorders>
                  <w:noWrap w:val="0"/>
                  <w:tcMar>
                    <w:top w:w="0" w:type="dxa"/>
                    <w:left w:w="28" w:type="dxa"/>
                    <w:bottom w:w="0" w:type="dxa"/>
                    <w:right w:w="28" w:type="dxa"/>
                  </w:tcMar>
                  <w:vAlign w:val="center"/>
                </w:tcPr>
                <w:p w14:paraId="7E8A03C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1.350 </w:t>
                  </w:r>
                </w:p>
              </w:tc>
              <w:tc>
                <w:tcPr>
                  <w:tcW w:w="1329" w:type="dxa"/>
                  <w:tcBorders>
                    <w:tl2br w:val="nil"/>
                    <w:tr2bl w:val="nil"/>
                  </w:tcBorders>
                  <w:noWrap w:val="0"/>
                  <w:tcMar>
                    <w:top w:w="0" w:type="dxa"/>
                    <w:left w:w="28" w:type="dxa"/>
                    <w:bottom w:w="0" w:type="dxa"/>
                    <w:right w:w="28" w:type="dxa"/>
                  </w:tcMar>
                  <w:vAlign w:val="center"/>
                </w:tcPr>
                <w:p w14:paraId="4DEB2DE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0.491</w:t>
                  </w:r>
                </w:p>
              </w:tc>
              <w:tc>
                <w:tcPr>
                  <w:tcW w:w="1261" w:type="dxa"/>
                  <w:tcBorders>
                    <w:tl2br w:val="nil"/>
                    <w:tr2bl w:val="nil"/>
                  </w:tcBorders>
                  <w:noWrap w:val="0"/>
                  <w:tcMar>
                    <w:top w:w="0" w:type="dxa"/>
                    <w:left w:w="28" w:type="dxa"/>
                    <w:bottom w:w="0" w:type="dxa"/>
                    <w:right w:w="28" w:type="dxa"/>
                  </w:tcMar>
                  <w:vAlign w:val="center"/>
                </w:tcPr>
                <w:p w14:paraId="022F928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9.85</w:t>
                  </w:r>
                </w:p>
              </w:tc>
              <w:tc>
                <w:tcPr>
                  <w:tcW w:w="1397" w:type="dxa"/>
                  <w:tcBorders>
                    <w:tl2br w:val="nil"/>
                    <w:tr2bl w:val="nil"/>
                  </w:tcBorders>
                  <w:noWrap w:val="0"/>
                  <w:tcMar>
                    <w:top w:w="0" w:type="dxa"/>
                    <w:left w:w="28" w:type="dxa"/>
                    <w:bottom w:w="0" w:type="dxa"/>
                    <w:right w:w="28" w:type="dxa"/>
                  </w:tcMar>
                  <w:vAlign w:val="center"/>
                </w:tcPr>
                <w:p w14:paraId="2E39F06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10.2</w:t>
                  </w:r>
                </w:p>
              </w:tc>
            </w:tr>
            <w:tr w14:paraId="5E7C86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6DAD0B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43周</w:t>
                  </w:r>
                </w:p>
              </w:tc>
              <w:tc>
                <w:tcPr>
                  <w:tcW w:w="1211" w:type="dxa"/>
                  <w:tcBorders>
                    <w:tl2br w:val="nil"/>
                    <w:tr2bl w:val="nil"/>
                  </w:tcBorders>
                  <w:noWrap w:val="0"/>
                  <w:tcMar>
                    <w:top w:w="0" w:type="dxa"/>
                    <w:left w:w="28" w:type="dxa"/>
                    <w:bottom w:w="0" w:type="dxa"/>
                    <w:right w:w="28" w:type="dxa"/>
                  </w:tcMar>
                  <w:vAlign w:val="center"/>
                </w:tcPr>
                <w:p w14:paraId="10FC32DF">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22.7 </w:t>
                  </w:r>
                </w:p>
              </w:tc>
              <w:tc>
                <w:tcPr>
                  <w:tcW w:w="1329" w:type="dxa"/>
                  <w:tcBorders>
                    <w:tl2br w:val="nil"/>
                    <w:tr2bl w:val="nil"/>
                  </w:tcBorders>
                  <w:noWrap w:val="0"/>
                  <w:tcMar>
                    <w:top w:w="0" w:type="dxa"/>
                    <w:left w:w="28" w:type="dxa"/>
                    <w:bottom w:w="0" w:type="dxa"/>
                    <w:right w:w="28" w:type="dxa"/>
                  </w:tcMar>
                  <w:vAlign w:val="center"/>
                </w:tcPr>
                <w:p w14:paraId="026C9BD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1.1 </w:t>
                  </w:r>
                </w:p>
              </w:tc>
              <w:tc>
                <w:tcPr>
                  <w:tcW w:w="1329" w:type="dxa"/>
                  <w:tcBorders>
                    <w:tl2br w:val="nil"/>
                    <w:tr2bl w:val="nil"/>
                  </w:tcBorders>
                  <w:noWrap w:val="0"/>
                  <w:tcMar>
                    <w:top w:w="0" w:type="dxa"/>
                    <w:left w:w="28" w:type="dxa"/>
                    <w:bottom w:w="0" w:type="dxa"/>
                    <w:right w:w="28" w:type="dxa"/>
                  </w:tcMar>
                  <w:vAlign w:val="center"/>
                </w:tcPr>
                <w:p w14:paraId="6DAEA812">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0.4 </w:t>
                  </w:r>
                </w:p>
              </w:tc>
              <w:tc>
                <w:tcPr>
                  <w:tcW w:w="1261" w:type="dxa"/>
                  <w:tcBorders>
                    <w:tl2br w:val="nil"/>
                    <w:tr2bl w:val="nil"/>
                  </w:tcBorders>
                  <w:noWrap w:val="0"/>
                  <w:tcMar>
                    <w:top w:w="0" w:type="dxa"/>
                    <w:left w:w="28" w:type="dxa"/>
                    <w:bottom w:w="0" w:type="dxa"/>
                    <w:right w:w="28" w:type="dxa"/>
                  </w:tcMar>
                  <w:vAlign w:val="center"/>
                </w:tcPr>
                <w:p w14:paraId="270E89D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9.0</w:t>
                  </w:r>
                </w:p>
              </w:tc>
              <w:tc>
                <w:tcPr>
                  <w:tcW w:w="1397" w:type="dxa"/>
                  <w:tcBorders>
                    <w:tl2br w:val="nil"/>
                    <w:tr2bl w:val="nil"/>
                  </w:tcBorders>
                  <w:noWrap w:val="0"/>
                  <w:tcMar>
                    <w:top w:w="0" w:type="dxa"/>
                    <w:left w:w="28" w:type="dxa"/>
                    <w:bottom w:w="0" w:type="dxa"/>
                    <w:right w:w="28" w:type="dxa"/>
                  </w:tcMar>
                  <w:vAlign w:val="center"/>
                </w:tcPr>
                <w:p w14:paraId="5F0FCD5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8.7</w:t>
                  </w:r>
                </w:p>
              </w:tc>
            </w:tr>
            <w:tr w14:paraId="060FE2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6DA8805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44周</w:t>
                  </w:r>
                </w:p>
              </w:tc>
              <w:tc>
                <w:tcPr>
                  <w:tcW w:w="1211" w:type="dxa"/>
                  <w:tcBorders>
                    <w:tl2br w:val="nil"/>
                    <w:tr2bl w:val="nil"/>
                  </w:tcBorders>
                  <w:noWrap w:val="0"/>
                  <w:tcMar>
                    <w:top w:w="0" w:type="dxa"/>
                    <w:left w:w="28" w:type="dxa"/>
                    <w:bottom w:w="0" w:type="dxa"/>
                    <w:right w:w="28" w:type="dxa"/>
                  </w:tcMar>
                  <w:vAlign w:val="center"/>
                </w:tcPr>
                <w:p w14:paraId="102E04FA">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24.9 </w:t>
                  </w:r>
                </w:p>
              </w:tc>
              <w:tc>
                <w:tcPr>
                  <w:tcW w:w="1329" w:type="dxa"/>
                  <w:tcBorders>
                    <w:tl2br w:val="nil"/>
                    <w:tr2bl w:val="nil"/>
                  </w:tcBorders>
                  <w:noWrap w:val="0"/>
                  <w:tcMar>
                    <w:top w:w="0" w:type="dxa"/>
                    <w:left w:w="28" w:type="dxa"/>
                    <w:bottom w:w="0" w:type="dxa"/>
                    <w:right w:w="28" w:type="dxa"/>
                  </w:tcMar>
                  <w:vAlign w:val="center"/>
                </w:tcPr>
                <w:p w14:paraId="5B82B989">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0.656 </w:t>
                  </w:r>
                </w:p>
              </w:tc>
              <w:tc>
                <w:tcPr>
                  <w:tcW w:w="1329" w:type="dxa"/>
                  <w:tcBorders>
                    <w:tl2br w:val="nil"/>
                    <w:tr2bl w:val="nil"/>
                  </w:tcBorders>
                  <w:noWrap w:val="0"/>
                  <w:tcMar>
                    <w:top w:w="0" w:type="dxa"/>
                    <w:left w:w="28" w:type="dxa"/>
                    <w:bottom w:w="0" w:type="dxa"/>
                    <w:right w:w="28" w:type="dxa"/>
                  </w:tcMar>
                  <w:vAlign w:val="center"/>
                </w:tcPr>
                <w:p w14:paraId="5D8F1397">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0.312 </w:t>
                  </w:r>
                </w:p>
              </w:tc>
              <w:tc>
                <w:tcPr>
                  <w:tcW w:w="1261" w:type="dxa"/>
                  <w:tcBorders>
                    <w:tl2br w:val="nil"/>
                    <w:tr2bl w:val="nil"/>
                  </w:tcBorders>
                  <w:noWrap w:val="0"/>
                  <w:tcMar>
                    <w:top w:w="0" w:type="dxa"/>
                    <w:left w:w="28" w:type="dxa"/>
                    <w:bottom w:w="0" w:type="dxa"/>
                    <w:right w:w="28" w:type="dxa"/>
                  </w:tcMar>
                  <w:vAlign w:val="center"/>
                </w:tcPr>
                <w:p w14:paraId="5CBFC55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8.54</w:t>
                  </w:r>
                </w:p>
              </w:tc>
              <w:tc>
                <w:tcPr>
                  <w:tcW w:w="1397" w:type="dxa"/>
                  <w:tcBorders>
                    <w:tl2br w:val="nil"/>
                    <w:tr2bl w:val="nil"/>
                  </w:tcBorders>
                  <w:noWrap w:val="0"/>
                  <w:tcMar>
                    <w:top w:w="0" w:type="dxa"/>
                    <w:left w:w="28" w:type="dxa"/>
                    <w:bottom w:w="0" w:type="dxa"/>
                    <w:right w:w="28" w:type="dxa"/>
                  </w:tcMar>
                  <w:vAlign w:val="center"/>
                </w:tcPr>
                <w:p w14:paraId="54A6177A">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9.2</w:t>
                  </w:r>
                </w:p>
              </w:tc>
            </w:tr>
            <w:tr w14:paraId="631E9F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3294F63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45周</w:t>
                  </w:r>
                </w:p>
              </w:tc>
              <w:tc>
                <w:tcPr>
                  <w:tcW w:w="1211" w:type="dxa"/>
                  <w:tcBorders>
                    <w:tl2br w:val="nil"/>
                    <w:tr2bl w:val="nil"/>
                  </w:tcBorders>
                  <w:noWrap w:val="0"/>
                  <w:tcMar>
                    <w:top w:w="0" w:type="dxa"/>
                    <w:left w:w="28" w:type="dxa"/>
                    <w:bottom w:w="0" w:type="dxa"/>
                    <w:right w:w="28" w:type="dxa"/>
                  </w:tcMar>
                  <w:vAlign w:val="center"/>
                </w:tcPr>
                <w:p w14:paraId="3567F3F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21.9 </w:t>
                  </w:r>
                </w:p>
              </w:tc>
              <w:tc>
                <w:tcPr>
                  <w:tcW w:w="1329" w:type="dxa"/>
                  <w:tcBorders>
                    <w:tl2br w:val="nil"/>
                    <w:tr2bl w:val="nil"/>
                  </w:tcBorders>
                  <w:noWrap w:val="0"/>
                  <w:tcMar>
                    <w:top w:w="0" w:type="dxa"/>
                    <w:left w:w="28" w:type="dxa"/>
                    <w:bottom w:w="0" w:type="dxa"/>
                    <w:right w:w="28" w:type="dxa"/>
                  </w:tcMar>
                  <w:vAlign w:val="center"/>
                </w:tcPr>
                <w:p w14:paraId="052C8FC6">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0.364 </w:t>
                  </w:r>
                </w:p>
              </w:tc>
              <w:tc>
                <w:tcPr>
                  <w:tcW w:w="1329" w:type="dxa"/>
                  <w:tcBorders>
                    <w:tl2br w:val="nil"/>
                    <w:tr2bl w:val="nil"/>
                  </w:tcBorders>
                  <w:noWrap w:val="0"/>
                  <w:tcMar>
                    <w:top w:w="0" w:type="dxa"/>
                    <w:left w:w="28" w:type="dxa"/>
                    <w:bottom w:w="0" w:type="dxa"/>
                    <w:right w:w="28" w:type="dxa"/>
                  </w:tcMar>
                  <w:vAlign w:val="center"/>
                </w:tcPr>
                <w:p w14:paraId="1ABCCB9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0.238 </w:t>
                  </w:r>
                </w:p>
              </w:tc>
              <w:tc>
                <w:tcPr>
                  <w:tcW w:w="1261" w:type="dxa"/>
                  <w:tcBorders>
                    <w:tl2br w:val="nil"/>
                    <w:tr2bl w:val="nil"/>
                  </w:tcBorders>
                  <w:noWrap w:val="0"/>
                  <w:tcMar>
                    <w:top w:w="0" w:type="dxa"/>
                    <w:left w:w="28" w:type="dxa"/>
                    <w:bottom w:w="0" w:type="dxa"/>
                    <w:right w:w="28" w:type="dxa"/>
                  </w:tcMar>
                  <w:vAlign w:val="center"/>
                </w:tcPr>
                <w:p w14:paraId="72EE96B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9.40</w:t>
                  </w:r>
                </w:p>
              </w:tc>
              <w:tc>
                <w:tcPr>
                  <w:tcW w:w="1397" w:type="dxa"/>
                  <w:tcBorders>
                    <w:tl2br w:val="nil"/>
                    <w:tr2bl w:val="nil"/>
                  </w:tcBorders>
                  <w:noWrap w:val="0"/>
                  <w:tcMar>
                    <w:top w:w="0" w:type="dxa"/>
                    <w:left w:w="28" w:type="dxa"/>
                    <w:bottom w:w="0" w:type="dxa"/>
                    <w:right w:w="28" w:type="dxa"/>
                  </w:tcMar>
                  <w:vAlign w:val="center"/>
                </w:tcPr>
                <w:p w14:paraId="2419593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8.0</w:t>
                  </w:r>
                </w:p>
              </w:tc>
            </w:tr>
            <w:tr w14:paraId="66DEF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2B82ACB">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46周</w:t>
                  </w:r>
                </w:p>
              </w:tc>
              <w:tc>
                <w:tcPr>
                  <w:tcW w:w="1211" w:type="dxa"/>
                  <w:tcBorders>
                    <w:tl2br w:val="nil"/>
                    <w:tr2bl w:val="nil"/>
                  </w:tcBorders>
                  <w:noWrap w:val="0"/>
                  <w:tcMar>
                    <w:top w:w="0" w:type="dxa"/>
                    <w:left w:w="28" w:type="dxa"/>
                    <w:bottom w:w="0" w:type="dxa"/>
                    <w:right w:w="28" w:type="dxa"/>
                  </w:tcMar>
                  <w:vAlign w:val="center"/>
                </w:tcPr>
                <w:p w14:paraId="5366D04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20.0 </w:t>
                  </w:r>
                </w:p>
              </w:tc>
              <w:tc>
                <w:tcPr>
                  <w:tcW w:w="1329" w:type="dxa"/>
                  <w:tcBorders>
                    <w:tl2br w:val="nil"/>
                    <w:tr2bl w:val="nil"/>
                  </w:tcBorders>
                  <w:noWrap w:val="0"/>
                  <w:tcMar>
                    <w:top w:w="0" w:type="dxa"/>
                    <w:left w:w="28" w:type="dxa"/>
                    <w:bottom w:w="0" w:type="dxa"/>
                    <w:right w:w="28" w:type="dxa"/>
                  </w:tcMar>
                  <w:vAlign w:val="center"/>
                </w:tcPr>
                <w:p w14:paraId="2EA0E638">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0.550 </w:t>
                  </w:r>
                </w:p>
              </w:tc>
              <w:tc>
                <w:tcPr>
                  <w:tcW w:w="1329" w:type="dxa"/>
                  <w:tcBorders>
                    <w:tl2br w:val="nil"/>
                    <w:tr2bl w:val="nil"/>
                  </w:tcBorders>
                  <w:noWrap w:val="0"/>
                  <w:tcMar>
                    <w:top w:w="0" w:type="dxa"/>
                    <w:left w:w="28" w:type="dxa"/>
                    <w:bottom w:w="0" w:type="dxa"/>
                    <w:right w:w="28" w:type="dxa"/>
                  </w:tcMar>
                  <w:vAlign w:val="center"/>
                </w:tcPr>
                <w:p w14:paraId="1BDAE2C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0.421 </w:t>
                  </w:r>
                </w:p>
              </w:tc>
              <w:tc>
                <w:tcPr>
                  <w:tcW w:w="1261" w:type="dxa"/>
                  <w:tcBorders>
                    <w:tl2br w:val="nil"/>
                    <w:tr2bl w:val="nil"/>
                  </w:tcBorders>
                  <w:noWrap w:val="0"/>
                  <w:tcMar>
                    <w:top w:w="0" w:type="dxa"/>
                    <w:left w:w="28" w:type="dxa"/>
                    <w:bottom w:w="0" w:type="dxa"/>
                    <w:right w:w="28" w:type="dxa"/>
                  </w:tcMar>
                  <w:vAlign w:val="center"/>
                </w:tcPr>
                <w:p w14:paraId="5A854B26">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9.40</w:t>
                  </w:r>
                </w:p>
              </w:tc>
              <w:tc>
                <w:tcPr>
                  <w:tcW w:w="1397" w:type="dxa"/>
                  <w:tcBorders>
                    <w:tl2br w:val="nil"/>
                    <w:tr2bl w:val="nil"/>
                  </w:tcBorders>
                  <w:noWrap w:val="0"/>
                  <w:tcMar>
                    <w:top w:w="0" w:type="dxa"/>
                    <w:left w:w="28" w:type="dxa"/>
                    <w:bottom w:w="0" w:type="dxa"/>
                    <w:right w:w="28" w:type="dxa"/>
                  </w:tcMar>
                  <w:vAlign w:val="center"/>
                </w:tcPr>
                <w:p w14:paraId="1621CF34">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6.8</w:t>
                  </w:r>
                </w:p>
              </w:tc>
            </w:tr>
            <w:tr w14:paraId="4FFCBC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7570C2BC">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47周</w:t>
                  </w:r>
                </w:p>
              </w:tc>
              <w:tc>
                <w:tcPr>
                  <w:tcW w:w="1211" w:type="dxa"/>
                  <w:tcBorders>
                    <w:tl2br w:val="nil"/>
                    <w:tr2bl w:val="nil"/>
                  </w:tcBorders>
                  <w:noWrap w:val="0"/>
                  <w:tcMar>
                    <w:top w:w="0" w:type="dxa"/>
                    <w:left w:w="28" w:type="dxa"/>
                    <w:bottom w:w="0" w:type="dxa"/>
                    <w:right w:w="28" w:type="dxa"/>
                  </w:tcMar>
                  <w:vAlign w:val="center"/>
                </w:tcPr>
                <w:p w14:paraId="6D87784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15.5 </w:t>
                  </w:r>
                </w:p>
              </w:tc>
              <w:tc>
                <w:tcPr>
                  <w:tcW w:w="1329" w:type="dxa"/>
                  <w:tcBorders>
                    <w:tl2br w:val="nil"/>
                    <w:tr2bl w:val="nil"/>
                  </w:tcBorders>
                  <w:noWrap w:val="0"/>
                  <w:tcMar>
                    <w:top w:w="0" w:type="dxa"/>
                    <w:left w:w="28" w:type="dxa"/>
                    <w:bottom w:w="0" w:type="dxa"/>
                    <w:right w:w="28" w:type="dxa"/>
                  </w:tcMar>
                  <w:vAlign w:val="center"/>
                </w:tcPr>
                <w:p w14:paraId="7F465431">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0.518 </w:t>
                  </w:r>
                </w:p>
              </w:tc>
              <w:tc>
                <w:tcPr>
                  <w:tcW w:w="1329" w:type="dxa"/>
                  <w:tcBorders>
                    <w:tl2br w:val="nil"/>
                    <w:tr2bl w:val="nil"/>
                  </w:tcBorders>
                  <w:noWrap w:val="0"/>
                  <w:tcMar>
                    <w:top w:w="0" w:type="dxa"/>
                    <w:left w:w="28" w:type="dxa"/>
                    <w:bottom w:w="0" w:type="dxa"/>
                    <w:right w:w="28" w:type="dxa"/>
                  </w:tcMar>
                  <w:vAlign w:val="center"/>
                </w:tcPr>
                <w:p w14:paraId="25DB4C9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0.340 </w:t>
                  </w:r>
                </w:p>
              </w:tc>
              <w:tc>
                <w:tcPr>
                  <w:tcW w:w="1261" w:type="dxa"/>
                  <w:tcBorders>
                    <w:tl2br w:val="nil"/>
                    <w:tr2bl w:val="nil"/>
                  </w:tcBorders>
                  <w:noWrap w:val="0"/>
                  <w:tcMar>
                    <w:top w:w="0" w:type="dxa"/>
                    <w:left w:w="28" w:type="dxa"/>
                    <w:bottom w:w="0" w:type="dxa"/>
                    <w:right w:w="28" w:type="dxa"/>
                  </w:tcMar>
                  <w:vAlign w:val="center"/>
                </w:tcPr>
                <w:p w14:paraId="252F22E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10.00</w:t>
                  </w:r>
                </w:p>
              </w:tc>
              <w:tc>
                <w:tcPr>
                  <w:tcW w:w="1397" w:type="dxa"/>
                  <w:tcBorders>
                    <w:tl2br w:val="nil"/>
                    <w:tr2bl w:val="nil"/>
                  </w:tcBorders>
                  <w:noWrap w:val="0"/>
                  <w:tcMar>
                    <w:top w:w="0" w:type="dxa"/>
                    <w:left w:w="28" w:type="dxa"/>
                    <w:bottom w:w="0" w:type="dxa"/>
                    <w:right w:w="28" w:type="dxa"/>
                  </w:tcMar>
                  <w:vAlign w:val="center"/>
                </w:tcPr>
                <w:p w14:paraId="43B534C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5.7</w:t>
                  </w:r>
                </w:p>
              </w:tc>
            </w:tr>
            <w:tr w14:paraId="337770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FCE22C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48周</w:t>
                  </w:r>
                </w:p>
              </w:tc>
              <w:tc>
                <w:tcPr>
                  <w:tcW w:w="1211" w:type="dxa"/>
                  <w:tcBorders>
                    <w:tl2br w:val="nil"/>
                    <w:tr2bl w:val="nil"/>
                  </w:tcBorders>
                  <w:noWrap w:val="0"/>
                  <w:tcMar>
                    <w:top w:w="0" w:type="dxa"/>
                    <w:left w:w="28" w:type="dxa"/>
                    <w:bottom w:w="0" w:type="dxa"/>
                    <w:right w:w="28" w:type="dxa"/>
                  </w:tcMar>
                  <w:vAlign w:val="center"/>
                </w:tcPr>
                <w:p w14:paraId="1741F0C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15.1 </w:t>
                  </w:r>
                </w:p>
              </w:tc>
              <w:tc>
                <w:tcPr>
                  <w:tcW w:w="1329" w:type="dxa"/>
                  <w:tcBorders>
                    <w:tl2br w:val="nil"/>
                    <w:tr2bl w:val="nil"/>
                  </w:tcBorders>
                  <w:noWrap w:val="0"/>
                  <w:tcMar>
                    <w:top w:w="0" w:type="dxa"/>
                    <w:left w:w="28" w:type="dxa"/>
                    <w:bottom w:w="0" w:type="dxa"/>
                    <w:right w:w="28" w:type="dxa"/>
                  </w:tcMar>
                  <w:vAlign w:val="center"/>
                </w:tcPr>
                <w:p w14:paraId="1315CE1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0.855 </w:t>
                  </w:r>
                </w:p>
              </w:tc>
              <w:tc>
                <w:tcPr>
                  <w:tcW w:w="1329" w:type="dxa"/>
                  <w:tcBorders>
                    <w:tl2br w:val="nil"/>
                    <w:tr2bl w:val="nil"/>
                  </w:tcBorders>
                  <w:noWrap w:val="0"/>
                  <w:tcMar>
                    <w:top w:w="0" w:type="dxa"/>
                    <w:left w:w="28" w:type="dxa"/>
                    <w:bottom w:w="0" w:type="dxa"/>
                    <w:right w:w="28" w:type="dxa"/>
                  </w:tcMar>
                  <w:vAlign w:val="center"/>
                </w:tcPr>
                <w:p w14:paraId="1BC37F24">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0.300 </w:t>
                  </w:r>
                </w:p>
              </w:tc>
              <w:tc>
                <w:tcPr>
                  <w:tcW w:w="1261" w:type="dxa"/>
                  <w:tcBorders>
                    <w:tl2br w:val="nil"/>
                    <w:tr2bl w:val="nil"/>
                  </w:tcBorders>
                  <w:noWrap w:val="0"/>
                  <w:tcMar>
                    <w:top w:w="0" w:type="dxa"/>
                    <w:left w:w="28" w:type="dxa"/>
                    <w:bottom w:w="0" w:type="dxa"/>
                    <w:right w:w="28" w:type="dxa"/>
                  </w:tcMar>
                  <w:vAlign w:val="center"/>
                </w:tcPr>
                <w:p w14:paraId="3E8CFCF5">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10.00</w:t>
                  </w:r>
                </w:p>
              </w:tc>
              <w:tc>
                <w:tcPr>
                  <w:tcW w:w="1397" w:type="dxa"/>
                  <w:tcBorders>
                    <w:tl2br w:val="nil"/>
                    <w:tr2bl w:val="nil"/>
                  </w:tcBorders>
                  <w:noWrap w:val="0"/>
                  <w:tcMar>
                    <w:top w:w="0" w:type="dxa"/>
                    <w:left w:w="28" w:type="dxa"/>
                    <w:bottom w:w="0" w:type="dxa"/>
                    <w:right w:w="28" w:type="dxa"/>
                  </w:tcMar>
                  <w:vAlign w:val="center"/>
                </w:tcPr>
                <w:p w14:paraId="202C603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3.4</w:t>
                  </w:r>
                </w:p>
              </w:tc>
            </w:tr>
            <w:tr w14:paraId="3F72C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A9654EE">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49周</w:t>
                  </w:r>
                </w:p>
              </w:tc>
              <w:tc>
                <w:tcPr>
                  <w:tcW w:w="1211" w:type="dxa"/>
                  <w:tcBorders>
                    <w:tl2br w:val="nil"/>
                    <w:tr2bl w:val="nil"/>
                  </w:tcBorders>
                  <w:noWrap w:val="0"/>
                  <w:tcMar>
                    <w:top w:w="0" w:type="dxa"/>
                    <w:left w:w="28" w:type="dxa"/>
                    <w:bottom w:w="0" w:type="dxa"/>
                    <w:right w:w="28" w:type="dxa"/>
                  </w:tcMar>
                  <w:vAlign w:val="center"/>
                </w:tcPr>
                <w:p w14:paraId="197D45BB">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17.6 </w:t>
                  </w:r>
                </w:p>
              </w:tc>
              <w:tc>
                <w:tcPr>
                  <w:tcW w:w="1329" w:type="dxa"/>
                  <w:tcBorders>
                    <w:tl2br w:val="nil"/>
                    <w:tr2bl w:val="nil"/>
                  </w:tcBorders>
                  <w:noWrap w:val="0"/>
                  <w:tcMar>
                    <w:top w:w="0" w:type="dxa"/>
                    <w:left w:w="28" w:type="dxa"/>
                    <w:bottom w:w="0" w:type="dxa"/>
                    <w:right w:w="28" w:type="dxa"/>
                  </w:tcMar>
                  <w:vAlign w:val="center"/>
                </w:tcPr>
                <w:p w14:paraId="308900CD">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1.390 </w:t>
                  </w:r>
                </w:p>
              </w:tc>
              <w:tc>
                <w:tcPr>
                  <w:tcW w:w="1329" w:type="dxa"/>
                  <w:tcBorders>
                    <w:tl2br w:val="nil"/>
                    <w:tr2bl w:val="nil"/>
                  </w:tcBorders>
                  <w:noWrap w:val="0"/>
                  <w:tcMar>
                    <w:top w:w="0" w:type="dxa"/>
                    <w:left w:w="28" w:type="dxa"/>
                    <w:bottom w:w="0" w:type="dxa"/>
                    <w:right w:w="28" w:type="dxa"/>
                  </w:tcMar>
                  <w:vAlign w:val="center"/>
                </w:tcPr>
                <w:p w14:paraId="45640C10">
                  <w:pPr>
                    <w:pStyle w:val="78"/>
                    <w:keepNext w:val="0"/>
                    <w:keepLines w:val="0"/>
                    <w:suppressLineNumbers w:val="0"/>
                    <w:tabs>
                      <w:tab w:val="right" w:leader="dot" w:pos="8296"/>
                    </w:tabs>
                    <w:bidi w:val="0"/>
                    <w:spacing w:before="0" w:beforeAutospacing="0" w:after="0" w:afterAutospacing="0"/>
                    <w:ind w:right="0"/>
                    <w:rPr>
                      <w:rFonts w:hint="default"/>
                      <w:color w:val="auto"/>
                      <w:lang w:eastAsia="zh-CN"/>
                    </w:rPr>
                  </w:pPr>
                  <w:r>
                    <w:rPr>
                      <w:rFonts w:hint="default"/>
                      <w:color w:val="auto"/>
                      <w:lang w:val="en-US" w:eastAsia="zh-CN"/>
                    </w:rPr>
                    <w:t xml:space="preserve">0.252 </w:t>
                  </w:r>
                </w:p>
              </w:tc>
              <w:tc>
                <w:tcPr>
                  <w:tcW w:w="1261" w:type="dxa"/>
                  <w:tcBorders>
                    <w:tl2br w:val="nil"/>
                    <w:tr2bl w:val="nil"/>
                  </w:tcBorders>
                  <w:noWrap w:val="0"/>
                  <w:tcMar>
                    <w:top w:w="0" w:type="dxa"/>
                    <w:left w:w="28" w:type="dxa"/>
                    <w:bottom w:w="0" w:type="dxa"/>
                    <w:right w:w="28" w:type="dxa"/>
                  </w:tcMar>
                  <w:vAlign w:val="center"/>
                </w:tcPr>
                <w:p w14:paraId="7527467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10.00</w:t>
                  </w:r>
                </w:p>
              </w:tc>
              <w:tc>
                <w:tcPr>
                  <w:tcW w:w="1397" w:type="dxa"/>
                  <w:tcBorders>
                    <w:tl2br w:val="nil"/>
                    <w:tr2bl w:val="nil"/>
                  </w:tcBorders>
                  <w:noWrap w:val="0"/>
                  <w:tcMar>
                    <w:top w:w="0" w:type="dxa"/>
                    <w:left w:w="28" w:type="dxa"/>
                    <w:bottom w:w="0" w:type="dxa"/>
                    <w:right w:w="28" w:type="dxa"/>
                  </w:tcMar>
                  <w:vAlign w:val="center"/>
                </w:tcPr>
                <w:p w14:paraId="64047D4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1.4</w:t>
                  </w:r>
                </w:p>
              </w:tc>
            </w:tr>
            <w:tr w14:paraId="4AFA56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7B7A4B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50周</w:t>
                  </w:r>
                </w:p>
              </w:tc>
              <w:tc>
                <w:tcPr>
                  <w:tcW w:w="1211" w:type="dxa"/>
                  <w:tcBorders>
                    <w:tl2br w:val="nil"/>
                    <w:tr2bl w:val="nil"/>
                  </w:tcBorders>
                  <w:noWrap w:val="0"/>
                  <w:tcMar>
                    <w:top w:w="0" w:type="dxa"/>
                    <w:left w:w="28" w:type="dxa"/>
                    <w:bottom w:w="0" w:type="dxa"/>
                    <w:right w:w="28" w:type="dxa"/>
                  </w:tcMar>
                  <w:vAlign w:val="center"/>
                </w:tcPr>
                <w:p w14:paraId="28F1BC2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19.7 </w:t>
                  </w:r>
                </w:p>
              </w:tc>
              <w:tc>
                <w:tcPr>
                  <w:tcW w:w="1329" w:type="dxa"/>
                  <w:tcBorders>
                    <w:tl2br w:val="nil"/>
                    <w:tr2bl w:val="nil"/>
                  </w:tcBorders>
                  <w:noWrap w:val="0"/>
                  <w:tcMar>
                    <w:top w:w="0" w:type="dxa"/>
                    <w:left w:w="28" w:type="dxa"/>
                    <w:bottom w:w="0" w:type="dxa"/>
                    <w:right w:w="28" w:type="dxa"/>
                  </w:tcMar>
                  <w:vAlign w:val="center"/>
                </w:tcPr>
                <w:p w14:paraId="0B6FDD7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1.86 </w:t>
                  </w:r>
                </w:p>
              </w:tc>
              <w:tc>
                <w:tcPr>
                  <w:tcW w:w="1329" w:type="dxa"/>
                  <w:tcBorders>
                    <w:tl2br w:val="nil"/>
                    <w:tr2bl w:val="nil"/>
                  </w:tcBorders>
                  <w:noWrap w:val="0"/>
                  <w:tcMar>
                    <w:top w:w="0" w:type="dxa"/>
                    <w:left w:w="28" w:type="dxa"/>
                    <w:bottom w:w="0" w:type="dxa"/>
                    <w:right w:w="28" w:type="dxa"/>
                  </w:tcMar>
                  <w:vAlign w:val="center"/>
                </w:tcPr>
                <w:p w14:paraId="40324AFF">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lang w:val="en-US" w:eastAsia="zh-CN"/>
                    </w:rPr>
                    <w:t xml:space="preserve">0.368 </w:t>
                  </w:r>
                </w:p>
              </w:tc>
              <w:tc>
                <w:tcPr>
                  <w:tcW w:w="1261" w:type="dxa"/>
                  <w:tcBorders>
                    <w:tl2br w:val="nil"/>
                    <w:tr2bl w:val="nil"/>
                  </w:tcBorders>
                  <w:noWrap w:val="0"/>
                  <w:tcMar>
                    <w:top w:w="0" w:type="dxa"/>
                    <w:left w:w="28" w:type="dxa"/>
                    <w:bottom w:w="0" w:type="dxa"/>
                    <w:right w:w="28" w:type="dxa"/>
                  </w:tcMar>
                  <w:vAlign w:val="center"/>
                </w:tcPr>
                <w:p w14:paraId="5FEE2702">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10.40</w:t>
                  </w:r>
                </w:p>
              </w:tc>
              <w:tc>
                <w:tcPr>
                  <w:tcW w:w="1397" w:type="dxa"/>
                  <w:tcBorders>
                    <w:tl2br w:val="nil"/>
                    <w:tr2bl w:val="nil"/>
                  </w:tcBorders>
                  <w:noWrap w:val="0"/>
                  <w:tcMar>
                    <w:top w:w="0" w:type="dxa"/>
                    <w:left w:w="28" w:type="dxa"/>
                    <w:bottom w:w="0" w:type="dxa"/>
                    <w:right w:w="28" w:type="dxa"/>
                  </w:tcMar>
                  <w:vAlign w:val="center"/>
                </w:tcPr>
                <w:p w14:paraId="7EAEE08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2.2</w:t>
                  </w:r>
                </w:p>
              </w:tc>
            </w:tr>
            <w:tr w14:paraId="565DF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4D931088">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eastAsia="zh-CN"/>
                    </w:rPr>
                    <w:t>2024年</w:t>
                  </w:r>
                  <w:r>
                    <w:rPr>
                      <w:rFonts w:hint="default"/>
                      <w:color w:val="auto"/>
                    </w:rPr>
                    <w:t>51周</w:t>
                  </w:r>
                </w:p>
              </w:tc>
              <w:tc>
                <w:tcPr>
                  <w:tcW w:w="1211" w:type="dxa"/>
                  <w:tcBorders>
                    <w:tl2br w:val="nil"/>
                    <w:tr2bl w:val="nil"/>
                  </w:tcBorders>
                  <w:noWrap w:val="0"/>
                  <w:tcMar>
                    <w:top w:w="0" w:type="dxa"/>
                    <w:left w:w="28" w:type="dxa"/>
                    <w:bottom w:w="0" w:type="dxa"/>
                    <w:right w:w="28" w:type="dxa"/>
                  </w:tcMar>
                  <w:vAlign w:val="center"/>
                </w:tcPr>
                <w:p w14:paraId="4A1D69C7">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 xml:space="preserve">20.2 </w:t>
                  </w:r>
                </w:p>
              </w:tc>
              <w:tc>
                <w:tcPr>
                  <w:tcW w:w="1329" w:type="dxa"/>
                  <w:tcBorders>
                    <w:tl2br w:val="nil"/>
                    <w:tr2bl w:val="nil"/>
                  </w:tcBorders>
                  <w:noWrap w:val="0"/>
                  <w:tcMar>
                    <w:top w:w="0" w:type="dxa"/>
                    <w:left w:w="28" w:type="dxa"/>
                    <w:bottom w:w="0" w:type="dxa"/>
                    <w:right w:w="28" w:type="dxa"/>
                  </w:tcMar>
                  <w:vAlign w:val="center"/>
                </w:tcPr>
                <w:p w14:paraId="0C59CFDB">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 xml:space="preserve">2.79 </w:t>
                  </w:r>
                </w:p>
              </w:tc>
              <w:tc>
                <w:tcPr>
                  <w:tcW w:w="1329" w:type="dxa"/>
                  <w:tcBorders>
                    <w:tl2br w:val="nil"/>
                    <w:tr2bl w:val="nil"/>
                  </w:tcBorders>
                  <w:noWrap w:val="0"/>
                  <w:tcMar>
                    <w:top w:w="0" w:type="dxa"/>
                    <w:left w:w="28" w:type="dxa"/>
                    <w:bottom w:w="0" w:type="dxa"/>
                    <w:right w:w="28" w:type="dxa"/>
                  </w:tcMar>
                  <w:vAlign w:val="center"/>
                </w:tcPr>
                <w:p w14:paraId="333506C1">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 xml:space="preserve">0.573 </w:t>
                  </w:r>
                </w:p>
              </w:tc>
              <w:tc>
                <w:tcPr>
                  <w:tcW w:w="1261" w:type="dxa"/>
                  <w:tcBorders>
                    <w:tl2br w:val="nil"/>
                    <w:tr2bl w:val="nil"/>
                  </w:tcBorders>
                  <w:noWrap w:val="0"/>
                  <w:tcMar>
                    <w:top w:w="0" w:type="dxa"/>
                    <w:left w:w="28" w:type="dxa"/>
                    <w:bottom w:w="0" w:type="dxa"/>
                    <w:right w:w="28" w:type="dxa"/>
                  </w:tcMar>
                  <w:vAlign w:val="center"/>
                </w:tcPr>
                <w:p w14:paraId="4EC64FB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12.09</w:t>
                  </w:r>
                </w:p>
              </w:tc>
              <w:tc>
                <w:tcPr>
                  <w:tcW w:w="1397" w:type="dxa"/>
                  <w:tcBorders>
                    <w:tl2br w:val="nil"/>
                    <w:tr2bl w:val="nil"/>
                  </w:tcBorders>
                  <w:noWrap w:val="0"/>
                  <w:tcMar>
                    <w:top w:w="0" w:type="dxa"/>
                    <w:left w:w="28" w:type="dxa"/>
                    <w:bottom w:w="0" w:type="dxa"/>
                    <w:right w:w="28" w:type="dxa"/>
                  </w:tcMar>
                  <w:vAlign w:val="center"/>
                </w:tcPr>
                <w:p w14:paraId="7A16686F">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3.0</w:t>
                  </w:r>
                </w:p>
              </w:tc>
            </w:tr>
            <w:tr w14:paraId="61D5A6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894BFB3">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202</w:t>
                  </w:r>
                  <w:r>
                    <w:rPr>
                      <w:rFonts w:hint="eastAsia"/>
                      <w:color w:val="auto"/>
                      <w:lang w:val="en-US" w:eastAsia="zh-CN"/>
                    </w:rPr>
                    <w:t>4</w:t>
                  </w:r>
                  <w:r>
                    <w:rPr>
                      <w:rFonts w:hint="default"/>
                      <w:color w:val="auto"/>
                    </w:rPr>
                    <w:t>年52周</w:t>
                  </w:r>
                </w:p>
              </w:tc>
              <w:tc>
                <w:tcPr>
                  <w:tcW w:w="1211" w:type="dxa"/>
                  <w:tcBorders>
                    <w:tl2br w:val="nil"/>
                    <w:tr2bl w:val="nil"/>
                  </w:tcBorders>
                  <w:noWrap w:val="0"/>
                  <w:tcMar>
                    <w:top w:w="0" w:type="dxa"/>
                    <w:left w:w="28" w:type="dxa"/>
                    <w:bottom w:w="0" w:type="dxa"/>
                    <w:right w:w="28" w:type="dxa"/>
                  </w:tcMar>
                  <w:vAlign w:val="center"/>
                </w:tcPr>
                <w:p w14:paraId="0D5DF73A">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16.2</w:t>
                  </w:r>
                </w:p>
              </w:tc>
              <w:tc>
                <w:tcPr>
                  <w:tcW w:w="1329" w:type="dxa"/>
                  <w:tcBorders>
                    <w:tl2br w:val="nil"/>
                    <w:tr2bl w:val="nil"/>
                  </w:tcBorders>
                  <w:noWrap w:val="0"/>
                  <w:tcMar>
                    <w:top w:w="0" w:type="dxa"/>
                    <w:left w:w="28" w:type="dxa"/>
                    <w:bottom w:w="0" w:type="dxa"/>
                    <w:right w:w="28" w:type="dxa"/>
                  </w:tcMar>
                  <w:vAlign w:val="center"/>
                </w:tcPr>
                <w:p w14:paraId="1692E270">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1.26</w:t>
                  </w:r>
                </w:p>
              </w:tc>
              <w:tc>
                <w:tcPr>
                  <w:tcW w:w="1329" w:type="dxa"/>
                  <w:tcBorders>
                    <w:tl2br w:val="nil"/>
                    <w:tr2bl w:val="nil"/>
                  </w:tcBorders>
                  <w:noWrap w:val="0"/>
                  <w:tcMar>
                    <w:top w:w="0" w:type="dxa"/>
                    <w:left w:w="28" w:type="dxa"/>
                    <w:bottom w:w="0" w:type="dxa"/>
                    <w:right w:w="28" w:type="dxa"/>
                  </w:tcMar>
                  <w:vAlign w:val="center"/>
                </w:tcPr>
                <w:p w14:paraId="61C5C455">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0.</w:t>
                  </w:r>
                  <w:r>
                    <w:rPr>
                      <w:rFonts w:hint="eastAsia"/>
                      <w:color w:val="auto"/>
                      <w:lang w:val="en-US" w:eastAsia="zh-CN"/>
                    </w:rPr>
                    <w:t>246</w:t>
                  </w:r>
                </w:p>
              </w:tc>
              <w:tc>
                <w:tcPr>
                  <w:tcW w:w="1261" w:type="dxa"/>
                  <w:tcBorders>
                    <w:tl2br w:val="nil"/>
                    <w:tr2bl w:val="nil"/>
                  </w:tcBorders>
                  <w:noWrap w:val="0"/>
                  <w:tcMar>
                    <w:top w:w="0" w:type="dxa"/>
                    <w:left w:w="28" w:type="dxa"/>
                    <w:bottom w:w="0" w:type="dxa"/>
                    <w:right w:w="28" w:type="dxa"/>
                  </w:tcMar>
                  <w:vAlign w:val="center"/>
                </w:tcPr>
                <w:p w14:paraId="6908F017">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default"/>
                      <w:color w:val="auto"/>
                      <w:lang w:val="en-US" w:eastAsia="zh-CN"/>
                    </w:rPr>
                    <w:t>9.94</w:t>
                  </w:r>
                </w:p>
              </w:tc>
              <w:tc>
                <w:tcPr>
                  <w:tcW w:w="1397" w:type="dxa"/>
                  <w:tcBorders>
                    <w:tl2br w:val="nil"/>
                    <w:tr2bl w:val="nil"/>
                  </w:tcBorders>
                  <w:noWrap w:val="0"/>
                  <w:tcMar>
                    <w:top w:w="0" w:type="dxa"/>
                    <w:left w:w="28" w:type="dxa"/>
                    <w:bottom w:w="0" w:type="dxa"/>
                    <w:right w:w="28" w:type="dxa"/>
                  </w:tcMar>
                  <w:vAlign w:val="center"/>
                </w:tcPr>
                <w:p w14:paraId="0C1789A1">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2.6</w:t>
                  </w:r>
                </w:p>
              </w:tc>
            </w:tr>
            <w:tr w14:paraId="42A982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0DB21D16">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default"/>
                      <w:color w:val="auto"/>
                    </w:rPr>
                    <w:t>平均值</w:t>
                  </w:r>
                </w:p>
              </w:tc>
              <w:tc>
                <w:tcPr>
                  <w:tcW w:w="1211" w:type="dxa"/>
                  <w:tcBorders>
                    <w:tl2br w:val="nil"/>
                    <w:tr2bl w:val="nil"/>
                  </w:tcBorders>
                  <w:noWrap w:val="0"/>
                  <w:tcMar>
                    <w:top w:w="0" w:type="dxa"/>
                    <w:left w:w="28" w:type="dxa"/>
                    <w:bottom w:w="0" w:type="dxa"/>
                    <w:right w:w="28" w:type="dxa"/>
                  </w:tcMar>
                  <w:vAlign w:val="center"/>
                </w:tcPr>
                <w:p w14:paraId="72B2E1C9">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26.9</w:t>
                  </w:r>
                </w:p>
              </w:tc>
              <w:tc>
                <w:tcPr>
                  <w:tcW w:w="1329" w:type="dxa"/>
                  <w:tcBorders>
                    <w:tl2br w:val="nil"/>
                    <w:tr2bl w:val="nil"/>
                  </w:tcBorders>
                  <w:noWrap w:val="0"/>
                  <w:tcMar>
                    <w:top w:w="0" w:type="dxa"/>
                    <w:left w:w="28" w:type="dxa"/>
                    <w:bottom w:w="0" w:type="dxa"/>
                    <w:right w:w="28" w:type="dxa"/>
                  </w:tcMar>
                  <w:vAlign w:val="center"/>
                </w:tcPr>
                <w:p w14:paraId="7843A31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0.937</w:t>
                  </w:r>
                </w:p>
              </w:tc>
              <w:tc>
                <w:tcPr>
                  <w:tcW w:w="1329" w:type="dxa"/>
                  <w:tcBorders>
                    <w:tl2br w:val="nil"/>
                    <w:tr2bl w:val="nil"/>
                  </w:tcBorders>
                  <w:noWrap w:val="0"/>
                  <w:tcMar>
                    <w:top w:w="0" w:type="dxa"/>
                    <w:left w:w="28" w:type="dxa"/>
                    <w:bottom w:w="0" w:type="dxa"/>
                    <w:right w:w="28" w:type="dxa"/>
                  </w:tcMar>
                  <w:vAlign w:val="center"/>
                </w:tcPr>
                <w:p w14:paraId="461A0CFE">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0.308</w:t>
                  </w:r>
                </w:p>
              </w:tc>
              <w:tc>
                <w:tcPr>
                  <w:tcW w:w="1261" w:type="dxa"/>
                  <w:tcBorders>
                    <w:tl2br w:val="nil"/>
                    <w:tr2bl w:val="nil"/>
                  </w:tcBorders>
                  <w:noWrap w:val="0"/>
                  <w:tcMar>
                    <w:top w:w="0" w:type="dxa"/>
                    <w:left w:w="28" w:type="dxa"/>
                    <w:bottom w:w="0" w:type="dxa"/>
                    <w:right w:w="28" w:type="dxa"/>
                  </w:tcMar>
                  <w:vAlign w:val="center"/>
                </w:tcPr>
                <w:p w14:paraId="3CFF1379">
                  <w:pPr>
                    <w:pStyle w:val="78"/>
                    <w:keepNext w:val="0"/>
                    <w:keepLines w:val="0"/>
                    <w:suppressLineNumbers w:val="0"/>
                    <w:tabs>
                      <w:tab w:val="right" w:leader="dot" w:pos="8296"/>
                    </w:tabs>
                    <w:bidi w:val="0"/>
                    <w:spacing w:before="0" w:beforeAutospacing="0" w:after="0" w:afterAutospacing="0"/>
                    <w:ind w:right="0"/>
                    <w:rPr>
                      <w:rFonts w:hint="eastAsia"/>
                      <w:color w:val="auto"/>
                      <w:lang w:val="en-US" w:eastAsia="zh-CN"/>
                    </w:rPr>
                  </w:pPr>
                  <w:r>
                    <w:rPr>
                      <w:rFonts w:hint="eastAsia"/>
                      <w:color w:val="auto"/>
                      <w:lang w:val="en-US" w:eastAsia="zh-CN"/>
                    </w:rPr>
                    <w:t>9.97</w:t>
                  </w:r>
                </w:p>
              </w:tc>
              <w:tc>
                <w:tcPr>
                  <w:tcW w:w="1397" w:type="dxa"/>
                  <w:tcBorders>
                    <w:tl2br w:val="nil"/>
                    <w:tr2bl w:val="nil"/>
                  </w:tcBorders>
                  <w:noWrap w:val="0"/>
                  <w:tcMar>
                    <w:top w:w="0" w:type="dxa"/>
                    <w:left w:w="28" w:type="dxa"/>
                    <w:bottom w:w="0" w:type="dxa"/>
                    <w:right w:w="28" w:type="dxa"/>
                  </w:tcMar>
                  <w:vAlign w:val="center"/>
                </w:tcPr>
                <w:p w14:paraId="76810CF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7.9</w:t>
                  </w:r>
                </w:p>
              </w:tc>
            </w:tr>
            <w:tr w14:paraId="321AC0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5E0B484D">
                  <w:pPr>
                    <w:pStyle w:val="78"/>
                    <w:keepNext w:val="0"/>
                    <w:keepLines w:val="0"/>
                    <w:suppressLineNumbers w:val="0"/>
                    <w:tabs>
                      <w:tab w:val="right" w:leader="dot" w:pos="8296"/>
                    </w:tabs>
                    <w:bidi w:val="0"/>
                    <w:spacing w:before="0" w:beforeAutospacing="0" w:after="0" w:afterAutospacing="0"/>
                    <w:ind w:right="0"/>
                    <w:rPr>
                      <w:rFonts w:hint="default"/>
                      <w:color w:val="auto"/>
                    </w:rPr>
                  </w:pPr>
                  <w:r>
                    <w:rPr>
                      <w:rFonts w:hint="eastAsia"/>
                      <w:color w:val="auto"/>
                      <w:lang w:val="en-US" w:eastAsia="zh-CN"/>
                    </w:rPr>
                    <w:t>Ⅲ</w:t>
                  </w:r>
                  <w:r>
                    <w:rPr>
                      <w:rFonts w:hint="default"/>
                      <w:color w:val="auto"/>
                    </w:rPr>
                    <w:t>类水质标准</w:t>
                  </w:r>
                </w:p>
              </w:tc>
              <w:tc>
                <w:tcPr>
                  <w:tcW w:w="1211" w:type="dxa"/>
                  <w:tcBorders>
                    <w:tl2br w:val="nil"/>
                    <w:tr2bl w:val="nil"/>
                  </w:tcBorders>
                  <w:noWrap w:val="0"/>
                  <w:tcMar>
                    <w:top w:w="0" w:type="dxa"/>
                    <w:left w:w="28" w:type="dxa"/>
                    <w:bottom w:w="0" w:type="dxa"/>
                    <w:right w:w="28" w:type="dxa"/>
                  </w:tcMar>
                  <w:vAlign w:val="center"/>
                </w:tcPr>
                <w:p w14:paraId="6C2684AC">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20</w:t>
                  </w:r>
                </w:p>
              </w:tc>
              <w:tc>
                <w:tcPr>
                  <w:tcW w:w="1329" w:type="dxa"/>
                  <w:tcBorders>
                    <w:tl2br w:val="nil"/>
                    <w:tr2bl w:val="nil"/>
                  </w:tcBorders>
                  <w:noWrap w:val="0"/>
                  <w:tcMar>
                    <w:top w:w="0" w:type="dxa"/>
                    <w:left w:w="28" w:type="dxa"/>
                    <w:bottom w:w="0" w:type="dxa"/>
                    <w:right w:w="28" w:type="dxa"/>
                  </w:tcMar>
                  <w:vAlign w:val="center"/>
                </w:tcPr>
                <w:p w14:paraId="670F86B3">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w:t>
                  </w:r>
                </w:p>
              </w:tc>
              <w:tc>
                <w:tcPr>
                  <w:tcW w:w="1329" w:type="dxa"/>
                  <w:tcBorders>
                    <w:tl2br w:val="nil"/>
                    <w:tr2bl w:val="nil"/>
                  </w:tcBorders>
                  <w:noWrap w:val="0"/>
                  <w:tcMar>
                    <w:top w:w="0" w:type="dxa"/>
                    <w:left w:w="28" w:type="dxa"/>
                    <w:bottom w:w="0" w:type="dxa"/>
                    <w:right w:w="28" w:type="dxa"/>
                  </w:tcMar>
                  <w:vAlign w:val="center"/>
                </w:tcPr>
                <w:p w14:paraId="3946C7A0">
                  <w:pPr>
                    <w:pStyle w:val="78"/>
                    <w:keepNext w:val="0"/>
                    <w:keepLines w:val="0"/>
                    <w:suppressLineNumbers w:val="0"/>
                    <w:tabs>
                      <w:tab w:val="right" w:leader="dot" w:pos="8296"/>
                    </w:tabs>
                    <w:bidi w:val="0"/>
                    <w:spacing w:before="0" w:beforeAutospacing="0" w:after="0" w:afterAutospacing="0"/>
                    <w:ind w:right="0"/>
                    <w:rPr>
                      <w:rFonts w:hint="eastAsia"/>
                      <w:color w:val="auto"/>
                      <w:lang w:val="en-US" w:eastAsia="zh-CN"/>
                    </w:rPr>
                  </w:pPr>
                  <w:r>
                    <w:rPr>
                      <w:rFonts w:hint="default"/>
                      <w:color w:val="auto"/>
                    </w:rPr>
                    <w:t>0.</w:t>
                  </w:r>
                  <w:r>
                    <w:rPr>
                      <w:rFonts w:hint="eastAsia"/>
                      <w:color w:val="auto"/>
                      <w:lang w:val="en-US" w:eastAsia="zh-CN"/>
                    </w:rPr>
                    <w:t>2</w:t>
                  </w:r>
                </w:p>
              </w:tc>
              <w:tc>
                <w:tcPr>
                  <w:tcW w:w="1261" w:type="dxa"/>
                  <w:tcBorders>
                    <w:tl2br w:val="nil"/>
                    <w:tr2bl w:val="nil"/>
                  </w:tcBorders>
                  <w:noWrap w:val="0"/>
                  <w:tcMar>
                    <w:top w:w="0" w:type="dxa"/>
                    <w:left w:w="28" w:type="dxa"/>
                    <w:bottom w:w="0" w:type="dxa"/>
                    <w:right w:w="28" w:type="dxa"/>
                  </w:tcMar>
                  <w:vAlign w:val="center"/>
                </w:tcPr>
                <w:p w14:paraId="596A4BFD">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1.0</w:t>
                  </w:r>
                </w:p>
              </w:tc>
              <w:tc>
                <w:tcPr>
                  <w:tcW w:w="1397" w:type="dxa"/>
                  <w:tcBorders>
                    <w:tl2br w:val="nil"/>
                    <w:tr2bl w:val="nil"/>
                  </w:tcBorders>
                  <w:noWrap w:val="0"/>
                  <w:tcMar>
                    <w:top w:w="0" w:type="dxa"/>
                    <w:left w:w="28" w:type="dxa"/>
                    <w:bottom w:w="0" w:type="dxa"/>
                    <w:right w:w="28" w:type="dxa"/>
                  </w:tcMar>
                  <w:vAlign w:val="center"/>
                </w:tcPr>
                <w:p w14:paraId="1A91B560">
                  <w:pPr>
                    <w:pStyle w:val="78"/>
                    <w:keepNext w:val="0"/>
                    <w:keepLines w:val="0"/>
                    <w:suppressLineNumbers w:val="0"/>
                    <w:tabs>
                      <w:tab w:val="right" w:leader="dot" w:pos="8296"/>
                    </w:tabs>
                    <w:bidi w:val="0"/>
                    <w:spacing w:before="0" w:beforeAutospacing="0" w:after="0" w:afterAutospacing="0"/>
                    <w:ind w:right="0"/>
                    <w:rPr>
                      <w:rFonts w:hint="default"/>
                      <w:color w:val="auto"/>
                      <w:lang w:val="en-US" w:eastAsia="zh-CN"/>
                    </w:rPr>
                  </w:pPr>
                  <w:r>
                    <w:rPr>
                      <w:rFonts w:hint="eastAsia"/>
                      <w:color w:val="auto"/>
                      <w:lang w:val="en-US" w:eastAsia="zh-CN"/>
                    </w:rPr>
                    <w:t>6</w:t>
                  </w:r>
                </w:p>
              </w:tc>
            </w:tr>
            <w:tr w14:paraId="166230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83" w:hRule="atLeast"/>
                <w:jc w:val="center"/>
              </w:trPr>
              <w:tc>
                <w:tcPr>
                  <w:tcW w:w="1444" w:type="dxa"/>
                  <w:tcBorders>
                    <w:tl2br w:val="nil"/>
                    <w:tr2bl w:val="nil"/>
                  </w:tcBorders>
                  <w:noWrap w:val="0"/>
                  <w:tcMar>
                    <w:top w:w="0" w:type="dxa"/>
                    <w:left w:w="28" w:type="dxa"/>
                    <w:bottom w:w="0" w:type="dxa"/>
                    <w:right w:w="28" w:type="dxa"/>
                  </w:tcMar>
                  <w:vAlign w:val="center"/>
                </w:tcPr>
                <w:p w14:paraId="14AF847F">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Ⅴ类水质指标</w:t>
                  </w:r>
                </w:p>
              </w:tc>
              <w:tc>
                <w:tcPr>
                  <w:tcW w:w="1211" w:type="dxa"/>
                  <w:tcBorders>
                    <w:tl2br w:val="nil"/>
                    <w:tr2bl w:val="nil"/>
                  </w:tcBorders>
                  <w:noWrap w:val="0"/>
                  <w:tcMar>
                    <w:top w:w="0" w:type="dxa"/>
                    <w:left w:w="28" w:type="dxa"/>
                    <w:bottom w:w="0" w:type="dxa"/>
                    <w:right w:w="28" w:type="dxa"/>
                  </w:tcMar>
                  <w:vAlign w:val="center"/>
                </w:tcPr>
                <w:p w14:paraId="283D8406">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40</w:t>
                  </w:r>
                </w:p>
              </w:tc>
              <w:tc>
                <w:tcPr>
                  <w:tcW w:w="1329" w:type="dxa"/>
                  <w:tcBorders>
                    <w:tl2br w:val="nil"/>
                    <w:tr2bl w:val="nil"/>
                  </w:tcBorders>
                  <w:noWrap w:val="0"/>
                  <w:tcMar>
                    <w:top w:w="0" w:type="dxa"/>
                    <w:left w:w="28" w:type="dxa"/>
                    <w:bottom w:w="0" w:type="dxa"/>
                    <w:right w:w="28" w:type="dxa"/>
                  </w:tcMar>
                  <w:vAlign w:val="center"/>
                </w:tcPr>
                <w:p w14:paraId="31526CCD">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2.0</w:t>
                  </w:r>
                </w:p>
              </w:tc>
              <w:tc>
                <w:tcPr>
                  <w:tcW w:w="1329" w:type="dxa"/>
                  <w:tcBorders>
                    <w:tl2br w:val="nil"/>
                    <w:tr2bl w:val="nil"/>
                  </w:tcBorders>
                  <w:noWrap w:val="0"/>
                  <w:tcMar>
                    <w:top w:w="0" w:type="dxa"/>
                    <w:left w:w="28" w:type="dxa"/>
                    <w:bottom w:w="0" w:type="dxa"/>
                    <w:right w:w="28" w:type="dxa"/>
                  </w:tcMar>
                  <w:vAlign w:val="center"/>
                </w:tcPr>
                <w:p w14:paraId="69A15006">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default"/>
                      <w:color w:val="auto"/>
                    </w:rPr>
                  </w:pPr>
                  <w:r>
                    <w:rPr>
                      <w:rFonts w:hint="eastAsia"/>
                      <w:color w:val="auto"/>
                      <w:highlight w:val="none"/>
                      <w:lang w:val="en-US" w:eastAsia="zh-CN"/>
                    </w:rPr>
                    <w:t>0.4</w:t>
                  </w:r>
                </w:p>
              </w:tc>
              <w:tc>
                <w:tcPr>
                  <w:tcW w:w="1261" w:type="dxa"/>
                  <w:tcBorders>
                    <w:tl2br w:val="nil"/>
                    <w:tr2bl w:val="nil"/>
                  </w:tcBorders>
                  <w:noWrap w:val="0"/>
                  <w:tcMar>
                    <w:top w:w="0" w:type="dxa"/>
                    <w:left w:w="28" w:type="dxa"/>
                    <w:bottom w:w="0" w:type="dxa"/>
                    <w:right w:w="28" w:type="dxa"/>
                  </w:tcMar>
                  <w:vAlign w:val="center"/>
                </w:tcPr>
                <w:p w14:paraId="560BF41D">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2.0</w:t>
                  </w:r>
                </w:p>
              </w:tc>
              <w:tc>
                <w:tcPr>
                  <w:tcW w:w="1397" w:type="dxa"/>
                  <w:tcBorders>
                    <w:tl2br w:val="nil"/>
                    <w:tr2bl w:val="nil"/>
                  </w:tcBorders>
                  <w:noWrap w:val="0"/>
                  <w:tcMar>
                    <w:top w:w="0" w:type="dxa"/>
                    <w:left w:w="28" w:type="dxa"/>
                    <w:bottom w:w="0" w:type="dxa"/>
                    <w:right w:w="28" w:type="dxa"/>
                  </w:tcMar>
                  <w:vAlign w:val="center"/>
                </w:tcPr>
                <w:p w14:paraId="3C1F0733">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olor w:val="auto"/>
                      <w:lang w:val="en-US" w:eastAsia="zh-CN"/>
                    </w:rPr>
                  </w:pPr>
                  <w:r>
                    <w:rPr>
                      <w:rFonts w:hint="eastAsia"/>
                      <w:color w:val="auto"/>
                      <w:highlight w:val="none"/>
                      <w:lang w:val="en-US" w:eastAsia="zh-CN"/>
                    </w:rPr>
                    <w:t>15</w:t>
                  </w:r>
                </w:p>
              </w:tc>
            </w:tr>
          </w:tbl>
          <w:p w14:paraId="61622C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kern w:val="0"/>
                <w:sz w:val="24"/>
                <w:szCs w:val="24"/>
                <w:highlight w:val="none"/>
                <w:lang w:val="en-US" w:eastAsia="zh-CN"/>
              </w:rPr>
            </w:pPr>
            <w:r>
              <w:rPr>
                <w:rFonts w:hint="eastAsia"/>
                <w:color w:val="auto"/>
                <w:sz w:val="24"/>
                <w:szCs w:val="24"/>
                <w:highlight w:val="none"/>
              </w:rPr>
              <w:t>由上表可知，</w:t>
            </w:r>
            <w:r>
              <w:rPr>
                <w:rFonts w:hint="default" w:ascii="Times New Roman" w:hAnsi="Times New Roman" w:eastAsia="宋体" w:cs="宋体"/>
                <w:color w:val="auto"/>
                <w:kern w:val="0"/>
                <w:sz w:val="24"/>
                <w:szCs w:val="24"/>
                <w:highlight w:val="none"/>
                <w:lang w:val="en-US" w:eastAsia="zh-CN"/>
              </w:rPr>
              <w:t>202</w:t>
            </w:r>
            <w:r>
              <w:rPr>
                <w:rFonts w:hint="eastAsia" w:ascii="Times New Roman" w:hAnsi="Times New Roman" w:eastAsia="宋体" w:cs="宋体"/>
                <w:color w:val="auto"/>
                <w:kern w:val="0"/>
                <w:sz w:val="24"/>
                <w:szCs w:val="24"/>
                <w:highlight w:val="none"/>
                <w:lang w:val="en-US" w:eastAsia="zh-CN"/>
              </w:rPr>
              <w:t>4</w:t>
            </w:r>
            <w:r>
              <w:rPr>
                <w:rFonts w:hint="default" w:ascii="Times New Roman" w:hAnsi="Times New Roman" w:eastAsia="宋体" w:cs="宋体"/>
                <w:color w:val="auto"/>
                <w:kern w:val="0"/>
                <w:sz w:val="24"/>
                <w:szCs w:val="24"/>
                <w:highlight w:val="none"/>
                <w:lang w:val="en-US" w:eastAsia="zh-CN"/>
              </w:rPr>
              <w:t>年汤河石辛庄断面水质</w:t>
            </w:r>
            <w:r>
              <w:rPr>
                <w:rFonts w:hint="eastAsia" w:ascii="Times New Roman" w:hAnsi="Times New Roman" w:eastAsia="宋体" w:cs="宋体"/>
                <w:color w:val="auto"/>
                <w:kern w:val="0"/>
                <w:sz w:val="24"/>
                <w:szCs w:val="24"/>
                <w:highlight w:val="none"/>
                <w:lang w:eastAsia="zh-CN"/>
              </w:rPr>
              <w:t>总磷年均</w:t>
            </w:r>
            <w:r>
              <w:rPr>
                <w:rFonts w:hint="default" w:ascii="Times New Roman" w:hAnsi="Times New Roman" w:eastAsia="宋体" w:cs="宋体"/>
                <w:color w:val="auto"/>
                <w:kern w:val="0"/>
                <w:sz w:val="24"/>
                <w:szCs w:val="24"/>
                <w:highlight w:val="none"/>
              </w:rPr>
              <w:t>值不能满足《地表水环境质量标准》（GB3838-2002）Ⅴ类标准的要求</w:t>
            </w:r>
            <w:r>
              <w:rPr>
                <w:rFonts w:hint="eastAsia" w:ascii="Times New Roman" w:hAnsi="Times New Roman" w:eastAsia="宋体" w:cs="宋体"/>
                <w:color w:val="auto"/>
                <w:kern w:val="0"/>
                <w:sz w:val="24"/>
                <w:szCs w:val="24"/>
                <w:highlight w:val="none"/>
                <w:lang w:eastAsia="zh-CN"/>
              </w:rPr>
              <w:t>。</w:t>
            </w:r>
            <w:r>
              <w:rPr>
                <w:rFonts w:hint="eastAsia"/>
                <w:color w:val="auto"/>
                <w:sz w:val="24"/>
                <w:szCs w:val="24"/>
                <w:highlight w:val="none"/>
              </w:rPr>
              <w:t>由上表可知，</w:t>
            </w:r>
            <w:r>
              <w:rPr>
                <w:rFonts w:hint="default" w:ascii="Times New Roman" w:hAnsi="Times New Roman" w:eastAsia="宋体" w:cs="宋体"/>
                <w:color w:val="auto"/>
                <w:kern w:val="0"/>
                <w:sz w:val="24"/>
                <w:szCs w:val="24"/>
                <w:highlight w:val="none"/>
                <w:lang w:val="en-US" w:eastAsia="zh-CN"/>
              </w:rPr>
              <w:t>202</w:t>
            </w:r>
            <w:r>
              <w:rPr>
                <w:rFonts w:hint="eastAsia" w:ascii="Times New Roman" w:hAnsi="Times New Roman" w:eastAsia="宋体" w:cs="宋体"/>
                <w:color w:val="auto"/>
                <w:kern w:val="0"/>
                <w:sz w:val="24"/>
                <w:szCs w:val="24"/>
                <w:highlight w:val="none"/>
                <w:lang w:val="en-US" w:eastAsia="zh-CN"/>
              </w:rPr>
              <w:t>4</w:t>
            </w:r>
            <w:r>
              <w:rPr>
                <w:rFonts w:hint="default" w:ascii="Times New Roman" w:hAnsi="Times New Roman" w:eastAsia="宋体" w:cs="宋体"/>
                <w:color w:val="auto"/>
                <w:kern w:val="0"/>
                <w:sz w:val="24"/>
                <w:szCs w:val="24"/>
                <w:highlight w:val="none"/>
                <w:lang w:val="en-US" w:eastAsia="zh-CN"/>
              </w:rPr>
              <w:t>年汤河石辛庄断面水质</w:t>
            </w:r>
            <w:r>
              <w:rPr>
                <w:rFonts w:hint="eastAsia" w:ascii="Times New Roman" w:hAnsi="Times New Roman" w:eastAsia="宋体" w:cs="宋体"/>
                <w:color w:val="auto"/>
                <w:kern w:val="0"/>
                <w:sz w:val="24"/>
                <w:szCs w:val="24"/>
                <w:highlight w:val="none"/>
                <w:lang w:val="en-US" w:eastAsia="zh-CN"/>
              </w:rPr>
              <w:t>COD、</w:t>
            </w:r>
            <w:r>
              <w:rPr>
                <w:rFonts w:hint="default" w:ascii="Times New Roman" w:hAnsi="Times New Roman" w:eastAsia="宋体" w:cs="宋体"/>
                <w:color w:val="auto"/>
                <w:kern w:val="0"/>
                <w:sz w:val="24"/>
                <w:szCs w:val="24"/>
                <w:highlight w:val="none"/>
              </w:rPr>
              <w:t>总氮</w:t>
            </w:r>
            <w:r>
              <w:rPr>
                <w:rFonts w:hint="eastAsia" w:ascii="Times New Roman" w:hAnsi="Times New Roman" w:eastAsia="宋体" w:cs="宋体"/>
                <w:color w:val="auto"/>
                <w:kern w:val="0"/>
                <w:sz w:val="24"/>
                <w:szCs w:val="24"/>
                <w:highlight w:val="none"/>
                <w:lang w:eastAsia="zh-CN"/>
              </w:rPr>
              <w:t>、总磷、氨氮、高锰酸盐指数年均</w:t>
            </w:r>
            <w:r>
              <w:rPr>
                <w:rFonts w:hint="default" w:ascii="Times New Roman" w:hAnsi="Times New Roman" w:eastAsia="宋体" w:cs="宋体"/>
                <w:color w:val="auto"/>
                <w:kern w:val="0"/>
                <w:sz w:val="24"/>
                <w:szCs w:val="24"/>
                <w:highlight w:val="none"/>
              </w:rPr>
              <w:t>值不能满足《地表水环境质量标准》（GB3838-2002）</w:t>
            </w:r>
            <w:r>
              <w:rPr>
                <w:rFonts w:hint="default" w:ascii="Times New Roman" w:hAnsi="Times New Roman" w:eastAsia="宋体" w:cs="Times New Roman"/>
                <w:color w:val="auto"/>
                <w:kern w:val="0"/>
                <w:sz w:val="24"/>
                <w:szCs w:val="24"/>
                <w:highlight w:val="none"/>
              </w:rPr>
              <w:t>Ⅲ</w:t>
            </w:r>
            <w:r>
              <w:rPr>
                <w:rFonts w:hint="default" w:ascii="Times New Roman" w:hAnsi="Times New Roman" w:eastAsia="宋体" w:cs="宋体"/>
                <w:color w:val="auto"/>
                <w:kern w:val="0"/>
                <w:sz w:val="24"/>
                <w:szCs w:val="24"/>
                <w:highlight w:val="none"/>
              </w:rPr>
              <w:t>类标准的要求</w:t>
            </w:r>
            <w:r>
              <w:rPr>
                <w:rFonts w:hint="eastAsia" w:ascii="Times New Roman" w:hAnsi="Times New Roman" w:eastAsia="宋体" w:cs="宋体"/>
                <w:color w:val="auto"/>
                <w:kern w:val="0"/>
                <w:sz w:val="24"/>
                <w:szCs w:val="24"/>
                <w:highlight w:val="none"/>
                <w:lang w:eastAsia="zh-CN"/>
              </w:rPr>
              <w:t>。</w:t>
            </w:r>
          </w:p>
          <w:p w14:paraId="1705AD42">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eastAsia="zh-CN"/>
              </w:rPr>
            </w:pPr>
            <w:r>
              <w:rPr>
                <w:rFonts w:hint="eastAsia"/>
                <w:color w:val="auto"/>
                <w:sz w:val="24"/>
                <w:szCs w:val="24"/>
              </w:rPr>
              <w:t>随着安阳市生态环境保护委员会</w:t>
            </w:r>
            <w:r>
              <w:rPr>
                <w:rFonts w:hint="eastAsia"/>
                <w:color w:val="auto"/>
                <w:sz w:val="24"/>
                <w:szCs w:val="24"/>
                <w:highlight w:val="none"/>
                <w:lang w:eastAsia="zh-CN"/>
              </w:rPr>
              <w:t>（安环委〔202</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号）</w:t>
            </w:r>
            <w:r>
              <w:rPr>
                <w:rFonts w:hint="eastAsia"/>
                <w:color w:val="auto"/>
                <w:sz w:val="24"/>
                <w:szCs w:val="24"/>
                <w:lang w:eastAsia="zh-CN"/>
              </w:rPr>
              <w:t>中</w:t>
            </w:r>
            <w:r>
              <w:rPr>
                <w:rFonts w:hint="eastAsia"/>
                <w:color w:val="auto"/>
                <w:sz w:val="24"/>
                <w:szCs w:val="24"/>
              </w:rPr>
              <w:t>《安阳市202</w:t>
            </w:r>
            <w:r>
              <w:rPr>
                <w:rFonts w:hint="eastAsia"/>
                <w:color w:val="auto"/>
                <w:sz w:val="24"/>
                <w:szCs w:val="24"/>
                <w:lang w:val="en-US" w:eastAsia="zh-CN"/>
              </w:rPr>
              <w:t>6</w:t>
            </w:r>
            <w:r>
              <w:rPr>
                <w:rFonts w:hint="eastAsia"/>
                <w:color w:val="auto"/>
                <w:sz w:val="24"/>
                <w:szCs w:val="24"/>
              </w:rPr>
              <w:t>年碧水保卫战实施方案》等方案及计划的实施，汤河水质会得到持续改善。</w:t>
            </w:r>
          </w:p>
          <w:p w14:paraId="65C03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3.声环境质量现状</w:t>
            </w:r>
          </w:p>
          <w:p w14:paraId="4F49D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项目位于</w:t>
            </w:r>
            <w:r>
              <w:rPr>
                <w:rFonts w:hint="default" w:ascii="Times New Roman" w:hAnsi="Times New Roman" w:eastAsia="Times New Roman" w:cs="Times New Roman"/>
                <w:color w:val="auto"/>
                <w:sz w:val="24"/>
                <w:highlight w:val="none"/>
                <w:lang w:val="en-US" w:eastAsia="zh-CN"/>
              </w:rPr>
              <w:t>安阳市汤阴县</w:t>
            </w:r>
            <w:r>
              <w:rPr>
                <w:rFonts w:hint="eastAsia" w:eastAsia="Times New Roman" w:cs="Times New Roman"/>
                <w:color w:val="auto"/>
                <w:sz w:val="24"/>
                <w:highlight w:val="none"/>
                <w:lang w:val="en-US" w:eastAsia="zh-CN"/>
              </w:rPr>
              <w:t>古贤镇</w:t>
            </w:r>
            <w:r>
              <w:rPr>
                <w:rFonts w:hint="default" w:ascii="Times New Roman" w:hAnsi="Times New Roman" w:eastAsia="Times New Roman" w:cs="Times New Roman"/>
                <w:color w:val="auto"/>
                <w:sz w:val="24"/>
                <w:highlight w:val="none"/>
              </w:rPr>
              <w:t>，根据</w:t>
            </w:r>
            <w:r>
              <w:rPr>
                <w:rFonts w:hint="eastAsia" w:eastAsia="宋体" w:cs="Times New Roman"/>
                <w:color w:val="auto"/>
                <w:sz w:val="24"/>
                <w:highlight w:val="none"/>
                <w:lang w:eastAsia="zh-CN"/>
              </w:rPr>
              <w:t>项目园区规划环评</w:t>
            </w:r>
            <w:r>
              <w:rPr>
                <w:rFonts w:hint="default" w:ascii="Times New Roman" w:hAnsi="Times New Roman" w:eastAsia="Times New Roman" w:cs="Times New Roman"/>
                <w:color w:val="auto"/>
                <w:sz w:val="24"/>
                <w:highlight w:val="none"/>
              </w:rPr>
              <w:t>，项目所在区域执行《声环境质量标准》（GB3096-2008）中</w:t>
            </w:r>
            <w:r>
              <w:rPr>
                <w:rFonts w:hint="eastAsia" w:eastAsia="宋体" w:cs="Times New Roman"/>
                <w:color w:val="auto"/>
                <w:sz w:val="24"/>
                <w:highlight w:val="none"/>
                <w:lang w:val="en-US" w:eastAsia="zh-CN"/>
              </w:rPr>
              <w:t>2</w:t>
            </w:r>
            <w:r>
              <w:rPr>
                <w:rFonts w:hint="default" w:ascii="Times New Roman" w:hAnsi="Times New Roman" w:eastAsia="Times New Roman" w:cs="Times New Roman"/>
                <w:color w:val="auto"/>
                <w:sz w:val="24"/>
                <w:highlight w:val="none"/>
              </w:rPr>
              <w:t>类标准：</w:t>
            </w:r>
            <w:r>
              <w:rPr>
                <w:rFonts w:hint="default" w:ascii="Times New Roman" w:hAnsi="Times New Roman" w:eastAsia="Times New Roman" w:cs="Times New Roman"/>
                <w:color w:val="auto"/>
                <w:kern w:val="0"/>
                <w:sz w:val="24"/>
                <w:highlight w:val="none"/>
              </w:rPr>
              <w:t>昼间</w:t>
            </w:r>
            <w:r>
              <w:rPr>
                <w:rFonts w:hint="default" w:ascii="Times New Roman" w:hAnsi="Times New Roman" w:eastAsia="Times New Roman" w:cs="Times New Roman"/>
                <w:color w:val="auto"/>
                <w:highlight w:val="none"/>
              </w:rPr>
              <w:t>≤</w:t>
            </w:r>
            <w:r>
              <w:rPr>
                <w:rFonts w:hint="default" w:ascii="Times New Roman" w:hAnsi="Times New Roman" w:eastAsia="Times New Roman" w:cs="Times New Roman"/>
                <w:color w:val="auto"/>
                <w:kern w:val="0"/>
                <w:sz w:val="24"/>
                <w:highlight w:val="none"/>
              </w:rPr>
              <w:t>6</w:t>
            </w:r>
            <w:r>
              <w:rPr>
                <w:rFonts w:hint="eastAsia" w:eastAsia="宋体" w:cs="Times New Roman"/>
                <w:color w:val="auto"/>
                <w:kern w:val="0"/>
                <w:sz w:val="24"/>
                <w:highlight w:val="none"/>
                <w:lang w:val="en-US" w:eastAsia="zh-CN"/>
              </w:rPr>
              <w:t>0</w:t>
            </w:r>
            <w:r>
              <w:rPr>
                <w:rFonts w:hint="default" w:ascii="Times New Roman" w:hAnsi="Times New Roman" w:eastAsia="Times New Roman" w:cs="Times New Roman"/>
                <w:color w:val="auto"/>
                <w:sz w:val="24"/>
                <w:highlight w:val="none"/>
              </w:rPr>
              <w:t>dB(A)</w:t>
            </w:r>
            <w:r>
              <w:rPr>
                <w:rFonts w:hint="default" w:ascii="Times New Roman" w:hAnsi="Times New Roman" w:eastAsia="Times New Roman" w:cs="Times New Roman"/>
                <w:color w:val="auto"/>
                <w:kern w:val="0"/>
                <w:sz w:val="24"/>
                <w:highlight w:val="none"/>
              </w:rPr>
              <w:t>、夜间</w:t>
            </w:r>
            <w:r>
              <w:rPr>
                <w:rFonts w:hint="default" w:ascii="Times New Roman" w:hAnsi="Times New Roman" w:eastAsia="Times New Roman" w:cs="Times New Roman"/>
                <w:color w:val="auto"/>
                <w:highlight w:val="none"/>
              </w:rPr>
              <w:t>≤</w:t>
            </w:r>
            <w:r>
              <w:rPr>
                <w:rFonts w:hint="eastAsia" w:eastAsia="宋体" w:cs="Times New Roman"/>
                <w:color w:val="auto"/>
                <w:kern w:val="0"/>
                <w:sz w:val="24"/>
                <w:highlight w:val="none"/>
                <w:lang w:val="en-US" w:eastAsia="zh-CN"/>
              </w:rPr>
              <w:t>5</w:t>
            </w:r>
            <w:r>
              <w:rPr>
                <w:rFonts w:hint="eastAsia" w:cs="Times New Roman"/>
                <w:color w:val="auto"/>
                <w:kern w:val="0"/>
                <w:sz w:val="24"/>
                <w:highlight w:val="none"/>
                <w:lang w:val="en-US" w:eastAsia="zh-CN"/>
              </w:rPr>
              <w:t>0</w:t>
            </w:r>
            <w:r>
              <w:rPr>
                <w:rFonts w:hint="default" w:ascii="Times New Roman" w:hAnsi="Times New Roman" w:eastAsia="Times New Roman" w:cs="Times New Roman"/>
                <w:color w:val="auto"/>
                <w:kern w:val="0"/>
                <w:sz w:val="24"/>
                <w:highlight w:val="none"/>
              </w:rPr>
              <w:t>dB(A)</w:t>
            </w:r>
            <w:r>
              <w:rPr>
                <w:rFonts w:hint="default" w:ascii="Times New Roman" w:hAnsi="Times New Roman" w:eastAsia="Times New Roman" w:cs="Times New Roman"/>
                <w:color w:val="auto"/>
                <w:sz w:val="24"/>
                <w:highlight w:val="none"/>
              </w:rPr>
              <w:t>。</w:t>
            </w:r>
          </w:p>
          <w:p w14:paraId="31B80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lang w:val="zh-TW"/>
              </w:rPr>
              <w:t>项目50m范围内不涉及声环境敏感目标，</w:t>
            </w:r>
            <w:r>
              <w:rPr>
                <w:rFonts w:hint="default" w:ascii="Times New Roman" w:hAnsi="Times New Roman" w:eastAsia="Times New Roman" w:cs="Times New Roman"/>
                <w:color w:val="auto"/>
                <w:sz w:val="24"/>
                <w:highlight w:val="none"/>
                <w:lang w:val="zh-TW" w:eastAsia="zh-CN"/>
              </w:rPr>
              <w:t>不进行声环境质量现状调查</w:t>
            </w:r>
            <w:r>
              <w:rPr>
                <w:rFonts w:hint="default" w:ascii="Times New Roman" w:hAnsi="Times New Roman" w:eastAsia="Times New Roman" w:cs="Times New Roman"/>
                <w:color w:val="auto"/>
                <w:sz w:val="24"/>
                <w:highlight w:val="none"/>
              </w:rPr>
              <w:t>。</w:t>
            </w:r>
          </w:p>
          <w:p w14:paraId="3FC8EE3E">
            <w:pPr>
              <w:pStyle w:val="13"/>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color w:val="auto"/>
                <w:sz w:val="24"/>
                <w:highlight w:val="none"/>
              </w:rPr>
              <w:t>4.土壤环境质量现状</w:t>
            </w:r>
          </w:p>
          <w:p w14:paraId="49F600B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依据《建设项目环境影响报告表编制技术指南（污染影响类）（试行）》，原则上不开展土壤环境质量现状调查，建设项目存在土壤污染途径的，应结合污染源、保护目标分布情况开展现状调查以留作背景值。</w:t>
            </w:r>
          </w:p>
          <w:p w14:paraId="325C1271">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kern w:val="0"/>
                <w:sz w:val="24"/>
                <w:highlight w:val="none"/>
              </w:rPr>
              <w:t>本项目生产车间内地面已全部硬化</w:t>
            </w:r>
            <w:r>
              <w:rPr>
                <w:rFonts w:hint="eastAsia" w:eastAsia="宋体" w:cs="Times New Roman"/>
                <w:color w:val="auto"/>
                <w:kern w:val="0"/>
                <w:sz w:val="24"/>
                <w:highlight w:val="none"/>
                <w:lang w:eastAsia="zh-CN"/>
              </w:rPr>
              <w:t>，原料、成品仓库建成后全部硬化，建成前不进行储存</w:t>
            </w:r>
            <w:r>
              <w:rPr>
                <w:rFonts w:hint="default" w:ascii="Times New Roman" w:hAnsi="Times New Roman" w:eastAsia="Times New Roman" w:cs="Times New Roman"/>
                <w:color w:val="auto"/>
                <w:kern w:val="0"/>
                <w:sz w:val="24"/>
                <w:highlight w:val="none"/>
              </w:rPr>
              <w:t>，</w:t>
            </w:r>
            <w:r>
              <w:rPr>
                <w:rFonts w:hint="default" w:ascii="Times New Roman" w:hAnsi="Times New Roman" w:eastAsia="Times New Roman" w:cs="Times New Roman"/>
                <w:color w:val="auto"/>
                <w:kern w:val="0"/>
                <w:sz w:val="24"/>
                <w:highlight w:val="none"/>
              </w:rPr>
              <w:t>生产工序</w:t>
            </w:r>
            <w:r>
              <w:rPr>
                <w:rFonts w:hint="default" w:ascii="Times New Roman" w:hAnsi="Times New Roman" w:eastAsia="Times New Roman" w:cs="Times New Roman"/>
                <w:color w:val="auto"/>
                <w:kern w:val="0"/>
                <w:sz w:val="24"/>
                <w:highlight w:val="none"/>
                <w:lang w:val="en-US" w:eastAsia="zh-CN"/>
              </w:rPr>
              <w:t>主要产污环节均</w:t>
            </w:r>
            <w:r>
              <w:rPr>
                <w:rFonts w:hint="default" w:ascii="Times New Roman" w:hAnsi="Times New Roman" w:eastAsia="Times New Roman" w:cs="Times New Roman"/>
                <w:color w:val="auto"/>
                <w:kern w:val="0"/>
                <w:sz w:val="24"/>
                <w:highlight w:val="none"/>
              </w:rPr>
              <w:t>安装</w:t>
            </w:r>
            <w:r>
              <w:rPr>
                <w:rFonts w:hint="default" w:ascii="Times New Roman" w:hAnsi="Times New Roman" w:eastAsia="Times New Roman" w:cs="Times New Roman"/>
                <w:color w:val="auto"/>
                <w:kern w:val="0"/>
                <w:sz w:val="24"/>
                <w:highlight w:val="none"/>
                <w:lang w:val="en-US" w:eastAsia="zh-CN"/>
              </w:rPr>
              <w:t>集气及处理设施</w:t>
            </w:r>
            <w:r>
              <w:rPr>
                <w:rFonts w:hint="default" w:ascii="Times New Roman" w:hAnsi="Times New Roman" w:eastAsia="Times New Roman" w:cs="Times New Roman"/>
                <w:color w:val="auto"/>
                <w:kern w:val="0"/>
                <w:sz w:val="24"/>
                <w:highlight w:val="none"/>
              </w:rPr>
              <w:t>，能够有效减少</w:t>
            </w:r>
            <w:r>
              <w:rPr>
                <w:rFonts w:hint="default" w:ascii="Times New Roman" w:hAnsi="Times New Roman" w:eastAsia="Times New Roman" w:cs="Times New Roman"/>
                <w:color w:val="auto"/>
                <w:kern w:val="0"/>
                <w:sz w:val="24"/>
                <w:highlight w:val="none"/>
                <w:lang w:val="en-US" w:eastAsia="zh-CN"/>
              </w:rPr>
              <w:t>大气污染物</w:t>
            </w:r>
            <w:r>
              <w:rPr>
                <w:rFonts w:hint="default" w:ascii="Times New Roman" w:hAnsi="Times New Roman" w:eastAsia="Times New Roman" w:cs="Times New Roman"/>
                <w:color w:val="auto"/>
                <w:kern w:val="0"/>
                <w:sz w:val="24"/>
                <w:highlight w:val="none"/>
              </w:rPr>
              <w:t>排放，不涉及有毒有害污染物，项目</w:t>
            </w:r>
            <w:r>
              <w:rPr>
                <w:rFonts w:hint="default" w:ascii="Times New Roman" w:hAnsi="Times New Roman" w:eastAsia="Times New Roman" w:cs="Times New Roman"/>
                <w:color w:val="auto"/>
                <w:kern w:val="0"/>
                <w:sz w:val="24"/>
                <w:highlight w:val="none"/>
                <w:lang w:val="en-US" w:eastAsia="zh-CN"/>
              </w:rPr>
              <w:t>生产</w:t>
            </w:r>
            <w:r>
              <w:rPr>
                <w:rFonts w:hint="default" w:ascii="Times New Roman" w:hAnsi="Times New Roman" w:eastAsia="Times New Roman" w:cs="Times New Roman"/>
                <w:color w:val="auto"/>
                <w:kern w:val="0"/>
                <w:sz w:val="24"/>
                <w:highlight w:val="none"/>
              </w:rPr>
              <w:t>工艺过程不涉及土壤环境污染途径。</w:t>
            </w:r>
            <w:r>
              <w:rPr>
                <w:rFonts w:hint="default" w:ascii="Times New Roman" w:hAnsi="Times New Roman" w:eastAsia="Times New Roman" w:cs="Times New Roman"/>
                <w:color w:val="auto"/>
                <w:sz w:val="24"/>
                <w:highlight w:val="none"/>
              </w:rPr>
              <w:t>因此，不开展土壤环境质量现状监测。</w:t>
            </w:r>
          </w:p>
          <w:p w14:paraId="5978CFD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5.地下水环境质量现状</w:t>
            </w:r>
          </w:p>
          <w:p w14:paraId="6B4A64EB">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依据《建设项目环境影响报告表编制技术指南（污染影响类）（试行）》，原则上不开展地下水环境质量现状调查，建设项目存在地下水污染途径的，应结合污染源、保护目标分布情况开展现状调查以留作背景值。</w:t>
            </w:r>
          </w:p>
          <w:p w14:paraId="3004F48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项目生产工艺不涉及地下水环境污染途径，因此，不开展地下水环境质量现状监测。</w:t>
            </w:r>
          </w:p>
          <w:p w14:paraId="79DC65C1">
            <w:pPr>
              <w:pStyle w:val="13"/>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highlight w:val="none"/>
              </w:rPr>
            </w:pPr>
            <w:r>
              <w:rPr>
                <w:rFonts w:hint="default" w:ascii="Times New Roman" w:hAnsi="Times New Roman" w:eastAsia="Times New Roman" w:cs="Times New Roman"/>
                <w:b/>
                <w:color w:val="auto"/>
                <w:sz w:val="24"/>
                <w:highlight w:val="none"/>
              </w:rPr>
              <w:t>6.生态环境质量现状</w:t>
            </w:r>
          </w:p>
          <w:p w14:paraId="7742F195">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iCs/>
                <w:color w:val="auto"/>
                <w:sz w:val="24"/>
                <w:highlight w:val="none"/>
              </w:rPr>
            </w:pPr>
            <w:r>
              <w:rPr>
                <w:rFonts w:hint="default" w:ascii="Times New Roman" w:hAnsi="Times New Roman" w:eastAsia="Times New Roman" w:cs="Times New Roman"/>
                <w:iCs/>
                <w:color w:val="auto"/>
                <w:sz w:val="24"/>
                <w:highlight w:val="none"/>
              </w:rPr>
              <w:t>项目属于产业园区范围</w:t>
            </w:r>
            <w:r>
              <w:rPr>
                <w:rFonts w:hint="default" w:ascii="Times New Roman" w:hAnsi="Times New Roman" w:eastAsia="Times New Roman" w:cs="Times New Roman"/>
                <w:iCs/>
                <w:color w:val="auto"/>
                <w:sz w:val="24"/>
                <w:highlight w:val="none"/>
                <w:lang w:eastAsia="zh-CN"/>
              </w:rPr>
              <w:t>，</w:t>
            </w:r>
            <w:r>
              <w:rPr>
                <w:rFonts w:hint="default" w:ascii="Times New Roman" w:hAnsi="Times New Roman" w:eastAsia="Times New Roman" w:cs="Times New Roman"/>
                <w:color w:val="auto"/>
                <w:kern w:val="0"/>
                <w:sz w:val="24"/>
                <w:highlight w:val="none"/>
                <w:lang w:val="en-US" w:eastAsia="zh-CN"/>
              </w:rPr>
              <w:t>利用现状建设用地进行建设。项目</w:t>
            </w:r>
            <w:r>
              <w:rPr>
                <w:rFonts w:hint="default" w:ascii="Times New Roman" w:hAnsi="Times New Roman" w:eastAsia="Times New Roman" w:cs="Times New Roman"/>
                <w:iCs/>
                <w:color w:val="auto"/>
                <w:sz w:val="24"/>
                <w:highlight w:val="none"/>
              </w:rPr>
              <w:t>用地范围内无生态环境保护目标。</w:t>
            </w:r>
          </w:p>
          <w:p w14:paraId="0916E42F">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iCs/>
                <w:color w:val="auto"/>
                <w:sz w:val="24"/>
                <w:szCs w:val="10"/>
                <w:highlight w:val="none"/>
              </w:rPr>
            </w:pPr>
            <w:r>
              <w:rPr>
                <w:rFonts w:hint="default" w:ascii="Times New Roman" w:hAnsi="Times New Roman" w:eastAsia="Times New Roman" w:cs="Times New Roman"/>
                <w:iCs/>
                <w:color w:val="auto"/>
                <w:sz w:val="24"/>
                <w:highlight w:val="none"/>
              </w:rPr>
              <w:t>项目周围主要为工业企业、农田以及</w:t>
            </w:r>
            <w:r>
              <w:rPr>
                <w:rFonts w:hint="eastAsia" w:ascii="Times New Roman" w:hAnsi="Times New Roman" w:eastAsia="Times New Roman" w:cs="Times New Roman"/>
                <w:iCs/>
                <w:color w:val="auto"/>
                <w:sz w:val="24"/>
                <w:highlight w:val="none"/>
                <w:lang w:eastAsia="zh-CN"/>
              </w:rPr>
              <w:t>村庄</w:t>
            </w:r>
            <w:r>
              <w:rPr>
                <w:rFonts w:hint="default" w:ascii="Times New Roman" w:hAnsi="Times New Roman" w:eastAsia="Times New Roman" w:cs="Times New Roman"/>
                <w:iCs/>
                <w:color w:val="auto"/>
                <w:sz w:val="24"/>
                <w:highlight w:val="none"/>
              </w:rPr>
              <w:t>，地表植被主要为小麦、玉米等当地农作物，生态环境一般。项目周边500m范围内未发现列入《国家重点保护野生植物名录》和《国家重点保护野生动物名录》的动植物。</w:t>
            </w:r>
          </w:p>
        </w:tc>
      </w:tr>
      <w:tr w14:paraId="3C326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noWrap w:val="0"/>
            <w:vAlign w:val="center"/>
          </w:tcPr>
          <w:p w14:paraId="5046B4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环境保护目标</w:t>
            </w:r>
          </w:p>
        </w:tc>
        <w:tc>
          <w:tcPr>
            <w:tcW w:w="4746" w:type="pct"/>
            <w:noWrap w:val="0"/>
            <w:vAlign w:val="top"/>
          </w:tcPr>
          <w:p w14:paraId="71E9B74E">
            <w:pPr>
              <w:keepNext w:val="0"/>
              <w:keepLines w:val="0"/>
              <w:suppressLineNumbers w:val="0"/>
              <w:adjustRightInd w:val="0"/>
              <w:snapToGrid w:val="0"/>
              <w:spacing w:before="120" w:beforeLines="50" w:beforeAutospacing="0" w:after="0" w:afterAutospacing="0" w:line="360" w:lineRule="auto"/>
              <w:ind w:left="0" w:right="0"/>
              <w:jc w:val="left"/>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rPr>
              <w:t>1.</w:t>
            </w:r>
            <w:r>
              <w:rPr>
                <w:rFonts w:hint="default" w:ascii="Times New Roman" w:hAnsi="Times New Roman" w:eastAsia="Times New Roman" w:cs="Times New Roman"/>
                <w:b/>
                <w:color w:val="auto"/>
                <w:sz w:val="24"/>
                <w:highlight w:val="none"/>
              </w:rPr>
              <w:t>大气环境</w:t>
            </w:r>
          </w:p>
          <w:p w14:paraId="49AF63C9">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大气环境保护目标一览表</w:t>
            </w:r>
          </w:p>
          <w:tbl>
            <w:tblPr>
              <w:tblStyle w:val="26"/>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601"/>
              <w:gridCol w:w="941"/>
              <w:gridCol w:w="987"/>
              <w:gridCol w:w="1341"/>
              <w:gridCol w:w="2366"/>
            </w:tblGrid>
            <w:tr w14:paraId="1A3EF8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57" w:type="pct"/>
                  <w:tcBorders>
                    <w:top w:val="single" w:color="auto" w:sz="4" w:space="0"/>
                    <w:left w:val="nil"/>
                    <w:bottom w:val="single" w:color="auto" w:sz="4" w:space="0"/>
                    <w:right w:val="single" w:color="auto" w:sz="4" w:space="0"/>
                  </w:tcBorders>
                  <w:noWrap w:val="0"/>
                  <w:vAlign w:val="center"/>
                </w:tcPr>
                <w:p w14:paraId="2B0BD272">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保护类别</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08DCE7F6">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名称</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5C604FB4">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方位</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59EB7E87">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宋体" w:cs="Times New Roman"/>
                      <w:b/>
                      <w:color w:val="auto"/>
                      <w:highlight w:val="none"/>
                      <w:lang w:val="en-US" w:eastAsia="zh-CN"/>
                    </w:rPr>
                  </w:pPr>
                  <w:r>
                    <w:rPr>
                      <w:rFonts w:hint="default" w:ascii="Times New Roman" w:hAnsi="Times New Roman" w:eastAsia="Times New Roman" w:cs="Times New Roman"/>
                      <w:b/>
                      <w:color w:val="auto"/>
                      <w:highlight w:val="none"/>
                      <w:lang w:val="en-US" w:eastAsia="zh-CN"/>
                    </w:rPr>
                    <w:t>类别</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41CD190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距离</w:t>
                  </w:r>
                </w:p>
              </w:tc>
              <w:tc>
                <w:tcPr>
                  <w:tcW w:w="1419" w:type="pct"/>
                  <w:tcBorders>
                    <w:top w:val="single" w:color="auto" w:sz="4" w:space="0"/>
                    <w:left w:val="single" w:color="auto" w:sz="4" w:space="0"/>
                    <w:bottom w:val="single" w:color="auto" w:sz="4" w:space="0"/>
                    <w:right w:val="nil"/>
                  </w:tcBorders>
                  <w:noWrap w:val="0"/>
                  <w:vAlign w:val="center"/>
                </w:tcPr>
                <w:p w14:paraId="082E2DD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b/>
                      <w:color w:val="auto"/>
                      <w:szCs w:val="21"/>
                      <w:highlight w:val="none"/>
                    </w:rPr>
                  </w:pPr>
                  <w:r>
                    <w:rPr>
                      <w:rFonts w:hint="default" w:ascii="Times New Roman" w:hAnsi="Times New Roman" w:eastAsia="Times New Roman" w:cs="Times New Roman"/>
                      <w:b/>
                      <w:color w:val="auto"/>
                      <w:highlight w:val="none"/>
                    </w:rPr>
                    <w:t>保护级别</w:t>
                  </w:r>
                </w:p>
              </w:tc>
            </w:tr>
            <w:tr w14:paraId="23732D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7" w:type="pct"/>
                  <w:tcBorders>
                    <w:top w:val="single" w:color="auto" w:sz="4" w:space="0"/>
                    <w:left w:val="nil"/>
                    <w:bottom w:val="single" w:color="auto" w:sz="4" w:space="0"/>
                    <w:right w:val="single" w:color="auto" w:sz="4" w:space="0"/>
                  </w:tcBorders>
                  <w:noWrap w:val="0"/>
                  <w:vAlign w:val="center"/>
                </w:tcPr>
                <w:p w14:paraId="056977BA">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highlight w:val="none"/>
                    </w:rPr>
                    <w:t>环境空气</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703819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古贤镇</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623B3C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N</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2E3589F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居民</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515385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460</w:t>
                  </w:r>
                  <w:r>
                    <w:rPr>
                      <w:rFonts w:hint="default" w:ascii="Times New Roman" w:hAnsi="Times New Roman" w:eastAsia="宋体" w:cs="Times New Roman"/>
                      <w:color w:val="auto"/>
                      <w:highlight w:val="none"/>
                      <w:lang w:val="en-US" w:eastAsia="zh-CN"/>
                    </w:rPr>
                    <w:t>m</w:t>
                  </w:r>
                </w:p>
              </w:tc>
              <w:tc>
                <w:tcPr>
                  <w:tcW w:w="1419" w:type="pct"/>
                  <w:tcBorders>
                    <w:top w:val="single" w:color="auto" w:sz="4" w:space="0"/>
                    <w:left w:val="single" w:color="auto" w:sz="4" w:space="0"/>
                    <w:bottom w:val="single" w:color="auto" w:sz="4" w:space="0"/>
                    <w:right w:val="nil"/>
                  </w:tcBorders>
                  <w:noWrap w:val="0"/>
                  <w:vAlign w:val="center"/>
                </w:tcPr>
                <w:p w14:paraId="4C35CA5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《环境空气质量标准》</w:t>
                  </w:r>
                </w:p>
                <w:p w14:paraId="54B83EEA">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szCs w:val="21"/>
                      <w:highlight w:val="none"/>
                    </w:rPr>
                  </w:pPr>
                  <w:r>
                    <w:rPr>
                      <w:rFonts w:hint="default" w:ascii="Times New Roman" w:hAnsi="Times New Roman" w:eastAsia="Times New Roman" w:cs="Times New Roman"/>
                      <w:color w:val="auto"/>
                      <w:highlight w:val="none"/>
                    </w:rPr>
                    <w:t>（GB3095-20</w:t>
                  </w:r>
                  <w:r>
                    <w:rPr>
                      <w:rFonts w:hint="eastAsia" w:eastAsia="宋体" w:cs="Times New Roman"/>
                      <w:color w:val="auto"/>
                      <w:highlight w:val="none"/>
                      <w:lang w:val="en-US" w:eastAsia="zh-CN"/>
                    </w:rPr>
                    <w:t>26</w:t>
                  </w:r>
                  <w:r>
                    <w:rPr>
                      <w:rFonts w:hint="default" w:ascii="Times New Roman" w:hAnsi="Times New Roman" w:eastAsia="Times New Roman" w:cs="Times New Roman"/>
                      <w:color w:val="auto"/>
                      <w:highlight w:val="none"/>
                    </w:rPr>
                    <w:t>）</w:t>
                  </w:r>
                </w:p>
              </w:tc>
            </w:tr>
            <w:tr w14:paraId="5B26A0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57" w:type="pct"/>
                  <w:tcBorders>
                    <w:top w:val="single" w:color="auto" w:sz="4" w:space="0"/>
                    <w:left w:val="nil"/>
                    <w:bottom w:val="single" w:color="auto" w:sz="4" w:space="0"/>
                    <w:right w:val="single" w:color="auto" w:sz="4" w:space="0"/>
                  </w:tcBorders>
                  <w:noWrap w:val="0"/>
                  <w:vAlign w:val="center"/>
                </w:tcPr>
                <w:p w14:paraId="6B8B2F8C">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环境空气</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68721512">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lang w:eastAsia="zh-CN"/>
                    </w:rPr>
                  </w:pPr>
                  <w:r>
                    <w:rPr>
                      <w:rFonts w:hint="eastAsia" w:cs="Times New Roman"/>
                      <w:color w:val="auto"/>
                      <w:sz w:val="21"/>
                      <w:szCs w:val="21"/>
                      <w:lang w:eastAsia="zh-CN"/>
                    </w:rPr>
                    <w:t>小朱庄村</w:t>
                  </w:r>
                </w:p>
              </w:tc>
              <w:tc>
                <w:tcPr>
                  <w:tcW w:w="564" w:type="pct"/>
                  <w:tcBorders>
                    <w:top w:val="single" w:color="auto" w:sz="4" w:space="0"/>
                    <w:left w:val="single" w:color="auto" w:sz="4" w:space="0"/>
                    <w:bottom w:val="single" w:color="auto" w:sz="4" w:space="0"/>
                    <w:right w:val="single" w:color="auto" w:sz="4" w:space="0"/>
                  </w:tcBorders>
                  <w:noWrap w:val="0"/>
                  <w:vAlign w:val="center"/>
                </w:tcPr>
                <w:p w14:paraId="3E0F90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highlight w:val="none"/>
                      <w:lang w:val="en-US" w:eastAsia="zh-CN"/>
                    </w:rPr>
                  </w:pPr>
                  <w:r>
                    <w:rPr>
                      <w:rFonts w:hint="eastAsia" w:eastAsia="Times New Roman" w:cs="Times New Roman"/>
                      <w:color w:val="auto"/>
                      <w:highlight w:val="none"/>
                      <w:lang w:val="en-US" w:eastAsia="zh-CN"/>
                    </w:rPr>
                    <w:t>E</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58AFD8D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村庄</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636A4B8C">
                  <w:pPr>
                    <w:keepNext w:val="0"/>
                    <w:keepLines w:val="0"/>
                    <w:suppressLineNumbers w:val="0"/>
                    <w:adjustRightInd w:val="0"/>
                    <w:snapToGrid w:val="0"/>
                    <w:spacing w:before="0" w:beforeAutospacing="0" w:after="0" w:afterAutospacing="0"/>
                    <w:ind w:left="0" w:right="0"/>
                    <w:jc w:val="center"/>
                    <w:rPr>
                      <w:rFonts w:hint="default" w:cs="Times New Roman"/>
                      <w:color w:val="auto"/>
                      <w:highlight w:val="none"/>
                      <w:lang w:val="en-US" w:eastAsia="zh-CN"/>
                    </w:rPr>
                  </w:pPr>
                  <w:r>
                    <w:rPr>
                      <w:rFonts w:hint="eastAsia" w:cs="Times New Roman"/>
                      <w:color w:val="auto"/>
                      <w:highlight w:val="none"/>
                      <w:lang w:val="en-US" w:eastAsia="zh-CN"/>
                    </w:rPr>
                    <w:t>113m</w:t>
                  </w:r>
                </w:p>
              </w:tc>
              <w:tc>
                <w:tcPr>
                  <w:tcW w:w="1419" w:type="pct"/>
                  <w:tcBorders>
                    <w:top w:val="single" w:color="auto" w:sz="4" w:space="0"/>
                    <w:left w:val="single" w:color="auto" w:sz="4" w:space="0"/>
                    <w:bottom w:val="single" w:color="auto" w:sz="4" w:space="0"/>
                    <w:right w:val="nil"/>
                  </w:tcBorders>
                  <w:noWrap w:val="0"/>
                  <w:vAlign w:val="center"/>
                </w:tcPr>
                <w:p w14:paraId="5245B611">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《环境空气质量标准》</w:t>
                  </w:r>
                </w:p>
                <w:p w14:paraId="30F74B6B">
                  <w:pPr>
                    <w:keepNext w:val="0"/>
                    <w:keepLines w:val="0"/>
                    <w:suppressLineNumbers w:val="0"/>
                    <w:adjustRightInd w:val="0"/>
                    <w:snapToGrid w:val="0"/>
                    <w:spacing w:before="0" w:beforeAutospacing="0" w:after="0" w:afterAutospacing="0" w:line="60" w:lineRule="atLeast"/>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（GB3095-20</w:t>
                  </w:r>
                  <w:r>
                    <w:rPr>
                      <w:rFonts w:hint="eastAsia" w:eastAsia="宋体" w:cs="Times New Roman"/>
                      <w:color w:val="auto"/>
                      <w:highlight w:val="none"/>
                      <w:lang w:val="en-US" w:eastAsia="zh-CN"/>
                    </w:rPr>
                    <w:t>26</w:t>
                  </w:r>
                  <w:r>
                    <w:rPr>
                      <w:rFonts w:hint="default" w:ascii="Times New Roman" w:hAnsi="Times New Roman" w:eastAsia="Times New Roman" w:cs="Times New Roman"/>
                      <w:color w:val="auto"/>
                      <w:highlight w:val="none"/>
                    </w:rPr>
                    <w:t>）</w:t>
                  </w:r>
                </w:p>
              </w:tc>
            </w:tr>
          </w:tbl>
          <w:p w14:paraId="1DF24284">
            <w:pPr>
              <w:keepNext w:val="0"/>
              <w:keepLines w:val="0"/>
              <w:suppressLineNumbers w:val="0"/>
              <w:adjustRightInd w:val="0"/>
              <w:snapToGrid w:val="0"/>
              <w:spacing w:before="120" w:beforeLines="50" w:beforeAutospacing="0" w:after="0" w:afterAutospacing="0" w:line="360" w:lineRule="auto"/>
              <w:ind w:left="0" w:right="0"/>
              <w:jc w:val="left"/>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rPr>
              <w:t>2.声环境</w:t>
            </w:r>
          </w:p>
          <w:p w14:paraId="0947CC55">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项目厂界外50m范围内不涉及声环境保护目标。</w:t>
            </w:r>
          </w:p>
          <w:p w14:paraId="1B2FD8D5">
            <w:pPr>
              <w:keepNext w:val="0"/>
              <w:keepLines w:val="0"/>
              <w:suppressLineNumbers w:val="0"/>
              <w:adjustRightInd w:val="0"/>
              <w:snapToGrid w:val="0"/>
              <w:spacing w:before="0" w:beforeAutospacing="0" w:after="0" w:afterAutospacing="0" w:line="360" w:lineRule="auto"/>
              <w:ind w:left="0" w:right="0"/>
              <w:jc w:val="left"/>
              <w:rPr>
                <w:rFonts w:hint="default"/>
                <w:color w:val="auto"/>
              </w:rPr>
            </w:pPr>
            <w:r>
              <w:rPr>
                <w:rFonts w:hint="default" w:ascii="Times New Roman" w:hAnsi="Times New Roman" w:eastAsia="Times New Roman" w:cs="Times New Roman"/>
                <w:b/>
                <w:color w:val="auto"/>
                <w:kern w:val="0"/>
                <w:sz w:val="24"/>
                <w:highlight w:val="none"/>
              </w:rPr>
              <w:t>3.地下水环境</w:t>
            </w:r>
          </w:p>
          <w:p w14:paraId="31760584">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厂界外500米范围内没有地下水集中式饮用水水源和热水、矿泉水、温泉等特殊地下水资源。</w:t>
            </w:r>
          </w:p>
          <w:p w14:paraId="4C3CE8E5">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rPr>
              <w:t>4.生态环境</w:t>
            </w:r>
          </w:p>
          <w:p w14:paraId="2705A3E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r>
              <w:rPr>
                <w:rFonts w:hint="default" w:ascii="Times New Roman" w:hAnsi="Times New Roman" w:eastAsia="Times New Roman" w:cs="Times New Roman"/>
                <w:iCs/>
                <w:color w:val="auto"/>
                <w:sz w:val="24"/>
                <w:highlight w:val="none"/>
              </w:rPr>
              <w:t>项目位于</w:t>
            </w:r>
            <w:r>
              <w:rPr>
                <w:rFonts w:hint="eastAsia" w:eastAsia="Times New Roman" w:cs="Times New Roman"/>
                <w:b w:val="0"/>
                <w:bCs w:val="0"/>
                <w:iCs/>
                <w:color w:val="auto"/>
                <w:sz w:val="24"/>
                <w:highlight w:val="none"/>
                <w:u w:val="none"/>
                <w:lang w:val="en-US" w:eastAsia="zh-CN"/>
              </w:rPr>
              <w:t>安阳市汤阴县古贤镇中西路、工业三路与工业四路交叉口西北角9号，属于新型材料园区</w:t>
            </w:r>
            <w:r>
              <w:rPr>
                <w:rFonts w:hint="eastAsia" w:eastAsia="Times New Roman" w:cs="Times New Roman"/>
                <w:iCs/>
                <w:color w:val="auto"/>
                <w:sz w:val="24"/>
                <w:highlight w:val="none"/>
                <w:lang w:val="en-US" w:eastAsia="zh-CN"/>
              </w:rPr>
              <w:t>，</w:t>
            </w:r>
            <w:r>
              <w:rPr>
                <w:rFonts w:hint="default" w:ascii="Times New Roman" w:hAnsi="Times New Roman" w:eastAsia="Times New Roman" w:cs="Times New Roman"/>
                <w:iCs/>
                <w:color w:val="auto"/>
                <w:sz w:val="24"/>
                <w:highlight w:val="none"/>
              </w:rPr>
              <w:t>用地范围内无生态环境保护目标。</w:t>
            </w:r>
          </w:p>
          <w:p w14:paraId="0300D2D7">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iCs/>
                <w:color w:val="auto"/>
                <w:sz w:val="24"/>
                <w:highlight w:val="none"/>
              </w:rPr>
            </w:pPr>
          </w:p>
          <w:p w14:paraId="1B9A1EA8">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Times New Roman" w:cs="Times New Roman"/>
                <w:iCs/>
                <w:color w:val="auto"/>
                <w:sz w:val="24"/>
                <w:highlight w:val="none"/>
                <w:lang w:val="en-US" w:eastAsia="zh-CN"/>
              </w:rPr>
            </w:pPr>
          </w:p>
        </w:tc>
      </w:tr>
      <w:tr w14:paraId="57E9A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4" w:hRule="atLeast"/>
        </w:trPr>
        <w:tc>
          <w:tcPr>
            <w:tcW w:w="253" w:type="pct"/>
            <w:noWrap w:val="0"/>
            <w:vAlign w:val="center"/>
          </w:tcPr>
          <w:p w14:paraId="3FD3BE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污染物排放控制标准</w:t>
            </w:r>
          </w:p>
        </w:tc>
        <w:tc>
          <w:tcPr>
            <w:tcW w:w="4746" w:type="pct"/>
            <w:noWrap w:val="0"/>
            <w:vAlign w:val="top"/>
          </w:tcPr>
          <w:p w14:paraId="1F4C0B88">
            <w:pPr>
              <w:keepNext w:val="0"/>
              <w:keepLines w:val="0"/>
              <w:suppressLineNumbers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1.废气</w:t>
            </w:r>
          </w:p>
          <w:p w14:paraId="2AC08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kern w:val="0"/>
                <w:sz w:val="24"/>
                <w:szCs w:val="24"/>
                <w:highlight w:val="none"/>
                <w:vertAlign w:val="baseline"/>
                <w:lang w:val="en-US" w:eastAsia="zh-CN"/>
              </w:rPr>
            </w:pPr>
            <w:r>
              <w:rPr>
                <w:rFonts w:hint="default" w:ascii="Times New Roman" w:hAnsi="Times New Roman" w:eastAsia="Times New Roman" w:cs="Times New Roman"/>
                <w:color w:val="auto"/>
                <w:kern w:val="0"/>
                <w:sz w:val="24"/>
                <w:szCs w:val="24"/>
                <w:highlight w:val="none"/>
              </w:rPr>
              <w:t>项目生产过程中</w:t>
            </w:r>
            <w:r>
              <w:rPr>
                <w:rFonts w:hint="eastAsia" w:eastAsia="宋体" w:cs="Times New Roman"/>
                <w:color w:val="auto"/>
                <w:kern w:val="0"/>
                <w:sz w:val="24"/>
                <w:szCs w:val="24"/>
                <w:highlight w:val="none"/>
                <w:lang w:eastAsia="zh-CN"/>
              </w:rPr>
              <w:t>产生的废气主要是非甲烷总烃</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b w:val="0"/>
                <w:bCs/>
                <w:color w:val="auto"/>
                <w:sz w:val="24"/>
                <w:szCs w:val="24"/>
                <w:highlight w:val="none"/>
              </w:rPr>
              <w:t>非甲烷总烃</w:t>
            </w:r>
            <w:r>
              <w:rPr>
                <w:rFonts w:hint="default" w:ascii="Times New Roman" w:hAnsi="Times New Roman" w:eastAsia="Times New Roman" w:cs="Times New Roman"/>
                <w:b w:val="0"/>
                <w:bCs/>
                <w:color w:val="auto"/>
                <w:sz w:val="24"/>
                <w:szCs w:val="24"/>
                <w:highlight w:val="none"/>
                <w:lang w:val="en-US" w:eastAsia="zh-CN"/>
              </w:rPr>
              <w:t>排放执行《合成树脂工业污染物排放标准（GB31572-2015）（含2024年修改单版本）》</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b w:val="0"/>
                <w:bCs/>
                <w:color w:val="auto"/>
                <w:sz w:val="24"/>
                <w:szCs w:val="24"/>
                <w:highlight w:val="none"/>
                <w:lang w:val="en-US" w:eastAsia="zh-CN"/>
              </w:rPr>
              <w:t>《挥发性有机物无组织排放控制标准》（GB37822-2019）</w:t>
            </w:r>
            <w:r>
              <w:rPr>
                <w:rFonts w:hint="default" w:ascii="Times New Roman" w:hAnsi="Times New Roman" w:eastAsia="Times New Roman" w:cs="Times New Roman"/>
                <w:color w:val="auto"/>
                <w:kern w:val="0"/>
                <w:sz w:val="24"/>
                <w:szCs w:val="24"/>
                <w:highlight w:val="none"/>
                <w:lang w:val="en-US" w:eastAsia="zh-CN"/>
              </w:rPr>
              <w:t>中限值要求，</w:t>
            </w:r>
            <w:r>
              <w:rPr>
                <w:rFonts w:hint="default" w:ascii="Times New Roman" w:hAnsi="Times New Roman" w:eastAsia="Times New Roman" w:cs="Times New Roman"/>
                <w:color w:val="auto"/>
                <w:kern w:val="0"/>
                <w:sz w:val="24"/>
                <w:szCs w:val="24"/>
                <w:highlight w:val="none"/>
                <w:vertAlign w:val="baseline"/>
                <w:lang w:val="en-US" w:eastAsia="zh-CN"/>
              </w:rPr>
              <w:t>同时</w:t>
            </w:r>
            <w:r>
              <w:rPr>
                <w:rFonts w:hint="default" w:ascii="Times New Roman" w:hAnsi="Times New Roman" w:eastAsia="Times New Roman" w:cs="Times New Roman"/>
                <w:color w:val="auto"/>
                <w:kern w:val="0"/>
                <w:sz w:val="24"/>
                <w:szCs w:val="24"/>
                <w:highlight w:val="none"/>
                <w:lang w:val="en-US" w:eastAsia="zh-CN"/>
              </w:rPr>
              <w:t>满足</w:t>
            </w:r>
            <w:r>
              <w:rPr>
                <w:rFonts w:hint="default" w:ascii="Times New Roman" w:hAnsi="Times New Roman" w:eastAsia="Times New Roman" w:cs="Times New Roman"/>
                <w:color w:val="auto"/>
                <w:kern w:val="0"/>
                <w:sz w:val="24"/>
                <w:szCs w:val="24"/>
                <w:highlight w:val="none"/>
                <w:vertAlign w:val="baseline"/>
                <w:lang w:val="en-US" w:eastAsia="zh-CN"/>
              </w:rPr>
              <w:t>《河南省重污染天气重点行业应急减排措施制定技术指南（202</w:t>
            </w:r>
            <w:r>
              <w:rPr>
                <w:rFonts w:hint="eastAsia" w:ascii="Times New Roman" w:hAnsi="Times New Roman" w:eastAsia="Times New Roman" w:cs="Times New Roman"/>
                <w:color w:val="auto"/>
                <w:kern w:val="0"/>
                <w:sz w:val="24"/>
                <w:szCs w:val="24"/>
                <w:highlight w:val="none"/>
                <w:vertAlign w:val="baseline"/>
                <w:lang w:val="en-US" w:eastAsia="zh-CN"/>
              </w:rPr>
              <w:t>4</w:t>
            </w:r>
            <w:r>
              <w:rPr>
                <w:rFonts w:hint="default" w:ascii="Times New Roman" w:hAnsi="Times New Roman" w:eastAsia="Times New Roman" w:cs="Times New Roman"/>
                <w:color w:val="auto"/>
                <w:kern w:val="0"/>
                <w:sz w:val="24"/>
                <w:szCs w:val="24"/>
                <w:highlight w:val="none"/>
                <w:vertAlign w:val="baseline"/>
                <w:lang w:val="en-US" w:eastAsia="zh-CN"/>
              </w:rPr>
              <w:t>年版）》中塑料制品行业</w:t>
            </w:r>
            <w:r>
              <w:rPr>
                <w:rFonts w:hint="eastAsia" w:ascii="Times New Roman" w:hAnsi="Times New Roman" w:eastAsia="Times New Roman" w:cs="Times New Roman"/>
                <w:color w:val="auto"/>
                <w:kern w:val="0"/>
                <w:sz w:val="24"/>
                <w:szCs w:val="24"/>
                <w:highlight w:val="none"/>
                <w:vertAlign w:val="baseline"/>
                <w:lang w:val="en-US" w:eastAsia="zh-CN"/>
              </w:rPr>
              <w:t>A级</w:t>
            </w:r>
            <w:r>
              <w:rPr>
                <w:rFonts w:hint="default" w:ascii="Times New Roman" w:hAnsi="Times New Roman" w:eastAsia="Times New Roman" w:cs="Times New Roman"/>
                <w:color w:val="auto"/>
                <w:kern w:val="0"/>
                <w:sz w:val="24"/>
                <w:szCs w:val="24"/>
                <w:highlight w:val="none"/>
                <w:vertAlign w:val="baseline"/>
                <w:lang w:val="en-US" w:eastAsia="zh-CN"/>
              </w:rPr>
              <w:t>绩效要求</w:t>
            </w:r>
            <w:r>
              <w:rPr>
                <w:rFonts w:hint="eastAsia" w:ascii="Times New Roman" w:hAnsi="Times New Roman" w:eastAsia="宋体" w:cs="Times New Roman"/>
                <w:b w:val="0"/>
                <w:bCs w:val="0"/>
                <w:color w:val="auto"/>
                <w:sz w:val="24"/>
                <w:szCs w:val="24"/>
                <w:u w:val="none"/>
                <w:lang w:val="en-US" w:eastAsia="zh-CN"/>
              </w:rPr>
              <w:t>。</w:t>
            </w:r>
          </w:p>
          <w:p w14:paraId="60D9C7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80" w:firstLineChars="200"/>
              <w:jc w:val="center"/>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废</w:t>
            </w:r>
            <w:r>
              <w:rPr>
                <w:rFonts w:hint="default" w:ascii="Times New Roman" w:hAnsi="Times New Roman" w:eastAsia="Times New Roman" w:cs="Times New Roman"/>
                <w:b/>
                <w:color w:val="auto"/>
                <w:sz w:val="24"/>
                <w:highlight w:val="none"/>
                <w:lang w:val="en-US" w:eastAsia="zh-CN"/>
              </w:rPr>
              <w:t>气</w:t>
            </w:r>
            <w:r>
              <w:rPr>
                <w:rFonts w:hint="default" w:ascii="Times New Roman" w:hAnsi="Times New Roman" w:eastAsia="Times New Roman" w:cs="Times New Roman"/>
                <w:b/>
                <w:color w:val="auto"/>
                <w:sz w:val="24"/>
                <w:highlight w:val="none"/>
              </w:rPr>
              <w:t>排放执行标准</w:t>
            </w:r>
          </w:p>
          <w:tbl>
            <w:tblPr>
              <w:tblStyle w:val="2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641"/>
              <w:gridCol w:w="2889"/>
              <w:gridCol w:w="2460"/>
              <w:gridCol w:w="1623"/>
            </w:tblGrid>
            <w:tr w14:paraId="5D794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noWrap w:val="0"/>
                  <w:vAlign w:val="center"/>
                </w:tcPr>
                <w:p w14:paraId="7D3502F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bCs/>
                      <w:color w:val="auto"/>
                      <w:highlight w:val="none"/>
                    </w:rPr>
                  </w:pPr>
                  <w:r>
                    <w:rPr>
                      <w:rFonts w:hint="default" w:ascii="Times New Roman" w:hAnsi="Times New Roman" w:eastAsia="Times New Roman" w:cs="Times New Roman"/>
                      <w:b/>
                      <w:bCs/>
                      <w:color w:val="auto"/>
                      <w:highlight w:val="none"/>
                    </w:rPr>
                    <w:t>污染物</w:t>
                  </w:r>
                </w:p>
              </w:tc>
              <w:tc>
                <w:tcPr>
                  <w:tcW w:w="641" w:type="dxa"/>
                  <w:noWrap w:val="0"/>
                  <w:vAlign w:val="center"/>
                </w:tcPr>
                <w:p w14:paraId="1547106C">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bCs/>
                      <w:color w:val="auto"/>
                      <w:highlight w:val="none"/>
                      <w:lang w:val="en-US" w:eastAsia="zh-CN"/>
                    </w:rPr>
                  </w:pPr>
                  <w:r>
                    <w:rPr>
                      <w:rFonts w:hint="default" w:ascii="Times New Roman" w:hAnsi="Times New Roman" w:eastAsia="Times New Roman" w:cs="Times New Roman"/>
                      <w:b/>
                      <w:bCs/>
                      <w:color w:val="auto"/>
                      <w:highlight w:val="none"/>
                      <w:lang w:val="en-US" w:eastAsia="zh-CN"/>
                    </w:rPr>
                    <w:t>类别</w:t>
                  </w:r>
                </w:p>
              </w:tc>
              <w:tc>
                <w:tcPr>
                  <w:tcW w:w="2889" w:type="dxa"/>
                  <w:noWrap w:val="0"/>
                  <w:vAlign w:val="center"/>
                </w:tcPr>
                <w:p w14:paraId="185DDAA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Times New Roman" w:cs="Times New Roman"/>
                      <w:b/>
                      <w:bCs/>
                      <w:color w:val="auto"/>
                      <w:highlight w:val="none"/>
                      <w:lang w:val="en-US" w:eastAsia="zh-CN"/>
                    </w:rPr>
                    <w:t>标准名称</w:t>
                  </w:r>
                </w:p>
              </w:tc>
              <w:tc>
                <w:tcPr>
                  <w:tcW w:w="2460" w:type="dxa"/>
                  <w:noWrap w:val="0"/>
                  <w:vAlign w:val="center"/>
                </w:tcPr>
                <w:p w14:paraId="33A373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Times New Roman" w:cs="Times New Roman"/>
                      <w:b/>
                      <w:bCs/>
                      <w:color w:val="auto"/>
                      <w:highlight w:val="none"/>
                      <w:lang w:val="en-US" w:eastAsia="zh-CN"/>
                    </w:rPr>
                    <w:t>浓度限值</w:t>
                  </w:r>
                </w:p>
              </w:tc>
              <w:tc>
                <w:tcPr>
                  <w:tcW w:w="1623" w:type="dxa"/>
                  <w:noWrap w:val="0"/>
                  <w:vAlign w:val="center"/>
                </w:tcPr>
                <w:p w14:paraId="385C512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highlight w:val="none"/>
                      <w:lang w:eastAsia="zh-CN"/>
                    </w:rPr>
                  </w:pPr>
                  <w:r>
                    <w:rPr>
                      <w:rFonts w:hint="default" w:ascii="Times New Roman" w:hAnsi="Times New Roman" w:eastAsia="Times New Roman" w:cs="Times New Roman"/>
                      <w:b/>
                      <w:bCs/>
                      <w:color w:val="auto"/>
                      <w:highlight w:val="none"/>
                      <w:lang w:val="en-US" w:eastAsia="zh-CN"/>
                    </w:rPr>
                    <w:t>备注</w:t>
                  </w:r>
                </w:p>
              </w:tc>
            </w:tr>
            <w:tr w14:paraId="3EE6F6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69" w:type="dxa"/>
                  <w:vMerge w:val="restart"/>
                  <w:noWrap w:val="0"/>
                  <w:vAlign w:val="center"/>
                </w:tcPr>
                <w:p w14:paraId="1801F5F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eastAsia="zh-CN"/>
                    </w:rPr>
                  </w:pPr>
                  <w:r>
                    <w:rPr>
                      <w:rFonts w:hint="default" w:ascii="Times New Roman" w:hAnsi="Times New Roman" w:eastAsia="Times New Roman" w:cs="Times New Roman"/>
                      <w:color w:val="auto"/>
                      <w:highlight w:val="none"/>
                      <w:lang w:val="en-US" w:eastAsia="zh-CN"/>
                    </w:rPr>
                    <w:t>非甲烷总烃</w:t>
                  </w:r>
                </w:p>
              </w:tc>
              <w:tc>
                <w:tcPr>
                  <w:tcW w:w="641" w:type="dxa"/>
                  <w:vMerge w:val="restart"/>
                  <w:noWrap w:val="0"/>
                  <w:vAlign w:val="center"/>
                </w:tcPr>
                <w:p w14:paraId="67F7AC7F">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rPr>
                  </w:pPr>
                  <w:r>
                    <w:rPr>
                      <w:rFonts w:hint="default" w:ascii="Times New Roman" w:hAnsi="Times New Roman" w:eastAsia="Times New Roman" w:cs="Times New Roman"/>
                      <w:b w:val="0"/>
                      <w:bCs w:val="0"/>
                      <w:color w:val="auto"/>
                      <w:highlight w:val="none"/>
                      <w:lang w:val="en-US" w:eastAsia="zh-CN"/>
                    </w:rPr>
                    <w:t>执行标准</w:t>
                  </w:r>
                </w:p>
              </w:tc>
              <w:tc>
                <w:tcPr>
                  <w:tcW w:w="2889" w:type="dxa"/>
                  <w:noWrap w:val="0"/>
                  <w:vAlign w:val="center"/>
                </w:tcPr>
                <w:p w14:paraId="088F3A2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《合成树脂工业污染物排放标准（GB31572-2015）（含2024年修改单版本）》</w:t>
                  </w:r>
                </w:p>
              </w:tc>
              <w:tc>
                <w:tcPr>
                  <w:tcW w:w="2460" w:type="dxa"/>
                  <w:noWrap w:val="0"/>
                  <w:vAlign w:val="center"/>
                </w:tcPr>
                <w:p w14:paraId="6E4920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vertAlign w:val="superscript"/>
                      <w:lang w:val="en-US" w:eastAsia="zh-CN"/>
                    </w:rPr>
                  </w:pPr>
                  <w:r>
                    <w:rPr>
                      <w:rFonts w:hint="default" w:ascii="Times New Roman" w:hAnsi="Times New Roman" w:cs="Times New Roman"/>
                      <w:color w:val="auto"/>
                      <w:highlight w:val="none"/>
                      <w:lang w:val="en-US" w:eastAsia="zh-CN"/>
                    </w:rPr>
                    <w:t>排气筒：60mg/m</w:t>
                  </w:r>
                  <w:r>
                    <w:rPr>
                      <w:rFonts w:hint="default"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val="en-US" w:eastAsia="zh-CN"/>
                    </w:rPr>
                    <w:t>边界：1h平均浓度值≤4.0mg/m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shd w:val="clear" w:color="auto" w:fill="auto"/>
                      <w:vertAlign w:val="baseline"/>
                      <w:lang w:val="en-US" w:eastAsia="zh-CN"/>
                    </w:rPr>
                    <w:t>。单位产品非甲烷总烃排放量</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0.3kg/t。</w:t>
                  </w:r>
                </w:p>
              </w:tc>
              <w:tc>
                <w:tcPr>
                  <w:tcW w:w="1623" w:type="dxa"/>
                  <w:noWrap w:val="0"/>
                  <w:vAlign w:val="center"/>
                </w:tcPr>
                <w:p w14:paraId="31A6E331">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排气筒高度至少不低于15m</w:t>
                  </w:r>
                </w:p>
              </w:tc>
            </w:tr>
            <w:tr w14:paraId="54E48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noWrap w:val="0"/>
                  <w:vAlign w:val="center"/>
                </w:tcPr>
                <w:p w14:paraId="1781B64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lang w:val="en-US" w:eastAsia="zh-CN"/>
                    </w:rPr>
                  </w:pPr>
                </w:p>
              </w:tc>
              <w:tc>
                <w:tcPr>
                  <w:tcW w:w="641" w:type="dxa"/>
                  <w:vMerge w:val="continue"/>
                  <w:noWrap w:val="0"/>
                  <w:vAlign w:val="center"/>
                </w:tcPr>
                <w:p w14:paraId="6BF3BC3B">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lang w:val="en-US" w:eastAsia="zh-CN"/>
                    </w:rPr>
                  </w:pPr>
                </w:p>
              </w:tc>
              <w:tc>
                <w:tcPr>
                  <w:tcW w:w="2889" w:type="dxa"/>
                  <w:noWrap w:val="0"/>
                  <w:vAlign w:val="center"/>
                </w:tcPr>
                <w:p w14:paraId="569BBF4A">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《挥发性有机物无组织排放控制标准》（GB37822-2019）</w:t>
                  </w:r>
                </w:p>
              </w:tc>
              <w:tc>
                <w:tcPr>
                  <w:tcW w:w="2460" w:type="dxa"/>
                  <w:noWrap w:val="0"/>
                  <w:vAlign w:val="center"/>
                </w:tcPr>
                <w:p w14:paraId="7E3282CB">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highlight w:val="none"/>
                      <w:lang w:val="en-US" w:eastAsia="zh-CN"/>
                    </w:rPr>
                    <w:t>厂房外监控点处：1h平均浓度值≤6mg/m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，任意一次浓度值≤20mg/m</w:t>
                  </w:r>
                  <w:r>
                    <w:rPr>
                      <w:rFonts w:hint="eastAsia" w:cs="Times New Roman"/>
                      <w:color w:val="auto"/>
                      <w:highlight w:val="none"/>
                      <w:vertAlign w:val="superscript"/>
                      <w:lang w:val="en-US" w:eastAsia="zh-CN"/>
                    </w:rPr>
                    <w:t>3</w:t>
                  </w:r>
                  <w:r>
                    <w:rPr>
                      <w:rFonts w:hint="eastAsia" w:cs="Times New Roman"/>
                      <w:color w:val="auto"/>
                      <w:highlight w:val="none"/>
                      <w:vertAlign w:val="baseline"/>
                      <w:lang w:val="en-US" w:eastAsia="zh-CN"/>
                    </w:rPr>
                    <w:t>。</w:t>
                  </w:r>
                </w:p>
              </w:tc>
              <w:tc>
                <w:tcPr>
                  <w:tcW w:w="1623" w:type="dxa"/>
                  <w:noWrap w:val="0"/>
                  <w:vAlign w:val="center"/>
                </w:tcPr>
                <w:p w14:paraId="65232F9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lang w:val="en-US" w:eastAsia="zh-CN"/>
                    </w:rPr>
                    <w:t>/</w:t>
                  </w:r>
                </w:p>
              </w:tc>
            </w:tr>
            <w:tr w14:paraId="45CC2A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noWrap w:val="0"/>
                  <w:vAlign w:val="center"/>
                </w:tcPr>
                <w:p w14:paraId="4538661B">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p>
              </w:tc>
              <w:tc>
                <w:tcPr>
                  <w:tcW w:w="641" w:type="dxa"/>
                  <w:noWrap w:val="0"/>
                  <w:vAlign w:val="center"/>
                </w:tcPr>
                <w:p w14:paraId="081377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Times New Roman" w:cs="Times New Roman"/>
                      <w:b w:val="0"/>
                      <w:bCs w:val="0"/>
                      <w:color w:val="auto"/>
                      <w:highlight w:val="none"/>
                      <w:lang w:val="en-US" w:eastAsia="zh-CN"/>
                    </w:rPr>
                    <w:t>地方文件</w:t>
                  </w:r>
                </w:p>
              </w:tc>
              <w:tc>
                <w:tcPr>
                  <w:tcW w:w="2889" w:type="dxa"/>
                  <w:noWrap w:val="0"/>
                  <w:vAlign w:val="center"/>
                </w:tcPr>
                <w:p w14:paraId="23C5598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cs="Times New Roman"/>
                      <w:color w:val="auto"/>
                      <w:highlight w:val="none"/>
                    </w:rPr>
                    <w:t>《河南省重污染天气重点行业应急减排措施制定技术指南（202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年版）》</w:t>
                  </w:r>
                </w:p>
              </w:tc>
              <w:tc>
                <w:tcPr>
                  <w:tcW w:w="2460" w:type="dxa"/>
                  <w:noWrap w:val="0"/>
                  <w:vAlign w:val="center"/>
                </w:tcPr>
                <w:p w14:paraId="6D2E0BF0">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vertAlign w:val="superscript"/>
                      <w:lang w:val="en-US" w:eastAsia="zh-CN" w:bidi="ar-SA"/>
                    </w:rPr>
                  </w:pPr>
                  <w:r>
                    <w:rPr>
                      <w:rFonts w:hint="default" w:ascii="Times New Roman" w:hAnsi="Times New Roman" w:cs="Times New Roman"/>
                      <w:color w:val="auto"/>
                      <w:highlight w:val="none"/>
                      <w:lang w:val="en-US" w:eastAsia="zh-CN"/>
                    </w:rPr>
                    <w:t>排气筒：</w:t>
                  </w:r>
                  <w:r>
                    <w:rPr>
                      <w:rFonts w:hint="eastAsia" w:ascii="Times New Roman" w:hAnsi="Times New Roman" w:cs="Times New Roman"/>
                      <w:color w:val="auto"/>
                      <w:highlight w:val="none"/>
                      <w:vertAlign w:val="baseline"/>
                      <w:lang w:val="en-US" w:eastAsia="zh-CN"/>
                    </w:rPr>
                    <w:t>NMHC20mg/m</w:t>
                  </w:r>
                  <w:r>
                    <w:rPr>
                      <w:rFonts w:hint="eastAsia"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val="en-US" w:eastAsia="zh-CN"/>
                    </w:rPr>
                    <w:t>边界：1h平均浓度值</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2.0mg/m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eastAsia" w:cs="Times New Roman"/>
                      <w:color w:val="auto"/>
                      <w:highlight w:val="none"/>
                      <w:vertAlign w:val="baseline"/>
                      <w:lang w:val="en-US" w:eastAsia="zh-CN"/>
                    </w:rPr>
                    <w:t>生产</w:t>
                  </w:r>
                  <w:r>
                    <w:rPr>
                      <w:rFonts w:hint="eastAsia" w:ascii="Times New Roman" w:hAnsi="Times New Roman" w:cs="Times New Roman"/>
                      <w:color w:val="auto"/>
                      <w:highlight w:val="none"/>
                      <w:vertAlign w:val="baseline"/>
                      <w:lang w:val="en-US" w:eastAsia="zh-CN"/>
                    </w:rPr>
                    <w:t>车间</w:t>
                  </w:r>
                  <w:r>
                    <w:rPr>
                      <w:rFonts w:hint="default" w:ascii="Times New Roman" w:hAnsi="Times New Roman" w:cs="Times New Roman"/>
                      <w:color w:val="auto"/>
                      <w:highlight w:val="none"/>
                      <w:vertAlign w:val="baseline"/>
                      <w:lang w:val="en-US" w:eastAsia="zh-CN"/>
                    </w:rPr>
                    <w:t>无组织监控点</w:t>
                  </w:r>
                  <w:r>
                    <w:rPr>
                      <w:rFonts w:hint="default" w:ascii="Times New Roman" w:hAnsi="Times New Roman" w:cs="Times New Roman"/>
                      <w:color w:val="auto"/>
                      <w:highlight w:val="none"/>
                      <w:lang w:val="en-US" w:eastAsia="zh-CN"/>
                    </w:rPr>
                    <w:t>：4.0mg/m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vertAlign w:val="baseline"/>
                      <w:lang w:val="en-US" w:eastAsia="zh-CN"/>
                    </w:rPr>
                    <w:t>。</w:t>
                  </w:r>
                </w:p>
              </w:tc>
              <w:tc>
                <w:tcPr>
                  <w:tcW w:w="1623" w:type="dxa"/>
                  <w:noWrap w:val="0"/>
                  <w:vAlign w:val="center"/>
                </w:tcPr>
                <w:p w14:paraId="30E262F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highlight w:val="none"/>
                    </w:rPr>
                    <w:t>去除效率</w:t>
                  </w:r>
                  <w:r>
                    <w:rPr>
                      <w:rFonts w:hint="default" w:ascii="Times New Roman" w:hAnsi="Times New Roman" w:eastAsia="Times New Roman" w:cs="Times New Roman"/>
                      <w:color w:val="auto"/>
                      <w:highlight w:val="none"/>
                      <w:lang w:val="en-US" w:eastAsia="zh-CN"/>
                    </w:rPr>
                    <w:t>8</w:t>
                  </w:r>
                  <w:r>
                    <w:rPr>
                      <w:rFonts w:hint="default" w:ascii="Times New Roman" w:hAnsi="Times New Roman" w:eastAsia="Times New Roman" w:cs="Times New Roman"/>
                      <w:color w:val="auto"/>
                      <w:highlight w:val="none"/>
                    </w:rPr>
                    <w:t>0%</w:t>
                  </w:r>
                </w:p>
              </w:tc>
            </w:tr>
            <w:tr w14:paraId="797654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Merge w:val="continue"/>
                  <w:noWrap w:val="0"/>
                  <w:vAlign w:val="center"/>
                </w:tcPr>
                <w:p w14:paraId="7F4FCE5D">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Cs/>
                      <w:color w:val="auto"/>
                      <w:highlight w:val="none"/>
                    </w:rPr>
                  </w:pPr>
                </w:p>
              </w:tc>
              <w:tc>
                <w:tcPr>
                  <w:tcW w:w="641" w:type="dxa"/>
                  <w:noWrap w:val="0"/>
                  <w:vAlign w:val="center"/>
                </w:tcPr>
                <w:p w14:paraId="0FC035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eastAsia="Times New Roman" w:cs="Times New Roman"/>
                      <w:color w:val="auto"/>
                      <w:highlight w:val="none"/>
                      <w:lang w:val="en-US" w:eastAsia="zh-CN"/>
                    </w:rPr>
                    <w:t>从严执行</w:t>
                  </w:r>
                </w:p>
              </w:tc>
              <w:tc>
                <w:tcPr>
                  <w:tcW w:w="2889" w:type="dxa"/>
                  <w:noWrap w:val="0"/>
                  <w:vAlign w:val="center"/>
                </w:tcPr>
                <w:p w14:paraId="79B6AC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2460" w:type="dxa"/>
                  <w:noWrap w:val="0"/>
                  <w:vAlign w:val="center"/>
                </w:tcPr>
                <w:p w14:paraId="0328B6CE">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color w:val="auto"/>
                      <w:highlight w:val="none"/>
                    </w:rPr>
                  </w:pPr>
                  <w:r>
                    <w:rPr>
                      <w:rFonts w:hint="default" w:ascii="Times New Roman" w:hAnsi="Times New Roman" w:cs="Times New Roman"/>
                      <w:color w:val="auto"/>
                      <w:highlight w:val="none"/>
                      <w:lang w:val="en-US" w:eastAsia="zh-CN"/>
                    </w:rPr>
                    <w:t>排气筒：</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val="en-US" w:eastAsia="zh-CN"/>
                    </w:rPr>
                    <w:t>边界：1h平均浓度值≤2.0mg/m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vertAlign w:val="baseline"/>
                      <w:lang w:val="en-US" w:eastAsia="zh-CN"/>
                    </w:rPr>
                    <w:t>；</w:t>
                  </w:r>
                  <w:r>
                    <w:rPr>
                      <w:rFonts w:hint="eastAsia" w:cs="Times New Roman"/>
                      <w:color w:val="auto"/>
                      <w:highlight w:val="none"/>
                      <w:vertAlign w:val="baseline"/>
                      <w:lang w:val="en-US" w:eastAsia="zh-CN"/>
                    </w:rPr>
                    <w:t>生产</w:t>
                  </w:r>
                  <w:r>
                    <w:rPr>
                      <w:rFonts w:hint="eastAsia" w:ascii="Times New Roman" w:hAnsi="Times New Roman" w:cs="Times New Roman"/>
                      <w:color w:val="auto"/>
                      <w:highlight w:val="none"/>
                      <w:vertAlign w:val="baseline"/>
                      <w:lang w:val="en-US" w:eastAsia="zh-CN"/>
                    </w:rPr>
                    <w:t>车间</w:t>
                  </w:r>
                  <w:r>
                    <w:rPr>
                      <w:rFonts w:hint="default" w:ascii="Times New Roman" w:hAnsi="Times New Roman" w:cs="Times New Roman"/>
                      <w:color w:val="auto"/>
                      <w:highlight w:val="none"/>
                      <w:vertAlign w:val="baseline"/>
                      <w:lang w:val="en-US" w:eastAsia="zh-CN"/>
                    </w:rPr>
                    <w:t>无组织监控点</w:t>
                  </w:r>
                  <w:r>
                    <w:rPr>
                      <w:rFonts w:hint="default" w:ascii="Times New Roman" w:hAnsi="Times New Roman" w:cs="Times New Roman"/>
                      <w:color w:val="auto"/>
                      <w:highlight w:val="none"/>
                      <w:lang w:val="en-US" w:eastAsia="zh-CN"/>
                    </w:rPr>
                    <w:t>：4.0mg/m</w:t>
                  </w:r>
                  <w:r>
                    <w:rPr>
                      <w:rFonts w:hint="default" w:ascii="Times New Roman" w:hAnsi="Times New Roman" w:cs="Times New Roman"/>
                      <w:color w:val="auto"/>
                      <w:highlight w:val="none"/>
                      <w:vertAlign w:val="superscript"/>
                      <w:lang w:val="en-US" w:eastAsia="zh-CN"/>
                    </w:rPr>
                    <w:t>3</w:t>
                  </w:r>
                  <w:r>
                    <w:rPr>
                      <w:rFonts w:hint="eastAsia" w:cs="Times New Roman"/>
                      <w:color w:val="auto"/>
                      <w:highlight w:val="none"/>
                      <w:vertAlign w:val="baseline"/>
                      <w:lang w:val="en-US" w:eastAsia="zh-CN"/>
                    </w:rPr>
                    <w:t>。</w:t>
                  </w:r>
                  <w:r>
                    <w:rPr>
                      <w:rFonts w:hint="eastAsia" w:cs="Times New Roman"/>
                      <w:color w:val="auto"/>
                      <w:highlight w:val="none"/>
                      <w:shd w:val="clear" w:color="auto" w:fill="auto"/>
                      <w:vertAlign w:val="baseline"/>
                      <w:lang w:val="en-US" w:eastAsia="zh-CN"/>
                    </w:rPr>
                    <w:t>单位产品非甲烷总烃排放量</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0.3kg/t。</w:t>
                  </w:r>
                </w:p>
              </w:tc>
              <w:tc>
                <w:tcPr>
                  <w:tcW w:w="1623" w:type="dxa"/>
                  <w:noWrap w:val="0"/>
                  <w:vAlign w:val="center"/>
                </w:tcPr>
                <w:p w14:paraId="4BD5F2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default" w:ascii="Times New Roman" w:hAnsi="Times New Roman" w:eastAsia="Times New Roman" w:cs="Times New Roman"/>
                      <w:color w:val="auto"/>
                      <w:highlight w:val="none"/>
                    </w:rPr>
                    <w:t>排气筒高度至少不低于15m</w:t>
                  </w:r>
                  <w:r>
                    <w:rPr>
                      <w:rFonts w:hint="default" w:ascii="Times New Roman" w:hAnsi="Times New Roman" w:eastAsia="Times New Roman" w:cs="Times New Roman"/>
                      <w:color w:val="auto"/>
                      <w:highlight w:val="none"/>
                      <w:lang w:eastAsia="zh-CN"/>
                    </w:rPr>
                    <w:t>，</w:t>
                  </w:r>
                  <w:r>
                    <w:rPr>
                      <w:rFonts w:hint="default" w:ascii="Times New Roman" w:hAnsi="Times New Roman" w:eastAsia="Times New Roman" w:cs="Times New Roman"/>
                      <w:color w:val="auto"/>
                      <w:highlight w:val="none"/>
                    </w:rPr>
                    <w:t>去除效率</w:t>
                  </w:r>
                  <w:r>
                    <w:rPr>
                      <w:rFonts w:hint="default" w:ascii="Times New Roman" w:hAnsi="Times New Roman" w:eastAsia="Times New Roman" w:cs="Times New Roman"/>
                      <w:color w:val="auto"/>
                      <w:highlight w:val="none"/>
                      <w:lang w:val="en-US" w:eastAsia="zh-CN"/>
                    </w:rPr>
                    <w:t>8</w:t>
                  </w:r>
                  <w:r>
                    <w:rPr>
                      <w:rFonts w:hint="default" w:ascii="Times New Roman" w:hAnsi="Times New Roman" w:eastAsia="Times New Roman" w:cs="Times New Roman"/>
                      <w:color w:val="auto"/>
                      <w:highlight w:val="none"/>
                    </w:rPr>
                    <w:t>0%</w:t>
                  </w:r>
                </w:p>
              </w:tc>
            </w:tr>
          </w:tbl>
          <w:p w14:paraId="53D3B4AA">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48" w:lineRule="auto"/>
              <w:ind w:left="0" w:right="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rPr>
              <w:t>2.</w:t>
            </w:r>
            <w:r>
              <w:rPr>
                <w:rFonts w:hint="default" w:ascii="Times New Roman" w:hAnsi="Times New Roman" w:eastAsia="Times New Roman" w:cs="Times New Roman"/>
                <w:b/>
                <w:color w:val="auto"/>
                <w:sz w:val="24"/>
                <w:highlight w:val="none"/>
                <w:lang w:val="en-US" w:eastAsia="zh-CN"/>
              </w:rPr>
              <w:t>废水</w:t>
            </w:r>
          </w:p>
          <w:p w14:paraId="62AED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jc w:val="both"/>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color w:val="auto"/>
                <w:kern w:val="0"/>
                <w:sz w:val="24"/>
                <w:highlight w:val="none"/>
              </w:rPr>
              <w:t>本项目废水</w:t>
            </w:r>
            <w:r>
              <w:rPr>
                <w:rFonts w:hint="eastAsia" w:eastAsia="宋体" w:cs="Times New Roman"/>
                <w:color w:val="auto"/>
                <w:kern w:val="0"/>
                <w:sz w:val="24"/>
                <w:highlight w:val="none"/>
                <w:lang w:eastAsia="zh-CN"/>
              </w:rPr>
              <w:t>仅排放</w:t>
            </w:r>
            <w:r>
              <w:rPr>
                <w:rFonts w:hint="eastAsia" w:ascii="Times New Roman" w:hAnsi="Times New Roman" w:eastAsia="宋体" w:cs="Times New Roman"/>
                <w:color w:val="auto"/>
                <w:kern w:val="0"/>
                <w:sz w:val="24"/>
                <w:highlight w:val="none"/>
                <w:lang w:eastAsia="zh-CN"/>
              </w:rPr>
              <w:t>生活废水，</w:t>
            </w:r>
            <w:r>
              <w:rPr>
                <w:rFonts w:hint="eastAsia" w:cs="Times New Roman"/>
                <w:color w:val="auto"/>
                <w:kern w:val="0"/>
                <w:sz w:val="24"/>
                <w:highlight w:val="none"/>
                <w:lang w:eastAsia="zh-CN"/>
              </w:rPr>
              <w:t>生活污水排放</w:t>
            </w:r>
            <w:r>
              <w:rPr>
                <w:rFonts w:hint="default" w:ascii="Times New Roman" w:hAnsi="Times New Roman" w:eastAsia="Times New Roman" w:cs="Times New Roman"/>
                <w:color w:val="auto"/>
                <w:kern w:val="0"/>
                <w:sz w:val="24"/>
                <w:highlight w:val="none"/>
              </w:rPr>
              <w:t>执行《污水综合排放标准》（GB8978-1996）表4三级标准，同时满足</w:t>
            </w:r>
            <w:r>
              <w:rPr>
                <w:rFonts w:hint="eastAsia" w:ascii="Times New Roman" w:hAnsi="Times New Roman" w:eastAsia="Times New Roman" w:cs="Times New Roman"/>
                <w:bCs/>
                <w:color w:val="auto"/>
                <w:kern w:val="0"/>
                <w:sz w:val="24"/>
                <w:highlight w:val="none"/>
                <w:lang w:eastAsia="zh-CN"/>
              </w:rPr>
              <w:t>汤阴固现污水处理有限公司</w:t>
            </w:r>
            <w:r>
              <w:rPr>
                <w:rFonts w:hint="default" w:ascii="Times New Roman" w:hAnsi="Times New Roman" w:eastAsia="Times New Roman" w:cs="Times New Roman"/>
                <w:color w:val="auto"/>
                <w:kern w:val="0"/>
                <w:sz w:val="24"/>
                <w:highlight w:val="none"/>
              </w:rPr>
              <w:t>进水水质要求</w:t>
            </w:r>
            <w:r>
              <w:rPr>
                <w:rFonts w:hint="eastAsia" w:ascii="Times New Roman" w:hAnsi="Times New Roman" w:eastAsia="宋体" w:cs="Times New Roman"/>
                <w:color w:val="auto"/>
                <w:kern w:val="0"/>
                <w:sz w:val="24"/>
                <w:highlight w:val="none"/>
                <w:lang w:eastAsia="zh-CN"/>
              </w:rPr>
              <w:t>。</w:t>
            </w:r>
            <w:r>
              <w:rPr>
                <w:rFonts w:hint="default" w:ascii="Times New Roman" w:hAnsi="Times New Roman" w:eastAsia="Times New Roman" w:cs="Times New Roman"/>
                <w:color w:val="auto"/>
                <w:kern w:val="0"/>
                <w:sz w:val="24"/>
                <w:highlight w:val="none"/>
              </w:rPr>
              <w:t>具体标准值见下表：</w:t>
            </w:r>
          </w:p>
          <w:p w14:paraId="426E1761">
            <w:pPr>
              <w:keepNext w:val="0"/>
              <w:keepLines w:val="0"/>
              <w:suppressLineNumbers w:val="0"/>
              <w:adjustRightInd w:val="0"/>
              <w:snapToGrid w:val="0"/>
              <w:spacing w:before="0" w:beforeAutospacing="0" w:after="0" w:afterAutospacing="0" w:line="240" w:lineRule="auto"/>
              <w:ind w:left="0" w:right="480"/>
              <w:jc w:val="center"/>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rPr>
              <w:t xml:space="preserve">废水排放执行标准   </w:t>
            </w:r>
            <w:r>
              <w:rPr>
                <w:rFonts w:hint="default" w:ascii="Times New Roman" w:hAnsi="Times New Roman" w:eastAsia="Times New Roman" w:cs="Times New Roman"/>
                <w:b/>
                <w:color w:val="auto"/>
                <w:sz w:val="24"/>
                <w:highlight w:val="none"/>
                <w:lang w:val="en-US" w:eastAsia="zh-CN"/>
              </w:rPr>
              <w:t xml:space="preserve"> </w:t>
            </w:r>
            <w:r>
              <w:rPr>
                <w:rFonts w:hint="default" w:ascii="Times New Roman" w:hAnsi="Times New Roman" w:eastAsia="Times New Roman" w:cs="Times New Roman"/>
                <w:b/>
                <w:color w:val="auto"/>
                <w:sz w:val="24"/>
                <w:highlight w:val="none"/>
              </w:rPr>
              <w:t>mg/L</w:t>
            </w:r>
          </w:p>
          <w:tbl>
            <w:tblPr>
              <w:tblStyle w:val="26"/>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1312"/>
              <w:gridCol w:w="704"/>
              <w:gridCol w:w="765"/>
              <w:gridCol w:w="548"/>
              <w:gridCol w:w="656"/>
              <w:gridCol w:w="656"/>
            </w:tblGrid>
            <w:tr w14:paraId="5FB2B6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686" w:type="dxa"/>
                  <w:noWrap w:val="0"/>
                  <w:vAlign w:val="center"/>
                </w:tcPr>
                <w:p w14:paraId="00D1820C">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污染物</w:t>
                  </w:r>
                </w:p>
              </w:tc>
              <w:tc>
                <w:tcPr>
                  <w:tcW w:w="1312" w:type="dxa"/>
                  <w:noWrap w:val="0"/>
                  <w:vAlign w:val="center"/>
                </w:tcPr>
                <w:p w14:paraId="61D86DD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eastAsia="zh-CN"/>
                    </w:rPr>
                  </w:pPr>
                  <w:r>
                    <w:rPr>
                      <w:rFonts w:hint="default" w:ascii="Times New Roman" w:hAnsi="Times New Roman" w:eastAsia="Times New Roman" w:cs="Times New Roman"/>
                      <w:b w:val="0"/>
                      <w:bCs w:val="0"/>
                      <w:color w:val="auto"/>
                      <w:highlight w:val="none"/>
                      <w:u w:val="none"/>
                    </w:rPr>
                    <w:t>pH</w:t>
                  </w:r>
                  <w:r>
                    <w:rPr>
                      <w:rFonts w:hint="default" w:ascii="Times New Roman" w:hAnsi="Times New Roman" w:eastAsia="Times New Roman" w:cs="Times New Roman"/>
                      <w:b w:val="0"/>
                      <w:bCs w:val="0"/>
                      <w:color w:val="auto"/>
                      <w:highlight w:val="none"/>
                      <w:u w:val="none"/>
                      <w:lang w:eastAsia="zh-CN"/>
                    </w:rPr>
                    <w:t>（</w:t>
                  </w:r>
                  <w:r>
                    <w:rPr>
                      <w:rFonts w:hint="default" w:ascii="Times New Roman" w:hAnsi="Times New Roman" w:eastAsia="Times New Roman" w:cs="Times New Roman"/>
                      <w:b w:val="0"/>
                      <w:bCs w:val="0"/>
                      <w:color w:val="auto"/>
                      <w:highlight w:val="none"/>
                      <w:u w:val="none"/>
                      <w:lang w:val="en-US" w:eastAsia="zh-CN"/>
                    </w:rPr>
                    <w:t>无量纲</w:t>
                  </w:r>
                  <w:r>
                    <w:rPr>
                      <w:rFonts w:hint="default" w:ascii="Times New Roman" w:hAnsi="Times New Roman" w:eastAsia="Times New Roman" w:cs="Times New Roman"/>
                      <w:b w:val="0"/>
                      <w:bCs w:val="0"/>
                      <w:color w:val="auto"/>
                      <w:highlight w:val="none"/>
                      <w:u w:val="none"/>
                      <w:lang w:eastAsia="zh-CN"/>
                    </w:rPr>
                    <w:t>）</w:t>
                  </w:r>
                </w:p>
              </w:tc>
              <w:tc>
                <w:tcPr>
                  <w:tcW w:w="704" w:type="dxa"/>
                  <w:noWrap w:val="0"/>
                  <w:vAlign w:val="center"/>
                </w:tcPr>
                <w:p w14:paraId="7979B14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COD</w:t>
                  </w:r>
                </w:p>
              </w:tc>
              <w:tc>
                <w:tcPr>
                  <w:tcW w:w="765" w:type="dxa"/>
                  <w:noWrap w:val="0"/>
                  <w:vAlign w:val="center"/>
                </w:tcPr>
                <w:p w14:paraId="388CBBE2">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BOD</w:t>
                  </w:r>
                  <w:r>
                    <w:rPr>
                      <w:rFonts w:hint="default" w:ascii="Times New Roman" w:hAnsi="Times New Roman" w:eastAsia="Times New Roman" w:cs="Times New Roman"/>
                      <w:b w:val="0"/>
                      <w:bCs w:val="0"/>
                      <w:color w:val="auto"/>
                      <w:highlight w:val="none"/>
                      <w:u w:val="none"/>
                      <w:vertAlign w:val="subscript"/>
                    </w:rPr>
                    <w:t>5</w:t>
                  </w:r>
                </w:p>
              </w:tc>
              <w:tc>
                <w:tcPr>
                  <w:tcW w:w="548" w:type="dxa"/>
                  <w:noWrap w:val="0"/>
                  <w:vAlign w:val="center"/>
                </w:tcPr>
                <w:p w14:paraId="39A46AA9">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SS</w:t>
                  </w:r>
                </w:p>
              </w:tc>
              <w:tc>
                <w:tcPr>
                  <w:tcW w:w="656" w:type="dxa"/>
                  <w:noWrap w:val="0"/>
                  <w:vAlign w:val="center"/>
                </w:tcPr>
                <w:p w14:paraId="59CE0DB3">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氨氮</w:t>
                  </w:r>
                </w:p>
              </w:tc>
              <w:tc>
                <w:tcPr>
                  <w:tcW w:w="656" w:type="dxa"/>
                  <w:noWrap w:val="0"/>
                  <w:vAlign w:val="center"/>
                </w:tcPr>
                <w:p w14:paraId="7792C4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eastAsia="宋体" w:cs="Times New Roman"/>
                      <w:b w:val="0"/>
                      <w:bCs w:val="0"/>
                      <w:color w:val="auto"/>
                      <w:highlight w:val="none"/>
                      <w:u w:val="none"/>
                      <w:lang w:val="en-US" w:eastAsia="zh-CN"/>
                    </w:rPr>
                    <w:t>TP</w:t>
                  </w:r>
                </w:p>
              </w:tc>
            </w:tr>
            <w:tr w14:paraId="30AB3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686" w:type="dxa"/>
                  <w:noWrap w:val="0"/>
                  <w:vAlign w:val="center"/>
                </w:tcPr>
                <w:p w14:paraId="11262307">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《污水综合排放标准》（GB8978-1996）表4三级标准</w:t>
                  </w:r>
                </w:p>
              </w:tc>
              <w:tc>
                <w:tcPr>
                  <w:tcW w:w="1312" w:type="dxa"/>
                  <w:noWrap w:val="0"/>
                  <w:vAlign w:val="center"/>
                </w:tcPr>
                <w:p w14:paraId="74A5E80A">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6~9</w:t>
                  </w:r>
                </w:p>
              </w:tc>
              <w:tc>
                <w:tcPr>
                  <w:tcW w:w="704" w:type="dxa"/>
                  <w:noWrap w:val="0"/>
                  <w:vAlign w:val="center"/>
                </w:tcPr>
                <w:p w14:paraId="27353EB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500</w:t>
                  </w:r>
                </w:p>
              </w:tc>
              <w:tc>
                <w:tcPr>
                  <w:tcW w:w="765" w:type="dxa"/>
                  <w:noWrap w:val="0"/>
                  <w:vAlign w:val="center"/>
                </w:tcPr>
                <w:p w14:paraId="2A87EE0F">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300</w:t>
                  </w:r>
                </w:p>
              </w:tc>
              <w:tc>
                <w:tcPr>
                  <w:tcW w:w="548" w:type="dxa"/>
                  <w:noWrap w:val="0"/>
                  <w:vAlign w:val="center"/>
                </w:tcPr>
                <w:p w14:paraId="208A5FA7">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400</w:t>
                  </w:r>
                </w:p>
              </w:tc>
              <w:tc>
                <w:tcPr>
                  <w:tcW w:w="656" w:type="dxa"/>
                  <w:noWrap w:val="0"/>
                  <w:vAlign w:val="center"/>
                </w:tcPr>
                <w:p w14:paraId="1FEA4A08">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rPr>
                    <w:t>/</w:t>
                  </w:r>
                </w:p>
              </w:tc>
              <w:tc>
                <w:tcPr>
                  <w:tcW w:w="656" w:type="dxa"/>
                  <w:noWrap w:val="0"/>
                  <w:vAlign w:val="center"/>
                </w:tcPr>
                <w:p w14:paraId="5A2B59BD">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bCs w:val="0"/>
                      <w:color w:val="auto"/>
                      <w:highlight w:val="none"/>
                      <w:u w:val="none"/>
                      <w:lang w:val="en-US" w:eastAsia="zh-CN"/>
                    </w:rPr>
                  </w:pPr>
                  <w:r>
                    <w:rPr>
                      <w:rFonts w:hint="eastAsia" w:eastAsia="宋体" w:cs="Times New Roman"/>
                      <w:b w:val="0"/>
                      <w:bCs w:val="0"/>
                      <w:color w:val="auto"/>
                      <w:highlight w:val="none"/>
                      <w:u w:val="none"/>
                      <w:lang w:val="en-US" w:eastAsia="zh-CN"/>
                    </w:rPr>
                    <w:t>/</w:t>
                  </w:r>
                </w:p>
              </w:tc>
            </w:tr>
            <w:tr w14:paraId="37DDD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686" w:type="dxa"/>
                  <w:noWrap w:val="0"/>
                  <w:vAlign w:val="center"/>
                </w:tcPr>
                <w:p w14:paraId="0154E891">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rPr>
                  </w:pPr>
                  <w:r>
                    <w:rPr>
                      <w:rFonts w:hint="default" w:ascii="Times New Roman" w:hAnsi="Times New Roman" w:eastAsia="Times New Roman" w:cs="Times New Roman"/>
                      <w:b w:val="0"/>
                      <w:bCs w:val="0"/>
                      <w:color w:val="auto"/>
                      <w:highlight w:val="none"/>
                      <w:u w:val="none"/>
                      <w:lang w:eastAsia="zh-CN"/>
                    </w:rPr>
                    <w:t>汤阴固现污水处理有限公司</w:t>
                  </w:r>
                  <w:r>
                    <w:rPr>
                      <w:rFonts w:hint="default" w:ascii="Times New Roman" w:hAnsi="Times New Roman" w:eastAsia="Times New Roman" w:cs="Times New Roman"/>
                      <w:b w:val="0"/>
                      <w:bCs w:val="0"/>
                      <w:color w:val="auto"/>
                      <w:highlight w:val="none"/>
                      <w:u w:val="none"/>
                    </w:rPr>
                    <w:t>进水水质要求</w:t>
                  </w:r>
                </w:p>
              </w:tc>
              <w:tc>
                <w:tcPr>
                  <w:tcW w:w="1312" w:type="dxa"/>
                  <w:noWrap w:val="0"/>
                  <w:vAlign w:val="center"/>
                </w:tcPr>
                <w:p w14:paraId="3C546B8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6-9</w:t>
                  </w:r>
                </w:p>
              </w:tc>
              <w:tc>
                <w:tcPr>
                  <w:tcW w:w="704" w:type="dxa"/>
                  <w:noWrap w:val="0"/>
                  <w:vAlign w:val="center"/>
                </w:tcPr>
                <w:p w14:paraId="602311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390</w:t>
                  </w:r>
                </w:p>
              </w:tc>
              <w:tc>
                <w:tcPr>
                  <w:tcW w:w="765" w:type="dxa"/>
                  <w:noWrap w:val="0"/>
                  <w:vAlign w:val="center"/>
                </w:tcPr>
                <w:p w14:paraId="48FE87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300</w:t>
                  </w:r>
                </w:p>
              </w:tc>
              <w:tc>
                <w:tcPr>
                  <w:tcW w:w="548" w:type="dxa"/>
                  <w:noWrap w:val="0"/>
                  <w:vAlign w:val="center"/>
                </w:tcPr>
                <w:p w14:paraId="0A4B77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280</w:t>
                  </w:r>
                </w:p>
              </w:tc>
              <w:tc>
                <w:tcPr>
                  <w:tcW w:w="656" w:type="dxa"/>
                  <w:noWrap w:val="0"/>
                  <w:vAlign w:val="center"/>
                </w:tcPr>
                <w:p w14:paraId="6E46239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highlight w:val="none"/>
                      <w:u w:val="none"/>
                      <w:lang w:val="en-US" w:eastAsia="zh-CN"/>
                    </w:rPr>
                  </w:pPr>
                  <w:r>
                    <w:rPr>
                      <w:rFonts w:hint="eastAsia" w:ascii="Times New Roman" w:hAnsi="Times New Roman" w:eastAsia="Times New Roman" w:cs="Times New Roman"/>
                      <w:b w:val="0"/>
                      <w:bCs w:val="0"/>
                      <w:color w:val="auto"/>
                      <w:highlight w:val="none"/>
                      <w:u w:val="none"/>
                      <w:lang w:val="en-US" w:eastAsia="zh-CN"/>
                    </w:rPr>
                    <w:t>35</w:t>
                  </w:r>
                </w:p>
              </w:tc>
              <w:tc>
                <w:tcPr>
                  <w:tcW w:w="656" w:type="dxa"/>
                  <w:noWrap w:val="0"/>
                  <w:vAlign w:val="center"/>
                </w:tcPr>
                <w:p w14:paraId="1B8CD79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b w:val="0"/>
                      <w:bCs w:val="0"/>
                      <w:color w:val="auto"/>
                      <w:highlight w:val="none"/>
                      <w:u w:val="none"/>
                      <w:lang w:val="en-US" w:eastAsia="zh-CN"/>
                    </w:rPr>
                  </w:pPr>
                  <w:r>
                    <w:rPr>
                      <w:rFonts w:hint="eastAsia" w:eastAsia="Times New Roman" w:cs="Times New Roman"/>
                      <w:b w:val="0"/>
                      <w:bCs w:val="0"/>
                      <w:color w:val="auto"/>
                      <w:highlight w:val="none"/>
                      <w:u w:val="none"/>
                      <w:lang w:val="en-US" w:eastAsia="zh-CN"/>
                    </w:rPr>
                    <w:t>5</w:t>
                  </w:r>
                </w:p>
              </w:tc>
            </w:tr>
          </w:tbl>
          <w:p w14:paraId="35B98191">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48" w:lineRule="auto"/>
              <w:ind w:left="0" w:right="0"/>
              <w:textAlignment w:val="auto"/>
              <w:rPr>
                <w:rFonts w:hint="default" w:ascii="Times New Roman" w:hAnsi="Times New Roman" w:eastAsia="Times New Roman" w:cs="Times New Roman"/>
                <w:b w:val="0"/>
                <w:bCs w:val="0"/>
                <w:color w:val="auto"/>
                <w:sz w:val="24"/>
                <w:highlight w:val="none"/>
                <w:u w:val="none"/>
                <w:lang w:val="en-US" w:eastAsia="zh-CN"/>
              </w:rPr>
            </w:pPr>
          </w:p>
          <w:p w14:paraId="7D1D7CDB">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48" w:lineRule="auto"/>
              <w:ind w:left="0" w:right="0"/>
              <w:textAlignment w:val="auto"/>
              <w:rPr>
                <w:rFonts w:hint="default" w:ascii="Times New Roman" w:hAnsi="Times New Roman" w:eastAsia="Times New Roman" w:cs="Times New Roman"/>
                <w:b w:val="0"/>
                <w:bCs w:val="0"/>
                <w:color w:val="auto"/>
                <w:sz w:val="24"/>
                <w:highlight w:val="none"/>
                <w:u w:val="none"/>
                <w:lang w:val="en-US" w:eastAsia="zh-CN"/>
              </w:rPr>
            </w:pPr>
          </w:p>
          <w:p w14:paraId="113D11E8">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48" w:lineRule="auto"/>
              <w:ind w:left="0" w:right="0"/>
              <w:textAlignment w:val="auto"/>
              <w:rPr>
                <w:rFonts w:hint="default" w:ascii="Times New Roman" w:hAnsi="Times New Roman" w:eastAsia="Times New Roman" w:cs="Times New Roman"/>
                <w:b w:val="0"/>
                <w:bCs w:val="0"/>
                <w:color w:val="auto"/>
                <w:sz w:val="24"/>
                <w:highlight w:val="none"/>
                <w:u w:val="none"/>
              </w:rPr>
            </w:pPr>
            <w:r>
              <w:rPr>
                <w:rFonts w:hint="default" w:ascii="Times New Roman" w:hAnsi="Times New Roman" w:eastAsia="Times New Roman" w:cs="Times New Roman"/>
                <w:b w:val="0"/>
                <w:bCs w:val="0"/>
                <w:color w:val="auto"/>
                <w:sz w:val="24"/>
                <w:highlight w:val="none"/>
                <w:u w:val="none"/>
                <w:lang w:val="en-US" w:eastAsia="zh-CN"/>
              </w:rPr>
              <w:t>3.</w:t>
            </w:r>
            <w:r>
              <w:rPr>
                <w:rFonts w:hint="default" w:ascii="Times New Roman" w:hAnsi="Times New Roman" w:eastAsia="Times New Roman" w:cs="Times New Roman"/>
                <w:b w:val="0"/>
                <w:bCs w:val="0"/>
                <w:color w:val="auto"/>
                <w:sz w:val="24"/>
                <w:highlight w:val="none"/>
                <w:u w:val="none"/>
              </w:rPr>
              <w:t>噪声</w:t>
            </w:r>
          </w:p>
          <w:p w14:paraId="22070F75">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48" w:lineRule="auto"/>
              <w:ind w:left="0" w:right="0" w:firstLine="480" w:firstLineChars="200"/>
              <w:textAlignment w:val="auto"/>
              <w:rPr>
                <w:rFonts w:hint="default" w:ascii="Times New Roman" w:hAnsi="Times New Roman" w:eastAsia="Times New Roman" w:cs="Times New Roman"/>
                <w:b w:val="0"/>
                <w:bCs w:val="0"/>
                <w:color w:val="auto"/>
                <w:kern w:val="0"/>
                <w:sz w:val="24"/>
                <w:highlight w:val="none"/>
                <w:u w:val="none"/>
              </w:rPr>
            </w:pPr>
            <w:r>
              <w:rPr>
                <w:rFonts w:hint="eastAsia" w:eastAsia="宋体" w:cs="Times New Roman"/>
                <w:b w:val="0"/>
                <w:bCs w:val="0"/>
                <w:color w:val="auto"/>
                <w:kern w:val="0"/>
                <w:sz w:val="24"/>
                <w:highlight w:val="none"/>
                <w:u w:val="none"/>
                <w:lang w:eastAsia="zh-CN"/>
              </w:rPr>
              <w:t>项目</w:t>
            </w:r>
            <w:r>
              <w:rPr>
                <w:rFonts w:hint="default" w:ascii="Times New Roman" w:hAnsi="Times New Roman" w:eastAsia="Times New Roman" w:cs="Times New Roman"/>
                <w:b w:val="0"/>
                <w:bCs w:val="0"/>
                <w:color w:val="auto"/>
                <w:kern w:val="0"/>
                <w:sz w:val="24"/>
                <w:highlight w:val="none"/>
                <w:u w:val="none"/>
              </w:rPr>
              <w:t>运营期厂界噪声排放执行《工业企业厂界环境噪声排放标准》（</w:t>
            </w:r>
            <w:r>
              <w:rPr>
                <w:rFonts w:hint="default" w:ascii="Times New Roman" w:hAnsi="Times New Roman" w:eastAsia="Times New Roman" w:cs="Times New Roman"/>
                <w:b w:val="0"/>
                <w:bCs w:val="0"/>
                <w:color w:val="auto"/>
                <w:sz w:val="24"/>
                <w:highlight w:val="none"/>
                <w:u w:val="none"/>
              </w:rPr>
              <w:t>GB12348-2008）中</w:t>
            </w:r>
            <w:r>
              <w:rPr>
                <w:rFonts w:hint="eastAsia" w:eastAsia="宋体" w:cs="Times New Roman"/>
                <w:b w:val="0"/>
                <w:bCs w:val="0"/>
                <w:color w:val="auto"/>
                <w:sz w:val="24"/>
                <w:highlight w:val="none"/>
                <w:u w:val="none"/>
                <w:lang w:val="en-US" w:eastAsia="zh-CN"/>
              </w:rPr>
              <w:t>2</w:t>
            </w:r>
            <w:r>
              <w:rPr>
                <w:rFonts w:hint="default" w:ascii="Times New Roman" w:hAnsi="Times New Roman" w:eastAsia="Times New Roman" w:cs="Times New Roman"/>
                <w:b w:val="0"/>
                <w:bCs w:val="0"/>
                <w:color w:val="auto"/>
                <w:sz w:val="24"/>
                <w:highlight w:val="none"/>
                <w:u w:val="none"/>
              </w:rPr>
              <w:t>类区标准限值：</w:t>
            </w:r>
            <w:r>
              <w:rPr>
                <w:rFonts w:hint="default" w:ascii="Times New Roman" w:hAnsi="Times New Roman" w:eastAsia="Times New Roman" w:cs="Times New Roman"/>
                <w:b w:val="0"/>
                <w:bCs w:val="0"/>
                <w:color w:val="auto"/>
                <w:kern w:val="0"/>
                <w:sz w:val="24"/>
                <w:highlight w:val="none"/>
                <w:u w:val="none"/>
              </w:rPr>
              <w:t>昼间≤6</w:t>
            </w:r>
            <w:r>
              <w:rPr>
                <w:rFonts w:hint="eastAsia" w:eastAsia="宋体" w:cs="Times New Roman"/>
                <w:b w:val="0"/>
                <w:bCs w:val="0"/>
                <w:color w:val="auto"/>
                <w:kern w:val="0"/>
                <w:sz w:val="24"/>
                <w:highlight w:val="none"/>
                <w:u w:val="none"/>
                <w:lang w:val="en-US" w:eastAsia="zh-CN"/>
              </w:rPr>
              <w:t>0</w:t>
            </w:r>
            <w:r>
              <w:rPr>
                <w:rFonts w:hint="default" w:ascii="Times New Roman" w:hAnsi="Times New Roman" w:eastAsia="Times New Roman" w:cs="Times New Roman"/>
                <w:b w:val="0"/>
                <w:bCs w:val="0"/>
                <w:color w:val="auto"/>
                <w:kern w:val="0"/>
                <w:sz w:val="24"/>
                <w:highlight w:val="none"/>
                <w:u w:val="none"/>
              </w:rPr>
              <w:t>dB(A)，夜间≤5</w:t>
            </w:r>
            <w:r>
              <w:rPr>
                <w:rFonts w:hint="eastAsia" w:eastAsia="宋体" w:cs="Times New Roman"/>
                <w:b w:val="0"/>
                <w:bCs w:val="0"/>
                <w:color w:val="auto"/>
                <w:kern w:val="0"/>
                <w:sz w:val="24"/>
                <w:highlight w:val="none"/>
                <w:u w:val="none"/>
                <w:lang w:val="en-US" w:eastAsia="zh-CN"/>
              </w:rPr>
              <w:t>0</w:t>
            </w:r>
            <w:r>
              <w:rPr>
                <w:rFonts w:hint="default" w:ascii="Times New Roman" w:hAnsi="Times New Roman" w:eastAsia="Times New Roman" w:cs="Times New Roman"/>
                <w:b w:val="0"/>
                <w:bCs w:val="0"/>
                <w:color w:val="auto"/>
                <w:kern w:val="0"/>
                <w:sz w:val="24"/>
                <w:highlight w:val="none"/>
                <w:u w:val="none"/>
              </w:rPr>
              <w:t>dB(A)。</w:t>
            </w:r>
          </w:p>
          <w:p w14:paraId="404D7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textAlignment w:val="auto"/>
              <w:rPr>
                <w:rFonts w:hint="default" w:ascii="Times New Roman" w:hAnsi="Times New Roman" w:eastAsia="Times New Roman" w:cs="Times New Roman"/>
                <w:b w:val="0"/>
                <w:bCs w:val="0"/>
                <w:color w:val="auto"/>
                <w:kern w:val="0"/>
                <w:sz w:val="24"/>
                <w:highlight w:val="none"/>
                <w:u w:val="none"/>
              </w:rPr>
            </w:pPr>
            <w:r>
              <w:rPr>
                <w:rFonts w:hint="default" w:ascii="Times New Roman" w:hAnsi="Times New Roman" w:eastAsia="Times New Roman" w:cs="Times New Roman"/>
                <w:b w:val="0"/>
                <w:bCs w:val="0"/>
                <w:color w:val="auto"/>
                <w:kern w:val="0"/>
                <w:sz w:val="24"/>
                <w:highlight w:val="none"/>
                <w:u w:val="none"/>
                <w:lang w:val="en-US" w:eastAsia="zh-CN"/>
              </w:rPr>
              <w:t>4</w:t>
            </w:r>
            <w:r>
              <w:rPr>
                <w:rFonts w:hint="default" w:ascii="Times New Roman" w:hAnsi="Times New Roman" w:eastAsia="Times New Roman" w:cs="Times New Roman"/>
                <w:b w:val="0"/>
                <w:bCs w:val="0"/>
                <w:color w:val="auto"/>
                <w:kern w:val="0"/>
                <w:sz w:val="24"/>
                <w:highlight w:val="none"/>
                <w:u w:val="none"/>
              </w:rPr>
              <w:t>.固废</w:t>
            </w:r>
          </w:p>
          <w:p w14:paraId="38ECAA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Times New Roman" w:cs="Times New Roman"/>
                <w:b w:val="0"/>
                <w:bCs w:val="0"/>
                <w:color w:val="auto"/>
                <w:sz w:val="24"/>
                <w:highlight w:val="none"/>
                <w:u w:val="none"/>
              </w:rPr>
            </w:pPr>
            <w:r>
              <w:rPr>
                <w:rFonts w:hint="default" w:ascii="Times New Roman" w:hAnsi="Times New Roman" w:eastAsia="Times New Roman" w:cs="Times New Roman"/>
                <w:b w:val="0"/>
                <w:bCs w:val="0"/>
                <w:color w:val="auto"/>
                <w:kern w:val="0"/>
                <w:sz w:val="24"/>
                <w:highlight w:val="none"/>
                <w:u w:val="none"/>
              </w:rPr>
              <w:t>（1）项目一般固体废物厂区暂存执行《一般工业固体废物贮存和填埋污染控制标准》（GB18599-2020）</w:t>
            </w:r>
            <w:r>
              <w:rPr>
                <w:rFonts w:hint="default" w:ascii="Times New Roman" w:hAnsi="Times New Roman" w:eastAsia="Times New Roman" w:cs="Times New Roman"/>
                <w:b w:val="0"/>
                <w:bCs w:val="0"/>
                <w:color w:val="auto"/>
                <w:sz w:val="24"/>
                <w:highlight w:val="none"/>
                <w:u w:val="none"/>
              </w:rPr>
              <w:t>中相关要求。</w:t>
            </w:r>
          </w:p>
          <w:p w14:paraId="55F81CD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48" w:lineRule="auto"/>
              <w:ind w:left="0" w:right="0" w:firstLine="480" w:firstLineChars="200"/>
              <w:textAlignment w:val="auto"/>
              <w:rPr>
                <w:rFonts w:hint="default" w:ascii="Times New Roman" w:hAnsi="Times New Roman" w:eastAsia="Times New Roman" w:cs="Times New Roman"/>
                <w:b w:val="0"/>
                <w:bCs w:val="0"/>
                <w:color w:val="auto"/>
                <w:sz w:val="24"/>
                <w:highlight w:val="none"/>
                <w:u w:val="none"/>
              </w:rPr>
            </w:pPr>
            <w:r>
              <w:rPr>
                <w:rFonts w:hint="default" w:ascii="Times New Roman" w:hAnsi="Times New Roman" w:eastAsia="Times New Roman" w:cs="Times New Roman"/>
                <w:b w:val="0"/>
                <w:bCs w:val="0"/>
                <w:color w:val="auto"/>
                <w:sz w:val="24"/>
                <w:highlight w:val="none"/>
                <w:u w:val="none"/>
              </w:rPr>
              <w:t>（2）危险废物</w:t>
            </w:r>
            <w:r>
              <w:rPr>
                <w:rFonts w:hint="default" w:ascii="Times New Roman" w:hAnsi="Times New Roman" w:eastAsia="Times New Roman" w:cs="Times New Roman"/>
                <w:b w:val="0"/>
                <w:bCs w:val="0"/>
                <w:color w:val="auto"/>
                <w:kern w:val="0"/>
                <w:sz w:val="24"/>
                <w:highlight w:val="none"/>
                <w:u w:val="none"/>
              </w:rPr>
              <w:t>厂区暂存执行</w:t>
            </w:r>
            <w:r>
              <w:rPr>
                <w:rFonts w:hint="default" w:ascii="Times New Roman" w:hAnsi="Times New Roman" w:eastAsia="Times New Roman" w:cs="Times New Roman"/>
                <w:b w:val="0"/>
                <w:bCs w:val="0"/>
                <w:color w:val="auto"/>
                <w:sz w:val="24"/>
                <w:highlight w:val="none"/>
                <w:u w:val="none"/>
              </w:rPr>
              <w:t>《危险废物贮存污染控制标准》（GB18597-20</w:t>
            </w:r>
            <w:r>
              <w:rPr>
                <w:rFonts w:hint="default" w:ascii="Times New Roman" w:hAnsi="Times New Roman" w:eastAsia="Times New Roman" w:cs="Times New Roman"/>
                <w:b w:val="0"/>
                <w:bCs w:val="0"/>
                <w:color w:val="auto"/>
                <w:sz w:val="24"/>
                <w:highlight w:val="none"/>
                <w:u w:val="none"/>
                <w:lang w:val="en-US" w:eastAsia="zh-CN"/>
              </w:rPr>
              <w:t>23</w:t>
            </w:r>
            <w:r>
              <w:rPr>
                <w:rFonts w:hint="default" w:ascii="Times New Roman" w:hAnsi="Times New Roman" w:eastAsia="Times New Roman" w:cs="Times New Roman"/>
                <w:b w:val="0"/>
                <w:bCs w:val="0"/>
                <w:color w:val="auto"/>
                <w:sz w:val="24"/>
                <w:highlight w:val="none"/>
                <w:u w:val="none"/>
              </w:rPr>
              <w:t>）。</w:t>
            </w:r>
          </w:p>
        </w:tc>
      </w:tr>
      <w:tr w14:paraId="0D463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4" w:hRule="atLeast"/>
        </w:trPr>
        <w:tc>
          <w:tcPr>
            <w:tcW w:w="253" w:type="pct"/>
            <w:noWrap w:val="0"/>
            <w:vAlign w:val="center"/>
          </w:tcPr>
          <w:p w14:paraId="3EB4797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0"/>
                <w:sz w:val="24"/>
                <w:highlight w:val="none"/>
              </w:rPr>
            </w:pPr>
            <w:r>
              <w:rPr>
                <w:rFonts w:hint="default" w:ascii="Times New Roman" w:hAnsi="Times New Roman" w:eastAsia="Times New Roman" w:cs="Times New Roman"/>
                <w:color w:val="auto"/>
                <w:kern w:val="0"/>
                <w:sz w:val="24"/>
                <w:highlight w:val="none"/>
              </w:rPr>
              <w:t>总量控制指标</w:t>
            </w:r>
          </w:p>
        </w:tc>
        <w:tc>
          <w:tcPr>
            <w:tcW w:w="4746" w:type="pct"/>
            <w:noWrap w:val="0"/>
            <w:vAlign w:val="top"/>
          </w:tcPr>
          <w:p w14:paraId="42315C68">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5D2B3953">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2D0828F1">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b/>
                <w:bCs/>
                <w:snapToGrid w:val="0"/>
                <w:color w:val="auto"/>
                <w:sz w:val="24"/>
                <w:szCs w:val="24"/>
                <w:highlight w:val="none"/>
                <w:lang w:val="en-US" w:eastAsia="zh-CN"/>
              </w:rPr>
            </w:pPr>
          </w:p>
          <w:p w14:paraId="098443B2">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snapToGrid w:val="0"/>
                <w:color w:val="auto"/>
                <w:sz w:val="24"/>
                <w:szCs w:val="24"/>
                <w:highlight w:val="none"/>
                <w:lang w:val="en-US" w:eastAsia="zh-CN"/>
              </w:rPr>
            </w:pPr>
            <w:r>
              <w:rPr>
                <w:rFonts w:hint="eastAsia" w:ascii="Times New Roman" w:hAnsi="Times New Roman" w:cs="Times New Roman"/>
                <w:b/>
                <w:bCs/>
                <w:snapToGrid w:val="0"/>
                <w:color w:val="auto"/>
                <w:sz w:val="24"/>
                <w:szCs w:val="24"/>
                <w:highlight w:val="none"/>
                <w:lang w:val="en-US" w:eastAsia="zh-CN"/>
              </w:rPr>
              <w:t>1.现有工程排放量</w:t>
            </w:r>
          </w:p>
          <w:p w14:paraId="5134EEE0">
            <w:pPr>
              <w:keepNext w:val="0"/>
              <w:keepLines w:val="0"/>
              <w:suppressLineNumbers w:val="0"/>
              <w:tabs>
                <w:tab w:val="left" w:pos="720"/>
              </w:tabs>
              <w:spacing w:before="0" w:beforeAutospacing="0" w:after="0" w:afterAutospacing="0" w:line="360" w:lineRule="auto"/>
              <w:ind w:left="0" w:right="0" w:firstLine="482"/>
              <w:rPr>
                <w:rFonts w:hint="default" w:ascii="Times New Roman" w:hAnsi="Times New Roman" w:eastAsia="宋体" w:cs="Times New Roman"/>
                <w:snapToGrid w:val="0"/>
                <w:color w:val="auto"/>
                <w:sz w:val="24"/>
                <w:szCs w:val="24"/>
                <w:highlight w:val="none"/>
                <w:lang w:val="en-US" w:eastAsia="zh-CN"/>
              </w:rPr>
            </w:pPr>
            <w:r>
              <w:rPr>
                <w:rFonts w:hint="eastAsia" w:ascii="Times New Roman" w:hAnsi="Times New Roman" w:cs="Times New Roman"/>
                <w:snapToGrid w:val="0"/>
                <w:color w:val="auto"/>
                <w:sz w:val="24"/>
                <w:szCs w:val="24"/>
                <w:highlight w:val="none"/>
                <w:lang w:val="en-US" w:eastAsia="zh-CN"/>
              </w:rPr>
              <w:t>现有工程环评及批复总量控制指标为：VOCs2.0445t/a、</w:t>
            </w:r>
            <w:r>
              <w:rPr>
                <w:rFonts w:hint="eastAsia" w:ascii="Times New Roman" w:hAnsi="Times New Roman" w:eastAsia="宋体"/>
                <w:color w:val="auto"/>
                <w:sz w:val="24"/>
              </w:rPr>
              <w:t>COD 0.</w:t>
            </w:r>
            <w:r>
              <w:rPr>
                <w:rFonts w:hint="eastAsia" w:ascii="Times New Roman" w:hAnsi="Times New Roman"/>
                <w:color w:val="auto"/>
                <w:sz w:val="24"/>
                <w:lang w:val="en-US" w:eastAsia="zh-CN"/>
              </w:rPr>
              <w:t>0053</w:t>
            </w:r>
            <w:r>
              <w:rPr>
                <w:rFonts w:hint="eastAsia" w:ascii="Times New Roman" w:hAnsi="Times New Roman" w:eastAsia="宋体"/>
                <w:color w:val="auto"/>
                <w:sz w:val="24"/>
              </w:rPr>
              <w:t>t/a</w:t>
            </w:r>
            <w:r>
              <w:rPr>
                <w:rFonts w:hint="eastAsia"/>
                <w:color w:val="auto"/>
                <w:sz w:val="24"/>
                <w:lang w:eastAsia="zh-CN"/>
              </w:rPr>
              <w:t>。根据</w:t>
            </w:r>
            <w:r>
              <w:rPr>
                <w:rFonts w:hint="eastAsia" w:eastAsia="宋体" w:cs="Times New Roman"/>
                <w:b w:val="0"/>
                <w:bCs w:val="0"/>
                <w:color w:val="auto"/>
                <w:kern w:val="2"/>
                <w:sz w:val="24"/>
                <w:szCs w:val="24"/>
                <w:highlight w:val="none"/>
                <w:u w:val="none" w:color="auto"/>
                <w:lang w:val="en-US" w:eastAsia="zh-CN" w:bidi="ar-SA"/>
              </w:rPr>
              <w:t>《年产量3000万米高分子物理合成编织水带项目验收监测报告》（河南永蓝检测技术有限公司，2022年3月1日，编号：YLJC2201082Y），现有项目废水中化学需氧量的排放量为0.0047t/a，</w:t>
            </w:r>
            <w:r>
              <w:rPr>
                <w:rFonts w:hint="eastAsia" w:cs="Times New Roman"/>
                <w:b w:val="0"/>
                <w:bCs w:val="0"/>
                <w:color w:val="auto"/>
                <w:kern w:val="2"/>
                <w:sz w:val="24"/>
                <w:szCs w:val="24"/>
                <w:highlight w:val="none"/>
                <w:u w:val="none" w:color="auto"/>
                <w:lang w:val="en-US" w:eastAsia="zh-CN" w:bidi="ar-SA"/>
              </w:rPr>
              <w:t>根据</w:t>
            </w:r>
            <w:r>
              <w:rPr>
                <w:rFonts w:hint="eastAsia" w:eastAsia="宋体" w:cs="Times New Roman"/>
                <w:b w:val="0"/>
                <w:bCs w:val="0"/>
                <w:color w:val="auto"/>
                <w:kern w:val="2"/>
                <w:sz w:val="24"/>
                <w:szCs w:val="24"/>
                <w:highlight w:val="none"/>
                <w:u w:val="none" w:color="auto"/>
                <w:lang w:val="en-US" w:eastAsia="zh-CN" w:bidi="ar-SA"/>
              </w:rPr>
              <w:t>《安阳市雨露节水灌溉科技有限公司检测项目》（光远检测技术有限公司，2024年6月15日，编号：光远检字第（YS2024060102）号），现有项目</w:t>
            </w:r>
            <w:r>
              <w:rPr>
                <w:rFonts w:hint="eastAsia" w:cs="Times New Roman"/>
                <w:b w:val="0"/>
                <w:bCs w:val="0"/>
                <w:color w:val="auto"/>
                <w:kern w:val="2"/>
                <w:sz w:val="24"/>
                <w:szCs w:val="24"/>
                <w:highlight w:val="none"/>
                <w:u w:val="none" w:color="auto"/>
                <w:lang w:val="en-US" w:eastAsia="zh-CN" w:bidi="ar-SA"/>
              </w:rPr>
              <w:t>满负荷生产情况下，</w:t>
            </w:r>
            <w:r>
              <w:rPr>
                <w:rFonts w:hint="eastAsia" w:eastAsia="宋体" w:cs="Times New Roman"/>
                <w:b w:val="0"/>
                <w:bCs w:val="0"/>
                <w:color w:val="auto"/>
                <w:kern w:val="2"/>
                <w:sz w:val="24"/>
                <w:szCs w:val="24"/>
                <w:highlight w:val="none"/>
                <w:u w:val="none" w:color="auto"/>
                <w:lang w:val="en-US" w:eastAsia="zh-CN" w:bidi="ar-SA"/>
              </w:rPr>
              <w:t>废气中VOCs的排放量为</w:t>
            </w:r>
            <w:r>
              <w:rPr>
                <w:rFonts w:hint="eastAsia" w:cs="Times New Roman"/>
                <w:b w:val="0"/>
                <w:bCs w:val="0"/>
                <w:color w:val="auto"/>
                <w:kern w:val="2"/>
                <w:sz w:val="24"/>
                <w:szCs w:val="24"/>
                <w:highlight w:val="none"/>
                <w:u w:val="none" w:color="auto"/>
                <w:lang w:val="en-US" w:eastAsia="zh-CN" w:bidi="ar-SA"/>
              </w:rPr>
              <w:t>0.2825</w:t>
            </w:r>
            <w:r>
              <w:rPr>
                <w:rFonts w:hint="eastAsia" w:eastAsia="宋体" w:cs="Times New Roman"/>
                <w:b w:val="0"/>
                <w:bCs w:val="0"/>
                <w:color w:val="auto"/>
                <w:kern w:val="2"/>
                <w:sz w:val="24"/>
                <w:szCs w:val="24"/>
                <w:highlight w:val="none"/>
                <w:u w:val="none" w:color="auto"/>
                <w:lang w:val="en-US" w:eastAsia="zh-CN" w:bidi="ar-SA"/>
              </w:rPr>
              <w:t>t/a。</w:t>
            </w:r>
          </w:p>
          <w:p w14:paraId="5F51730B">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snapToGrid w:val="0"/>
                <w:color w:val="auto"/>
                <w:sz w:val="24"/>
                <w:szCs w:val="24"/>
                <w:highlight w:val="none"/>
                <w:lang w:val="en-US" w:eastAsia="zh-CN"/>
              </w:rPr>
            </w:pPr>
            <w:r>
              <w:rPr>
                <w:rFonts w:hint="eastAsia" w:ascii="Times New Roman" w:hAnsi="Times New Roman" w:eastAsia="宋体" w:cs="Times New Roman"/>
                <w:b/>
                <w:bCs/>
                <w:snapToGrid w:val="0"/>
                <w:color w:val="auto"/>
                <w:sz w:val="24"/>
                <w:szCs w:val="24"/>
                <w:highlight w:val="none"/>
                <w:lang w:val="en-US" w:eastAsia="zh-CN"/>
              </w:rPr>
              <w:t>2.现</w:t>
            </w:r>
            <w:r>
              <w:rPr>
                <w:rFonts w:hint="eastAsia" w:ascii="Times New Roman" w:hAnsi="Times New Roman" w:cs="Times New Roman"/>
                <w:b/>
                <w:bCs/>
                <w:snapToGrid w:val="0"/>
                <w:color w:val="auto"/>
                <w:sz w:val="24"/>
                <w:szCs w:val="24"/>
                <w:highlight w:val="none"/>
                <w:lang w:val="en-US" w:eastAsia="zh-CN"/>
              </w:rPr>
              <w:t>有工程削减量</w:t>
            </w:r>
          </w:p>
          <w:p w14:paraId="0478E5FA">
            <w:pPr>
              <w:keepNext w:val="0"/>
              <w:keepLines w:val="0"/>
              <w:suppressLineNumbers w:val="0"/>
              <w:tabs>
                <w:tab w:val="left" w:pos="720"/>
              </w:tabs>
              <w:spacing w:before="0" w:beforeAutospacing="0" w:after="0" w:afterAutospacing="0" w:line="360" w:lineRule="auto"/>
              <w:ind w:left="0" w:right="0" w:firstLine="480" w:firstLineChars="200"/>
              <w:rPr>
                <w:rFonts w:hint="eastAsia" w:ascii="Times New Roman" w:hAnsi="Times New Roman" w:cs="Times New Roman"/>
                <w:b/>
                <w:bCs/>
                <w:snapToGrid w:val="0"/>
                <w:color w:val="auto"/>
                <w:sz w:val="24"/>
                <w:szCs w:val="24"/>
                <w:highlight w:val="none"/>
                <w:lang w:val="en-US" w:eastAsia="zh-CN"/>
              </w:rPr>
            </w:pPr>
            <w:r>
              <w:rPr>
                <w:rFonts w:hint="eastAsia" w:cs="Times New Roman"/>
                <w:b w:val="0"/>
                <w:bCs w:val="0"/>
                <w:snapToGrid w:val="0"/>
                <w:color w:val="auto"/>
                <w:sz w:val="24"/>
                <w:szCs w:val="24"/>
                <w:highlight w:val="none"/>
                <w:lang w:val="en-US" w:eastAsia="zh-CN"/>
              </w:rPr>
              <w:t>现有工程全部搬迁，</w:t>
            </w:r>
            <w:r>
              <w:rPr>
                <w:rFonts w:hint="eastAsia" w:eastAsia="宋体" w:cs="Times New Roman"/>
                <w:b w:val="0"/>
                <w:bCs w:val="0"/>
                <w:color w:val="auto"/>
                <w:kern w:val="2"/>
                <w:sz w:val="24"/>
                <w:szCs w:val="24"/>
                <w:highlight w:val="none"/>
                <w:u w:val="none" w:color="auto"/>
                <w:lang w:val="en-US" w:eastAsia="zh-CN" w:bidi="ar-SA"/>
              </w:rPr>
              <w:t>化学需氧量削减量为0.0047t/a，VOCs削减量为</w:t>
            </w:r>
            <w:r>
              <w:rPr>
                <w:rFonts w:hint="eastAsia" w:cs="Times New Roman"/>
                <w:b w:val="0"/>
                <w:bCs w:val="0"/>
                <w:color w:val="auto"/>
                <w:kern w:val="2"/>
                <w:sz w:val="24"/>
                <w:szCs w:val="24"/>
                <w:highlight w:val="none"/>
                <w:u w:val="none" w:color="auto"/>
                <w:lang w:val="en-US" w:eastAsia="zh-CN" w:bidi="ar-SA"/>
              </w:rPr>
              <w:t>0.2825</w:t>
            </w:r>
            <w:r>
              <w:rPr>
                <w:rFonts w:hint="eastAsia" w:eastAsia="宋体" w:cs="Times New Roman"/>
                <w:b w:val="0"/>
                <w:bCs w:val="0"/>
                <w:color w:val="auto"/>
                <w:kern w:val="2"/>
                <w:sz w:val="24"/>
                <w:szCs w:val="24"/>
                <w:highlight w:val="none"/>
                <w:u w:val="none" w:color="auto"/>
                <w:lang w:val="en-US" w:eastAsia="zh-CN" w:bidi="ar-SA"/>
              </w:rPr>
              <w:t>t/a。</w:t>
            </w:r>
          </w:p>
          <w:p w14:paraId="6EF6D29B">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snapToGrid w:val="0"/>
                <w:color w:val="auto"/>
                <w:sz w:val="24"/>
                <w:szCs w:val="24"/>
                <w:highlight w:val="none"/>
                <w:lang w:val="en-US" w:eastAsia="zh-CN"/>
              </w:rPr>
            </w:pPr>
            <w:r>
              <w:rPr>
                <w:rFonts w:hint="eastAsia" w:cs="Times New Roman"/>
                <w:b/>
                <w:bCs/>
                <w:snapToGrid w:val="0"/>
                <w:color w:val="auto"/>
                <w:sz w:val="24"/>
                <w:szCs w:val="24"/>
                <w:highlight w:val="none"/>
                <w:lang w:val="en-US" w:eastAsia="zh-CN"/>
              </w:rPr>
              <w:t>3</w:t>
            </w:r>
            <w:r>
              <w:rPr>
                <w:rFonts w:hint="eastAsia" w:ascii="Times New Roman" w:hAnsi="Times New Roman" w:cs="Times New Roman"/>
                <w:b/>
                <w:bCs/>
                <w:snapToGrid w:val="0"/>
                <w:color w:val="auto"/>
                <w:sz w:val="24"/>
                <w:szCs w:val="24"/>
                <w:highlight w:val="none"/>
                <w:lang w:val="en-US" w:eastAsia="zh-CN"/>
              </w:rPr>
              <w:t>.本工程排放量</w:t>
            </w:r>
          </w:p>
          <w:p w14:paraId="52E3645B">
            <w:pPr>
              <w:keepNext w:val="0"/>
              <w:keepLines w:val="0"/>
              <w:suppressLineNumbers w:val="0"/>
              <w:tabs>
                <w:tab w:val="left" w:pos="720"/>
              </w:tabs>
              <w:spacing w:before="0" w:beforeAutospacing="0" w:after="0" w:afterAutospacing="0" w:line="360" w:lineRule="auto"/>
              <w:ind w:left="0" w:right="0" w:firstLine="482"/>
              <w:rPr>
                <w:rFonts w:hint="eastAsia" w:ascii="Times New Roman" w:hAnsi="Times New Roman" w:eastAsia="宋体" w:cs="Times New Roman"/>
                <w:snapToGrid w:val="0"/>
                <w:color w:val="auto"/>
                <w:sz w:val="24"/>
                <w:szCs w:val="24"/>
                <w:highlight w:val="none"/>
                <w:lang w:val="en-US" w:eastAsia="zh-CN"/>
              </w:rPr>
            </w:pPr>
            <w:r>
              <w:rPr>
                <w:rFonts w:hint="default" w:ascii="Times New Roman" w:hAnsi="Times New Roman" w:cs="Times New Roman"/>
                <w:snapToGrid w:val="0"/>
                <w:color w:val="auto"/>
                <w:sz w:val="24"/>
                <w:szCs w:val="24"/>
                <w:highlight w:val="none"/>
                <w:lang w:val="en-US" w:eastAsia="zh-CN"/>
              </w:rPr>
              <w:t>本项目建成后</w:t>
            </w:r>
            <w:r>
              <w:rPr>
                <w:rFonts w:hint="eastAsia" w:ascii="Times New Roman" w:hAnsi="Times New Roman" w:cs="Times New Roman"/>
                <w:snapToGrid w:val="0"/>
                <w:color w:val="auto"/>
                <w:sz w:val="24"/>
                <w:szCs w:val="24"/>
                <w:highlight w:val="none"/>
                <w:lang w:val="en-US" w:eastAsia="zh-CN"/>
              </w:rPr>
              <w:t>污染物排放量</w:t>
            </w:r>
            <w:r>
              <w:rPr>
                <w:rFonts w:hint="default" w:ascii="Times New Roman" w:hAnsi="Times New Roman" w:cs="Times New Roman"/>
                <w:snapToGrid w:val="0"/>
                <w:color w:val="auto"/>
                <w:sz w:val="24"/>
                <w:szCs w:val="24"/>
                <w:highlight w:val="none"/>
                <w:lang w:val="en-US" w:eastAsia="zh-CN"/>
              </w:rPr>
              <w:t>为非甲烷总烃：</w:t>
            </w:r>
            <w:r>
              <w:rPr>
                <w:rFonts w:hint="eastAsia" w:cs="Times New Roman"/>
                <w:snapToGrid w:val="0"/>
                <w:color w:val="auto"/>
                <w:sz w:val="24"/>
                <w:szCs w:val="24"/>
                <w:highlight w:val="none"/>
                <w:lang w:val="en-US" w:eastAsia="zh-CN"/>
              </w:rPr>
              <w:t>0.6974</w:t>
            </w:r>
            <w:r>
              <w:rPr>
                <w:rFonts w:hint="default" w:ascii="Times New Roman" w:hAnsi="Times New Roman" w:cs="Times New Roman"/>
                <w:snapToGrid w:val="0"/>
                <w:color w:val="auto"/>
                <w:sz w:val="24"/>
                <w:szCs w:val="24"/>
                <w:highlight w:val="none"/>
                <w:lang w:val="en-US" w:eastAsia="zh-CN"/>
              </w:rPr>
              <w:t>t/a</w:t>
            </w:r>
            <w:r>
              <w:rPr>
                <w:rFonts w:hint="eastAsia" w:ascii="Times New Roman" w:hAnsi="Times New Roman" w:cs="Times New Roman"/>
                <w:snapToGrid w:val="0"/>
                <w:color w:val="auto"/>
                <w:sz w:val="24"/>
                <w:szCs w:val="24"/>
                <w:highlight w:val="none"/>
                <w:lang w:val="en-US" w:eastAsia="zh-CN"/>
              </w:rPr>
              <w:t>、</w:t>
            </w:r>
            <w:r>
              <w:rPr>
                <w:rFonts w:hint="eastAsia" w:ascii="Times New Roman" w:hAnsi="Times New Roman" w:eastAsia="宋体"/>
                <w:color w:val="auto"/>
                <w:sz w:val="24"/>
              </w:rPr>
              <w:t>COD 0.</w:t>
            </w:r>
            <w:r>
              <w:rPr>
                <w:rFonts w:hint="eastAsia" w:ascii="Times New Roman" w:hAnsi="Times New Roman"/>
                <w:color w:val="auto"/>
                <w:sz w:val="24"/>
                <w:lang w:val="en-US" w:eastAsia="zh-CN"/>
              </w:rPr>
              <w:t>0</w:t>
            </w:r>
            <w:r>
              <w:rPr>
                <w:rFonts w:hint="eastAsia"/>
                <w:color w:val="auto"/>
                <w:sz w:val="24"/>
                <w:lang w:val="en-US" w:eastAsia="zh-CN"/>
              </w:rPr>
              <w:t>216</w:t>
            </w:r>
            <w:r>
              <w:rPr>
                <w:rFonts w:hint="eastAsia" w:ascii="Times New Roman" w:hAnsi="Times New Roman"/>
                <w:color w:val="auto"/>
                <w:sz w:val="24"/>
                <w:lang w:val="en-US" w:eastAsia="zh-CN"/>
              </w:rPr>
              <w:t>t/a、总磷0.000</w:t>
            </w:r>
            <w:r>
              <w:rPr>
                <w:rFonts w:hint="eastAsia"/>
                <w:color w:val="auto"/>
                <w:sz w:val="24"/>
                <w:lang w:val="en-US" w:eastAsia="zh-CN"/>
              </w:rPr>
              <w:t>2</w:t>
            </w:r>
            <w:r>
              <w:rPr>
                <w:rFonts w:hint="eastAsia" w:ascii="Times New Roman" w:hAnsi="Times New Roman" w:eastAsia="宋体"/>
                <w:color w:val="auto"/>
                <w:sz w:val="24"/>
              </w:rPr>
              <w:t>t/a</w:t>
            </w:r>
            <w:r>
              <w:rPr>
                <w:rFonts w:hint="eastAsia"/>
                <w:color w:val="auto"/>
                <w:sz w:val="24"/>
                <w:lang w:eastAsia="zh-CN"/>
              </w:rPr>
              <w:t>。</w:t>
            </w:r>
            <w:r>
              <w:rPr>
                <w:rFonts w:hint="eastAsia" w:ascii="Times New Roman" w:hAnsi="Times New Roman" w:eastAsia="宋体"/>
                <w:color w:val="auto"/>
                <w:sz w:val="24"/>
              </w:rPr>
              <w:t>COD</w:t>
            </w:r>
            <w:r>
              <w:rPr>
                <w:rFonts w:hint="eastAsia" w:ascii="Times New Roman" w:hAnsi="Times New Roman" w:eastAsia="宋体"/>
                <w:color w:val="auto"/>
                <w:sz w:val="24"/>
                <w:lang w:eastAsia="zh-CN"/>
              </w:rPr>
              <w:t>出厂量为</w:t>
            </w:r>
            <w:r>
              <w:rPr>
                <w:rFonts w:hint="eastAsia"/>
                <w:color w:val="auto"/>
                <w:sz w:val="24"/>
                <w:lang w:val="en-US" w:eastAsia="zh-CN"/>
              </w:rPr>
              <w:t>0.0769</w:t>
            </w:r>
            <w:r>
              <w:rPr>
                <w:rFonts w:hint="eastAsia" w:ascii="Times New Roman" w:hAnsi="Times New Roman"/>
                <w:color w:val="auto"/>
                <w:sz w:val="24"/>
                <w:lang w:val="en-US" w:eastAsia="zh-CN"/>
              </w:rPr>
              <w:t>t/a、总磷出厂量为0.000</w:t>
            </w:r>
            <w:r>
              <w:rPr>
                <w:rFonts w:hint="eastAsia"/>
                <w:color w:val="auto"/>
                <w:sz w:val="24"/>
                <w:lang w:val="en-US" w:eastAsia="zh-CN"/>
              </w:rPr>
              <w:t>8</w:t>
            </w:r>
            <w:r>
              <w:rPr>
                <w:rFonts w:hint="eastAsia" w:ascii="Times New Roman" w:hAnsi="Times New Roman" w:eastAsia="宋体"/>
                <w:color w:val="auto"/>
                <w:sz w:val="24"/>
              </w:rPr>
              <w:t>t/a</w:t>
            </w:r>
            <w:r>
              <w:rPr>
                <w:rFonts w:hint="eastAsia"/>
                <w:color w:val="auto"/>
                <w:sz w:val="24"/>
                <w:lang w:eastAsia="zh-CN"/>
              </w:rPr>
              <w:t>。</w:t>
            </w:r>
          </w:p>
          <w:p w14:paraId="6551DF96">
            <w:pPr>
              <w:keepNext w:val="0"/>
              <w:keepLines w:val="0"/>
              <w:suppressLineNumbers w:val="0"/>
              <w:tabs>
                <w:tab w:val="left" w:pos="720"/>
              </w:tabs>
              <w:spacing w:before="0" w:beforeAutospacing="0" w:after="0" w:afterAutospacing="0" w:line="360" w:lineRule="auto"/>
              <w:ind w:left="0" w:right="0" w:firstLine="504" w:firstLineChars="200"/>
              <w:rPr>
                <w:rFonts w:hint="default" w:eastAsia="宋体"/>
                <w:bCs/>
                <w:color w:val="auto"/>
                <w:spacing w:val="6"/>
                <w:kern w:val="0"/>
                <w:sz w:val="24"/>
                <w:lang w:val="en-US" w:eastAsia="zh-CN"/>
              </w:rPr>
            </w:pPr>
            <w:r>
              <w:rPr>
                <w:rFonts w:hint="default"/>
                <w:bCs/>
                <w:color w:val="auto"/>
                <w:spacing w:val="6"/>
                <w:kern w:val="0"/>
                <w:sz w:val="24"/>
              </w:rPr>
              <w:t>与现有项目对比，本次项目建成后</w:t>
            </w:r>
            <w:r>
              <w:rPr>
                <w:rFonts w:hint="eastAsia"/>
                <w:bCs/>
                <w:color w:val="auto"/>
                <w:spacing w:val="6"/>
                <w:kern w:val="0"/>
                <w:sz w:val="24"/>
              </w:rPr>
              <w:t>，废气污染物排放增量为：</w:t>
            </w:r>
            <w:r>
              <w:rPr>
                <w:rFonts w:hint="default"/>
                <w:bCs/>
                <w:color w:val="auto"/>
                <w:spacing w:val="6"/>
                <w:kern w:val="0"/>
                <w:sz w:val="24"/>
              </w:rPr>
              <w:t>VOCs</w:t>
            </w:r>
            <w:r>
              <w:rPr>
                <w:rFonts w:hint="eastAsia"/>
                <w:bCs/>
                <w:color w:val="auto"/>
                <w:spacing w:val="6"/>
                <w:kern w:val="0"/>
                <w:sz w:val="24"/>
              </w:rPr>
              <w:t>:</w:t>
            </w:r>
            <w:r>
              <w:rPr>
                <w:rFonts w:hint="default"/>
                <w:bCs/>
                <w:color w:val="auto"/>
                <w:spacing w:val="6"/>
                <w:kern w:val="0"/>
                <w:sz w:val="24"/>
              </w:rPr>
              <w:t>+</w:t>
            </w:r>
            <w:r>
              <w:rPr>
                <w:rFonts w:hint="eastAsia"/>
                <w:bCs/>
                <w:color w:val="auto"/>
                <w:spacing w:val="6"/>
                <w:kern w:val="0"/>
                <w:sz w:val="24"/>
                <w:lang w:val="en-US" w:eastAsia="zh-CN"/>
              </w:rPr>
              <w:t>0.4149</w:t>
            </w:r>
            <w:r>
              <w:rPr>
                <w:rFonts w:hint="default"/>
                <w:bCs/>
                <w:color w:val="auto"/>
                <w:spacing w:val="6"/>
                <w:kern w:val="0"/>
                <w:sz w:val="24"/>
              </w:rPr>
              <w:t>t/a</w:t>
            </w:r>
            <w:r>
              <w:rPr>
                <w:rFonts w:hint="eastAsia"/>
                <w:bCs/>
                <w:color w:val="auto"/>
                <w:spacing w:val="6"/>
                <w:kern w:val="0"/>
                <w:sz w:val="24"/>
                <w:lang w:eastAsia="zh-CN"/>
              </w:rPr>
              <w:t>。废水污染物排放增量为</w:t>
            </w:r>
            <w:r>
              <w:rPr>
                <w:rFonts w:hint="eastAsia" w:ascii="Times New Roman" w:hAnsi="Times New Roman" w:eastAsia="宋体"/>
                <w:color w:val="auto"/>
                <w:sz w:val="24"/>
              </w:rPr>
              <w:t>COD</w:t>
            </w: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+0</w:t>
            </w:r>
            <w:r>
              <w:rPr>
                <w:rFonts w:hint="eastAsia"/>
                <w:color w:val="auto"/>
                <w:sz w:val="24"/>
                <w:lang w:val="en-US" w:eastAsia="zh-CN"/>
              </w:rPr>
              <w:t>.0169</w:t>
            </w:r>
            <w:r>
              <w:rPr>
                <w:rFonts w:hint="eastAsia" w:ascii="Times New Roman" w:hAnsi="Times New Roman" w:eastAsia="宋体"/>
                <w:color w:val="auto"/>
                <w:sz w:val="24"/>
                <w:lang w:val="en-US" w:eastAsia="zh-CN"/>
              </w:rPr>
              <w:t>t/a</w:t>
            </w:r>
            <w:r>
              <w:rPr>
                <w:rFonts w:hint="eastAsia" w:ascii="Times New Roman" w:hAnsi="Times New Roman" w:eastAsia="宋体"/>
                <w:color w:val="auto"/>
                <w:sz w:val="24"/>
                <w:lang w:eastAsia="zh-CN"/>
              </w:rPr>
              <w:t>、总磷：</w:t>
            </w:r>
            <w:r>
              <w:rPr>
                <w:rFonts w:hint="eastAsia" w:ascii="Times New Roman" w:hAnsi="Times New Roman" w:eastAsia="宋体"/>
                <w:color w:val="auto"/>
                <w:sz w:val="24"/>
                <w:lang w:val="en-US" w:eastAsia="zh-CN"/>
              </w:rPr>
              <w:t>+0.000</w:t>
            </w:r>
            <w:r>
              <w:rPr>
                <w:rFonts w:hint="eastAsia"/>
                <w:color w:val="auto"/>
                <w:sz w:val="24"/>
                <w:lang w:val="en-US" w:eastAsia="zh-CN"/>
              </w:rPr>
              <w:t>2</w:t>
            </w:r>
            <w:r>
              <w:rPr>
                <w:rFonts w:hint="eastAsia" w:ascii="Times New Roman" w:hAnsi="Times New Roman" w:eastAsia="宋体"/>
                <w:color w:val="auto"/>
                <w:sz w:val="24"/>
                <w:lang w:val="en-US" w:eastAsia="zh-CN"/>
              </w:rPr>
              <w:t>t/a</w:t>
            </w:r>
          </w:p>
          <w:p w14:paraId="0A24D7C8">
            <w:pPr>
              <w:keepNext w:val="0"/>
              <w:keepLines w:val="0"/>
              <w:suppressLineNumbers w:val="0"/>
              <w:tabs>
                <w:tab w:val="left" w:pos="720"/>
              </w:tabs>
              <w:spacing w:before="0" w:beforeAutospacing="0" w:after="0" w:afterAutospacing="0" w:line="360" w:lineRule="auto"/>
              <w:ind w:left="0" w:right="0"/>
              <w:rPr>
                <w:rFonts w:hint="default" w:ascii="Times New Roman" w:hAnsi="Times New Roman" w:eastAsia="宋体" w:cs="Times New Roman"/>
                <w:b/>
                <w:bCs/>
                <w:snapToGrid w:val="0"/>
                <w:color w:val="auto"/>
                <w:sz w:val="24"/>
                <w:szCs w:val="24"/>
                <w:highlight w:val="none"/>
                <w:lang w:val="en-US" w:eastAsia="zh-CN"/>
              </w:rPr>
            </w:pPr>
            <w:r>
              <w:rPr>
                <w:rFonts w:hint="eastAsia" w:ascii="Times New Roman" w:hAnsi="Times New Roman" w:eastAsia="宋体" w:cs="Times New Roman"/>
                <w:snapToGrid w:val="0"/>
                <w:color w:val="auto"/>
                <w:sz w:val="24"/>
                <w:szCs w:val="24"/>
                <w:highlight w:val="none"/>
                <w:lang w:val="en-US" w:eastAsia="zh-CN"/>
              </w:rPr>
              <w:t>新增污染物排放量为</w:t>
            </w:r>
            <w:r>
              <w:rPr>
                <w:rFonts w:hint="default"/>
                <w:bCs/>
                <w:color w:val="auto"/>
                <w:spacing w:val="6"/>
                <w:kern w:val="0"/>
                <w:sz w:val="24"/>
              </w:rPr>
              <w:t>VOCs</w:t>
            </w:r>
            <w:r>
              <w:rPr>
                <w:rFonts w:hint="eastAsia"/>
                <w:bCs/>
                <w:color w:val="auto"/>
                <w:spacing w:val="6"/>
                <w:kern w:val="0"/>
                <w:sz w:val="24"/>
                <w:lang w:val="en-US" w:eastAsia="zh-CN"/>
              </w:rPr>
              <w:t>0.4149t/a、</w:t>
            </w:r>
            <w:r>
              <w:rPr>
                <w:rFonts w:hint="eastAsia" w:ascii="Times New Roman" w:hAnsi="Times New Roman" w:eastAsia="宋体"/>
                <w:color w:val="auto"/>
                <w:sz w:val="24"/>
              </w:rPr>
              <w:t>COD</w:t>
            </w:r>
            <w:r>
              <w:rPr>
                <w:rFonts w:hint="eastAsia"/>
                <w:color w:val="auto"/>
                <w:sz w:val="24"/>
                <w:lang w:val="en-US" w:eastAsia="zh-CN"/>
              </w:rPr>
              <w:t>0.0169</w:t>
            </w:r>
            <w:r>
              <w:rPr>
                <w:rFonts w:hint="eastAsia" w:ascii="Times New Roman" w:hAnsi="Times New Roman" w:eastAsia="宋体"/>
                <w:color w:val="auto"/>
                <w:sz w:val="24"/>
                <w:lang w:val="en-US" w:eastAsia="zh-CN"/>
              </w:rPr>
              <w:t>t/a、总磷</w:t>
            </w:r>
            <w:r>
              <w:rPr>
                <w:rFonts w:hint="eastAsia"/>
                <w:color w:val="auto"/>
                <w:sz w:val="24"/>
                <w:lang w:val="en-US" w:eastAsia="zh-CN"/>
              </w:rPr>
              <w:t>0.0002</w:t>
            </w:r>
            <w:r>
              <w:rPr>
                <w:rFonts w:hint="eastAsia" w:ascii="Times New Roman" w:hAnsi="Times New Roman" w:eastAsia="宋体"/>
                <w:color w:val="auto"/>
                <w:sz w:val="24"/>
                <w:lang w:val="en-US" w:eastAsia="zh-CN"/>
              </w:rPr>
              <w:t>t/a。</w:t>
            </w:r>
          </w:p>
          <w:p w14:paraId="2651E600">
            <w:pPr>
              <w:keepNext w:val="0"/>
              <w:keepLines w:val="0"/>
              <w:suppressLineNumbers w:val="0"/>
              <w:tabs>
                <w:tab w:val="left" w:pos="720"/>
              </w:tabs>
              <w:spacing w:before="0" w:beforeAutospacing="0" w:after="0" w:afterAutospacing="0" w:line="360" w:lineRule="auto"/>
              <w:ind w:left="0" w:right="0"/>
              <w:rPr>
                <w:rFonts w:hint="eastAsia" w:ascii="Times New Roman" w:hAnsi="Times New Roman" w:cs="Times New Roman"/>
                <w:snapToGrid w:val="0"/>
                <w:color w:val="auto"/>
                <w:sz w:val="24"/>
                <w:szCs w:val="24"/>
                <w:highlight w:val="none"/>
                <w:lang w:val="en-US" w:eastAsia="zh-CN"/>
              </w:rPr>
            </w:pPr>
            <w:r>
              <w:rPr>
                <w:rFonts w:hint="eastAsia" w:cs="Times New Roman"/>
                <w:b/>
                <w:bCs/>
                <w:snapToGrid w:val="0"/>
                <w:color w:val="auto"/>
                <w:sz w:val="24"/>
                <w:szCs w:val="24"/>
                <w:highlight w:val="none"/>
                <w:lang w:val="en-US" w:eastAsia="zh-CN"/>
              </w:rPr>
              <w:t>4</w:t>
            </w:r>
            <w:r>
              <w:rPr>
                <w:rFonts w:hint="eastAsia" w:ascii="Times New Roman" w:hAnsi="Times New Roman" w:cs="Times New Roman"/>
                <w:b/>
                <w:bCs/>
                <w:snapToGrid w:val="0"/>
                <w:color w:val="auto"/>
                <w:sz w:val="24"/>
                <w:szCs w:val="24"/>
                <w:highlight w:val="none"/>
                <w:lang w:val="en-US" w:eastAsia="zh-CN"/>
              </w:rPr>
              <w:t>.总量控制指标</w:t>
            </w:r>
          </w:p>
          <w:p w14:paraId="214CE760">
            <w:pPr>
              <w:keepNext w:val="0"/>
              <w:keepLines w:val="0"/>
              <w:suppressLineNumbers w:val="0"/>
              <w:tabs>
                <w:tab w:val="left" w:pos="720"/>
              </w:tabs>
              <w:spacing w:before="0" w:beforeAutospacing="0" w:after="0" w:afterAutospacing="0" w:line="360" w:lineRule="auto"/>
              <w:ind w:left="0" w:right="0" w:firstLine="482"/>
              <w:rPr>
                <w:rFonts w:hint="eastAsia" w:ascii="Times New Roman" w:hAnsi="Times New Roman" w:cs="Times New Roman"/>
                <w:color w:val="auto"/>
                <w:sz w:val="24"/>
                <w:lang w:eastAsia="zh-CN"/>
              </w:rPr>
            </w:pPr>
            <w:r>
              <w:rPr>
                <w:rFonts w:hint="eastAsia" w:ascii="Times New Roman" w:hAnsi="Times New Roman" w:eastAsia="宋体" w:cs="Times New Roman"/>
                <w:snapToGrid w:val="0"/>
                <w:color w:val="auto"/>
                <w:sz w:val="24"/>
                <w:szCs w:val="24"/>
                <w:highlight w:val="none"/>
                <w:lang w:val="en-US" w:eastAsia="zh-CN"/>
              </w:rPr>
              <w:t>本项目建成后，污染物总量控制指标为</w:t>
            </w:r>
            <w:r>
              <w:rPr>
                <w:rFonts w:hint="default" w:ascii="Times New Roman" w:hAnsi="Times New Roman" w:eastAsia="宋体" w:cs="Times New Roman"/>
                <w:snapToGrid w:val="0"/>
                <w:color w:val="auto"/>
                <w:sz w:val="24"/>
                <w:szCs w:val="24"/>
                <w:highlight w:val="none"/>
                <w:lang w:val="en-US" w:eastAsia="zh-CN"/>
              </w:rPr>
              <w:t>非甲烷总烃：</w:t>
            </w:r>
            <w:r>
              <w:rPr>
                <w:rFonts w:hint="eastAsia" w:cs="Times New Roman"/>
                <w:snapToGrid w:val="0"/>
                <w:color w:val="auto"/>
                <w:sz w:val="24"/>
                <w:szCs w:val="24"/>
                <w:highlight w:val="none"/>
                <w:lang w:val="en-US" w:eastAsia="zh-CN"/>
              </w:rPr>
              <w:t>0.6974</w:t>
            </w:r>
            <w:r>
              <w:rPr>
                <w:rFonts w:hint="default" w:ascii="Times New Roman" w:hAnsi="Times New Roman" w:eastAsia="宋体" w:cs="Times New Roman"/>
                <w:snapToGrid w:val="0"/>
                <w:color w:val="auto"/>
                <w:sz w:val="24"/>
                <w:szCs w:val="24"/>
                <w:highlight w:val="none"/>
                <w:lang w:val="en-US" w:eastAsia="zh-CN"/>
              </w:rPr>
              <w:t>t/a</w:t>
            </w:r>
            <w:r>
              <w:rPr>
                <w:rFonts w:hint="eastAsia" w:ascii="Times New Roman" w:hAnsi="Times New Roman" w:cs="Times New Roman"/>
                <w:snapToGrid w:val="0"/>
                <w:color w:val="auto"/>
                <w:sz w:val="24"/>
                <w:szCs w:val="24"/>
                <w:highlight w:val="none"/>
                <w:lang w:val="en-US" w:eastAsia="zh-CN"/>
              </w:rPr>
              <w:t>、</w:t>
            </w:r>
            <w:r>
              <w:rPr>
                <w:rFonts w:hint="eastAsia" w:ascii="Times New Roman" w:hAnsi="Times New Roman" w:eastAsia="宋体"/>
                <w:color w:val="auto"/>
                <w:sz w:val="24"/>
              </w:rPr>
              <w:t>COD 0.</w:t>
            </w:r>
            <w:r>
              <w:rPr>
                <w:rFonts w:hint="eastAsia" w:ascii="Times New Roman" w:hAnsi="Times New Roman"/>
                <w:color w:val="auto"/>
                <w:sz w:val="24"/>
                <w:lang w:val="en-US" w:eastAsia="zh-CN"/>
              </w:rPr>
              <w:t>02</w:t>
            </w:r>
            <w:r>
              <w:rPr>
                <w:rFonts w:hint="eastAsia"/>
                <w:color w:val="auto"/>
                <w:sz w:val="24"/>
                <w:lang w:val="en-US" w:eastAsia="zh-CN"/>
              </w:rPr>
              <w:t>16</w:t>
            </w:r>
            <w:r>
              <w:rPr>
                <w:rFonts w:hint="eastAsia" w:ascii="Times New Roman" w:hAnsi="Times New Roman"/>
                <w:color w:val="auto"/>
                <w:sz w:val="24"/>
                <w:lang w:val="en-US" w:eastAsia="zh-CN"/>
              </w:rPr>
              <w:t>t/a、总磷0.000</w:t>
            </w:r>
            <w:r>
              <w:rPr>
                <w:rFonts w:hint="eastAsia"/>
                <w:color w:val="auto"/>
                <w:sz w:val="24"/>
                <w:lang w:val="en-US" w:eastAsia="zh-CN"/>
              </w:rPr>
              <w:t>2</w:t>
            </w:r>
            <w:r>
              <w:rPr>
                <w:rFonts w:hint="eastAsia" w:ascii="Times New Roman" w:hAnsi="Times New Roman" w:eastAsia="宋体"/>
                <w:color w:val="auto"/>
                <w:sz w:val="24"/>
              </w:rPr>
              <w:t>t/a</w:t>
            </w:r>
            <w:r>
              <w:rPr>
                <w:rFonts w:hint="default" w:ascii="Times New Roman" w:hAnsi="Times New Roman" w:eastAsia="宋体" w:cs="Times New Roman"/>
                <w:snapToGrid w:val="0"/>
                <w:color w:val="auto"/>
                <w:sz w:val="24"/>
                <w:szCs w:val="24"/>
                <w:highlight w:val="none"/>
                <w:lang w:val="en-US" w:eastAsia="zh-CN"/>
              </w:rPr>
              <w:t>。</w:t>
            </w:r>
            <w:r>
              <w:rPr>
                <w:rFonts w:hint="eastAsia" w:ascii="Times New Roman" w:hAnsi="Times New Roman" w:eastAsia="宋体" w:cs="Times New Roman"/>
                <w:snapToGrid w:val="0"/>
                <w:color w:val="auto"/>
                <w:sz w:val="24"/>
                <w:szCs w:val="24"/>
                <w:highlight w:val="none"/>
                <w:lang w:val="en-US" w:eastAsia="zh-CN"/>
              </w:rPr>
              <w:t>本项目非甲烷总烃</w:t>
            </w:r>
            <w:r>
              <w:rPr>
                <w:rFonts w:hint="eastAsia" w:ascii="Times New Roman" w:hAnsi="Times New Roman" w:cs="Times New Roman"/>
                <w:snapToGrid w:val="0"/>
                <w:color w:val="auto"/>
                <w:sz w:val="24"/>
                <w:szCs w:val="24"/>
                <w:highlight w:val="none"/>
                <w:lang w:val="en-US" w:eastAsia="zh-CN"/>
              </w:rPr>
              <w:t>需要替代量为</w:t>
            </w:r>
            <w:r>
              <w:rPr>
                <w:rFonts w:hint="eastAsia" w:cs="Times New Roman"/>
                <w:snapToGrid w:val="0"/>
                <w:color w:val="auto"/>
                <w:sz w:val="24"/>
                <w:szCs w:val="24"/>
                <w:highlight w:val="none"/>
                <w:lang w:val="en-US" w:eastAsia="zh-CN"/>
              </w:rPr>
              <w:t>0.4149t</w:t>
            </w:r>
            <w:r>
              <w:rPr>
                <w:rFonts w:hint="eastAsia" w:ascii="Times New Roman" w:hAnsi="Times New Roman" w:cs="Times New Roman"/>
                <w:snapToGrid w:val="0"/>
                <w:color w:val="auto"/>
                <w:sz w:val="24"/>
                <w:szCs w:val="24"/>
                <w:highlight w:val="none"/>
                <w:lang w:val="en-US" w:eastAsia="zh-CN"/>
              </w:rPr>
              <w:t>/a，倍量替代量为</w:t>
            </w:r>
            <w:r>
              <w:rPr>
                <w:rFonts w:hint="eastAsia" w:cs="Times New Roman"/>
                <w:snapToGrid w:val="0"/>
                <w:color w:val="auto"/>
                <w:sz w:val="24"/>
                <w:szCs w:val="24"/>
                <w:highlight w:val="none"/>
                <w:lang w:val="en-US" w:eastAsia="zh-CN"/>
              </w:rPr>
              <w:t>0.8298</w:t>
            </w:r>
            <w:r>
              <w:rPr>
                <w:rFonts w:hint="eastAsia" w:ascii="Times New Roman" w:hAnsi="Times New Roman" w:cs="Times New Roman"/>
                <w:snapToGrid w:val="0"/>
                <w:color w:val="auto"/>
                <w:sz w:val="24"/>
                <w:szCs w:val="24"/>
                <w:highlight w:val="none"/>
                <w:lang w:val="en-US" w:eastAsia="zh-CN"/>
              </w:rPr>
              <w:t>t/a，COD、总磷等量替代，替代量为</w:t>
            </w:r>
            <w:r>
              <w:rPr>
                <w:rFonts w:hint="eastAsia" w:ascii="Times New Roman" w:hAnsi="Times New Roman" w:eastAsia="宋体"/>
                <w:color w:val="auto"/>
                <w:sz w:val="24"/>
              </w:rPr>
              <w:t>COD 0.</w:t>
            </w:r>
            <w:r>
              <w:rPr>
                <w:rFonts w:hint="eastAsia" w:ascii="Times New Roman" w:hAnsi="Times New Roman"/>
                <w:color w:val="auto"/>
                <w:sz w:val="24"/>
                <w:lang w:val="en-US" w:eastAsia="zh-CN"/>
              </w:rPr>
              <w:t>0</w:t>
            </w:r>
            <w:r>
              <w:rPr>
                <w:rFonts w:hint="eastAsia"/>
                <w:color w:val="auto"/>
                <w:sz w:val="24"/>
                <w:lang w:val="en-US" w:eastAsia="zh-CN"/>
              </w:rPr>
              <w:t>169</w:t>
            </w:r>
            <w:r>
              <w:rPr>
                <w:rFonts w:hint="eastAsia" w:ascii="Times New Roman" w:hAnsi="Times New Roman"/>
                <w:color w:val="auto"/>
                <w:sz w:val="24"/>
                <w:lang w:val="en-US" w:eastAsia="zh-CN"/>
              </w:rPr>
              <w:t>t/a、总磷0.000</w:t>
            </w:r>
            <w:r>
              <w:rPr>
                <w:rFonts w:hint="eastAsia"/>
                <w:color w:val="auto"/>
                <w:sz w:val="24"/>
                <w:lang w:val="en-US" w:eastAsia="zh-CN"/>
              </w:rPr>
              <w:t>2</w:t>
            </w:r>
            <w:r>
              <w:rPr>
                <w:rFonts w:hint="eastAsia" w:ascii="Times New Roman" w:hAnsi="Times New Roman" w:eastAsia="宋体"/>
                <w:color w:val="auto"/>
                <w:sz w:val="24"/>
              </w:rPr>
              <w:t>t/a</w:t>
            </w:r>
            <w:r>
              <w:rPr>
                <w:rFonts w:hint="eastAsia" w:ascii="Times New Roman" w:hAnsi="Times New Roman" w:eastAsia="宋体"/>
                <w:color w:val="auto"/>
                <w:sz w:val="24"/>
                <w:lang w:eastAsia="zh-CN"/>
              </w:rPr>
              <w:t>。</w:t>
            </w:r>
            <w:r>
              <w:rPr>
                <w:rFonts w:hint="eastAsia" w:ascii="Times New Roman" w:hAnsi="Times New Roman" w:cs="Times New Roman"/>
                <w:color w:val="auto"/>
                <w:sz w:val="24"/>
              </w:rPr>
              <w:t>本项目</w:t>
            </w:r>
            <w:r>
              <w:rPr>
                <w:rFonts w:ascii="Times New Roman" w:hAnsi="Times New Roman" w:cs="Times New Roman"/>
                <w:color w:val="auto"/>
                <w:sz w:val="24"/>
              </w:rPr>
              <w:t>COD、</w:t>
            </w:r>
            <w:r>
              <w:rPr>
                <w:rFonts w:hint="eastAsia" w:ascii="Times New Roman" w:hAnsi="Times New Roman" w:cs="Times New Roman"/>
                <w:color w:val="auto"/>
                <w:sz w:val="24"/>
                <w:lang w:eastAsia="zh-CN"/>
              </w:rPr>
              <w:t>总磷</w:t>
            </w:r>
            <w:r>
              <w:rPr>
                <w:rFonts w:hint="eastAsia" w:ascii="Times New Roman" w:hAnsi="Times New Roman" w:cs="Times New Roman"/>
                <w:color w:val="auto"/>
                <w:sz w:val="24"/>
                <w:highlight w:val="none"/>
              </w:rPr>
              <w:t>替代源为</w:t>
            </w:r>
            <w:r>
              <w:rPr>
                <w:rFonts w:hint="eastAsia" w:ascii="Times New Roman" w:hAnsi="Times New Roman" w:cs="Times New Roman"/>
                <w:color w:val="auto"/>
                <w:sz w:val="24"/>
                <w:lang w:eastAsia="zh-CN"/>
              </w:rPr>
              <w:t>安阳市华洋针织有限责任公司年加工25000吨针织染整项目COD、总磷减排削减量</w:t>
            </w:r>
            <w:r>
              <w:rPr>
                <w:rFonts w:hint="eastAsia" w:ascii="Times New Roman" w:hAnsi="Times New Roman" w:cs="Times New Roman"/>
                <w:color w:val="auto"/>
                <w:sz w:val="24"/>
              </w:rPr>
              <w:t>，</w:t>
            </w:r>
            <w:r>
              <w:rPr>
                <w:rFonts w:hint="eastAsia" w:ascii="Times New Roman" w:hAnsi="Times New Roman" w:cs="Times New Roman"/>
                <w:color w:val="auto"/>
                <w:sz w:val="24"/>
                <w:lang w:eastAsia="zh-CN"/>
              </w:rPr>
              <w:t>VOCs替代源为安阳正诚建材有限责任公司VOCs减排削减量，能够</w:t>
            </w:r>
            <w:r>
              <w:rPr>
                <w:rFonts w:hint="eastAsia" w:ascii="Times New Roman" w:hAnsi="Times New Roman" w:cs="Times New Roman"/>
                <w:color w:val="auto"/>
                <w:sz w:val="24"/>
              </w:rPr>
              <w:t>满足</w:t>
            </w:r>
            <w:r>
              <w:rPr>
                <w:rFonts w:hint="eastAsia" w:ascii="Times New Roman" w:hAnsi="Times New Roman" w:cs="Times New Roman"/>
                <w:color w:val="auto"/>
                <w:sz w:val="24"/>
                <w:lang w:eastAsia="zh-CN"/>
              </w:rPr>
              <w:t>安阳市雨露节水灌溉科技有限公司</w:t>
            </w:r>
            <w:r>
              <w:rPr>
                <w:rFonts w:hint="eastAsia" w:ascii="Times New Roman" w:hAnsi="Times New Roman" w:cs="Times New Roman"/>
                <w:color w:val="auto"/>
                <w:sz w:val="24"/>
                <w:lang w:val="en-US" w:eastAsia="zh-CN"/>
              </w:rPr>
              <w:t>年产4500万米高分子物理合成编织水带项目</w:t>
            </w:r>
            <w:r>
              <w:rPr>
                <w:rFonts w:hint="eastAsia" w:ascii="Times New Roman" w:hAnsi="Times New Roman" w:cs="Times New Roman"/>
                <w:color w:val="auto"/>
                <w:sz w:val="24"/>
              </w:rPr>
              <w:t>总量替代要求</w:t>
            </w:r>
            <w:r>
              <w:rPr>
                <w:rFonts w:hint="eastAsia" w:ascii="Times New Roman" w:hAnsi="Times New Roman" w:cs="Times New Roman"/>
                <w:color w:val="auto"/>
                <w:sz w:val="24"/>
                <w:lang w:eastAsia="zh-CN"/>
              </w:rPr>
              <w:t>。</w:t>
            </w:r>
          </w:p>
          <w:p w14:paraId="3D09C840">
            <w:pPr>
              <w:keepNext w:val="0"/>
              <w:keepLines w:val="0"/>
              <w:suppressLineNumbers w:val="0"/>
              <w:tabs>
                <w:tab w:val="left" w:pos="720"/>
              </w:tabs>
              <w:spacing w:before="0" w:beforeAutospacing="0" w:after="0" w:afterAutospacing="0" w:line="360" w:lineRule="auto"/>
              <w:ind w:left="0" w:right="0" w:firstLine="482"/>
              <w:rPr>
                <w:rFonts w:hint="eastAsia" w:ascii="Times New Roman" w:hAnsi="Times New Roman" w:cs="Times New Roman"/>
                <w:color w:val="auto"/>
                <w:sz w:val="24"/>
                <w:lang w:eastAsia="zh-CN"/>
              </w:rPr>
            </w:pPr>
          </w:p>
          <w:p w14:paraId="10A29BF2">
            <w:pPr>
              <w:keepNext w:val="0"/>
              <w:keepLines w:val="0"/>
              <w:suppressLineNumbers w:val="0"/>
              <w:tabs>
                <w:tab w:val="left" w:pos="720"/>
              </w:tabs>
              <w:spacing w:before="0" w:beforeAutospacing="0" w:after="0" w:afterAutospacing="0" w:line="360" w:lineRule="auto"/>
              <w:ind w:left="0" w:right="0" w:firstLine="482"/>
              <w:rPr>
                <w:rFonts w:hint="default" w:ascii="Times New Roman" w:hAnsi="Times New Roman" w:cs="Times New Roman"/>
                <w:color w:val="auto"/>
                <w:sz w:val="24"/>
                <w:lang w:val="en-US" w:eastAsia="zh-CN"/>
              </w:rPr>
            </w:pPr>
          </w:p>
        </w:tc>
      </w:tr>
    </w:tbl>
    <w:p w14:paraId="1D2F2345">
      <w:pPr>
        <w:pStyle w:val="23"/>
        <w:jc w:val="center"/>
        <w:rPr>
          <w:rFonts w:hint="default" w:ascii="Times New Roman" w:hAnsi="Times New Roman" w:eastAsia="黑体" w:cs="Times New Roman"/>
          <w:snapToGrid w:val="0"/>
          <w:color w:val="auto"/>
          <w:sz w:val="36"/>
          <w:szCs w:val="36"/>
          <w:highlight w:val="none"/>
        </w:rPr>
        <w:sectPr>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10CAC42F">
      <w:pPr>
        <w:pStyle w:val="23"/>
        <w:spacing w:before="0" w:beforeAutospacing="0" w:after="0" w:afterAutospacing="0"/>
        <w:jc w:val="center"/>
        <w:outlineLvl w:val="0"/>
        <w:rPr>
          <w:rFonts w:hint="default" w:ascii="Times New Roman" w:hAnsi="Times New Roman" w:eastAsia="黑体" w:cs="Times New Roman"/>
          <w:b w:val="0"/>
          <w:bCs w:val="0"/>
          <w:snapToGrid w:val="0"/>
          <w:color w:val="auto"/>
          <w:sz w:val="30"/>
          <w:szCs w:val="30"/>
          <w:highlight w:val="none"/>
        </w:rPr>
      </w:pPr>
      <w:bookmarkStart w:id="11" w:name="_Toc19507"/>
      <w:r>
        <w:rPr>
          <w:rFonts w:hint="default" w:ascii="Times New Roman" w:hAnsi="Times New Roman" w:eastAsia="黑体" w:cs="Times New Roman"/>
          <w:b w:val="0"/>
          <w:bCs w:val="0"/>
          <w:snapToGrid w:val="0"/>
          <w:color w:val="auto"/>
          <w:sz w:val="30"/>
          <w:szCs w:val="30"/>
          <w:highlight w:val="none"/>
        </w:rPr>
        <w:t>四、主要环境影响和保护措施</w:t>
      </w:r>
      <w:bookmarkEnd w:id="11"/>
    </w:p>
    <w:tbl>
      <w:tblPr>
        <w:tblStyle w:val="26"/>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9007"/>
      </w:tblGrid>
      <w:tr w14:paraId="22A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42" w:type="pct"/>
            <w:noWrap w:val="0"/>
            <w:tcMar>
              <w:left w:w="28" w:type="dxa"/>
              <w:right w:w="28" w:type="dxa"/>
            </w:tcMar>
            <w:vAlign w:val="center"/>
          </w:tcPr>
          <w:p w14:paraId="033FAA4B">
            <w:pPr>
              <w:pStyle w:val="23"/>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kern w:val="2"/>
                <w:sz w:val="21"/>
                <w:szCs w:val="21"/>
                <w:highlight w:val="none"/>
              </w:rPr>
            </w:pPr>
            <w:r>
              <w:rPr>
                <w:rFonts w:hint="default" w:ascii="Times New Roman" w:hAnsi="Times New Roman" w:eastAsia="Times New Roman" w:cs="Times New Roman"/>
                <w:color w:val="auto"/>
                <w:kern w:val="2"/>
                <w:szCs w:val="24"/>
                <w:highlight w:val="none"/>
              </w:rPr>
              <w:t>施工期环境保护措施</w:t>
            </w:r>
          </w:p>
        </w:tc>
        <w:tc>
          <w:tcPr>
            <w:tcW w:w="4757" w:type="pct"/>
            <w:noWrap w:val="0"/>
            <w:vAlign w:val="center"/>
          </w:tcPr>
          <w:p w14:paraId="613E0386">
            <w:pPr>
              <w:keepNext w:val="0"/>
              <w:keepLines w:val="0"/>
              <w:pageBreakBefore w:val="0"/>
              <w:widowControl/>
              <w:suppressLineNumbers w:val="0"/>
              <w:kinsoku/>
              <w:wordWrap/>
              <w:topLinePunct w:val="0"/>
              <w:bidi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cs="Times New Roman"/>
                <w:b/>
                <w:bCs/>
                <w:color w:val="auto"/>
                <w:sz w:val="18"/>
                <w:szCs w:val="18"/>
                <w:highlight w:val="none"/>
              </w:rPr>
            </w:pPr>
            <w:r>
              <w:rPr>
                <w:rFonts w:hint="default" w:ascii="Times New Roman" w:hAnsi="Times New Roman" w:eastAsia="Times New Roman" w:cs="Times New Roman"/>
                <w:color w:val="auto"/>
                <w:sz w:val="24"/>
                <w:highlight w:val="none"/>
              </w:rPr>
              <w:t>本项目生产车间</w:t>
            </w:r>
            <w:r>
              <w:rPr>
                <w:rFonts w:hint="eastAsia" w:eastAsia="宋体" w:cs="Times New Roman"/>
                <w:color w:val="auto"/>
                <w:sz w:val="24"/>
                <w:highlight w:val="none"/>
                <w:lang w:eastAsia="zh-CN"/>
              </w:rPr>
              <w:t>租赁现有厂房</w:t>
            </w:r>
            <w:r>
              <w:rPr>
                <w:rFonts w:hint="default" w:ascii="Times New Roman" w:hAnsi="Times New Roman" w:eastAsia="Times New Roman" w:cs="Times New Roman"/>
                <w:color w:val="auto"/>
                <w:sz w:val="24"/>
                <w:highlight w:val="none"/>
              </w:rPr>
              <w:t>，施工期工作内容主要为生产设备安装，工艺简单；主要污染为噪声，对周边环境造成的影响很小。不再进行环境影响分析。</w:t>
            </w:r>
          </w:p>
        </w:tc>
      </w:tr>
      <w:tr w14:paraId="1607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6" w:hRule="atLeast"/>
          <w:jc w:val="center"/>
        </w:trPr>
        <w:tc>
          <w:tcPr>
            <w:tcW w:w="242" w:type="pct"/>
            <w:noWrap w:val="0"/>
            <w:tcMar>
              <w:left w:w="28" w:type="dxa"/>
              <w:right w:w="28" w:type="dxa"/>
            </w:tcMar>
            <w:vAlign w:val="center"/>
          </w:tcPr>
          <w:p w14:paraId="36471E1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Cs w:val="24"/>
                <w:highlight w:val="none"/>
              </w:rPr>
            </w:pPr>
            <w:r>
              <w:rPr>
                <w:rFonts w:hint="default" w:ascii="Times New Roman" w:hAnsi="Times New Roman" w:eastAsia="Times New Roman" w:cs="Times New Roman"/>
                <w:bCs/>
                <w:color w:val="auto"/>
                <w:sz w:val="24"/>
                <w:highlight w:val="none"/>
              </w:rPr>
              <w:t>运营期环境影响和保护措施</w:t>
            </w:r>
          </w:p>
        </w:tc>
        <w:tc>
          <w:tcPr>
            <w:tcW w:w="4757" w:type="pct"/>
            <w:noWrap w:val="0"/>
            <w:vAlign w:val="center"/>
          </w:tcPr>
          <w:p w14:paraId="0C4C84D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b/>
                <w:color w:val="auto"/>
                <w:sz w:val="24"/>
                <w:highlight w:val="none"/>
                <w:lang w:eastAsia="zh-CN"/>
              </w:rPr>
            </w:pPr>
            <w:r>
              <w:rPr>
                <w:rFonts w:hint="default" w:ascii="Times New Roman" w:hAnsi="Times New Roman" w:eastAsia="Times New Roman" w:cs="Times New Roman"/>
                <w:b/>
                <w:color w:val="auto"/>
                <w:sz w:val="24"/>
                <w:highlight w:val="none"/>
                <w:lang w:val="en-US" w:eastAsia="zh-CN"/>
              </w:rPr>
              <w:t>1</w:t>
            </w:r>
            <w:r>
              <w:rPr>
                <w:rFonts w:hint="default" w:ascii="Times New Roman" w:hAnsi="Times New Roman" w:eastAsia="Times New Roman" w:cs="Times New Roman"/>
                <w:b/>
                <w:color w:val="auto"/>
                <w:sz w:val="24"/>
                <w:highlight w:val="none"/>
              </w:rPr>
              <w:t>.</w:t>
            </w:r>
            <w:r>
              <w:rPr>
                <w:rFonts w:hint="default" w:ascii="Times New Roman" w:hAnsi="Times New Roman" w:eastAsia="Times New Roman" w:cs="Times New Roman"/>
                <w:b/>
                <w:color w:val="auto"/>
                <w:sz w:val="24"/>
                <w:highlight w:val="none"/>
                <w:lang w:eastAsia="zh-CN"/>
              </w:rPr>
              <w:t>废气</w:t>
            </w:r>
          </w:p>
          <w:p w14:paraId="22D0876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color w:val="auto"/>
                <w:sz w:val="24"/>
                <w:highlight w:val="none"/>
                <w:lang w:eastAsia="zh-CN"/>
              </w:rPr>
            </w:pPr>
            <w:r>
              <w:rPr>
                <w:rFonts w:hint="default" w:ascii="Times New Roman" w:hAnsi="Times New Roman" w:eastAsia="Times New Roman" w:cs="Times New Roman"/>
                <w:b/>
                <w:color w:val="auto"/>
                <w:sz w:val="24"/>
                <w:highlight w:val="none"/>
                <w:lang w:val="en-US" w:eastAsia="zh-CN"/>
              </w:rPr>
              <w:t>1</w:t>
            </w:r>
            <w:r>
              <w:rPr>
                <w:rFonts w:hint="default" w:ascii="Times New Roman" w:hAnsi="Times New Roman" w:eastAsia="Times New Roman" w:cs="Times New Roman"/>
                <w:b/>
                <w:color w:val="auto"/>
                <w:sz w:val="24"/>
                <w:highlight w:val="none"/>
              </w:rPr>
              <w:t>.1</w:t>
            </w:r>
            <w:r>
              <w:rPr>
                <w:rFonts w:hint="default" w:ascii="Times New Roman" w:hAnsi="Times New Roman" w:eastAsia="Times New Roman" w:cs="Times New Roman"/>
                <w:b/>
                <w:color w:val="auto"/>
                <w:sz w:val="24"/>
                <w:highlight w:val="none"/>
                <w:lang w:eastAsia="zh-CN"/>
              </w:rPr>
              <w:t>废气源强分析</w:t>
            </w:r>
          </w:p>
          <w:p w14:paraId="47512ED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val="0"/>
                <w:bCs/>
                <w:color w:val="auto"/>
                <w:sz w:val="24"/>
                <w:highlight w:val="none"/>
                <w:lang w:eastAsia="zh-CN"/>
              </w:rPr>
            </w:pPr>
            <w:r>
              <w:rPr>
                <w:rFonts w:hint="default" w:ascii="Times New Roman" w:hAnsi="Times New Roman" w:eastAsia="Times New Roman" w:cs="Times New Roman"/>
                <w:b w:val="0"/>
                <w:bCs/>
                <w:color w:val="auto"/>
                <w:sz w:val="24"/>
                <w:highlight w:val="none"/>
                <w:lang w:eastAsia="zh-CN"/>
              </w:rPr>
              <w:t>本项目</w:t>
            </w:r>
            <w:r>
              <w:rPr>
                <w:rFonts w:hint="eastAsia" w:ascii="Times New Roman" w:hAnsi="Times New Roman" w:eastAsia="Times New Roman" w:cs="Times New Roman"/>
                <w:b w:val="0"/>
                <w:bCs/>
                <w:color w:val="auto"/>
                <w:sz w:val="24"/>
                <w:highlight w:val="none"/>
                <w:lang w:eastAsia="zh-CN"/>
              </w:rPr>
              <w:t>原材料使用的</w:t>
            </w:r>
            <w:r>
              <w:rPr>
                <w:rFonts w:hint="eastAsia" w:eastAsia="Times New Roman" w:cs="Times New Roman"/>
                <w:b w:val="0"/>
                <w:bCs/>
                <w:color w:val="auto"/>
                <w:sz w:val="24"/>
                <w:highlight w:val="none"/>
                <w:lang w:eastAsia="zh-CN"/>
              </w:rPr>
              <w:t>热熔胶颗粒、聚乙烯颗粒为</w:t>
            </w:r>
            <w:r>
              <w:rPr>
                <w:rFonts w:hint="eastAsia" w:eastAsia="Times New Roman" w:cs="Times New Roman"/>
                <w:b w:val="0"/>
                <w:bCs/>
                <w:color w:val="auto"/>
                <w:sz w:val="24"/>
                <w:highlight w:val="none"/>
                <w:lang w:val="en-US" w:eastAsia="zh-CN"/>
              </w:rPr>
              <w:t>2-5mm</w:t>
            </w:r>
            <w:r>
              <w:rPr>
                <w:rFonts w:hint="eastAsia" w:ascii="Times New Roman" w:hAnsi="Times New Roman" w:eastAsia="Times New Roman" w:cs="Times New Roman"/>
                <w:b w:val="0"/>
                <w:bCs/>
                <w:color w:val="auto"/>
                <w:sz w:val="24"/>
                <w:highlight w:val="none"/>
                <w:lang w:eastAsia="zh-CN"/>
              </w:rPr>
              <w:t>颗粒</w:t>
            </w:r>
            <w:r>
              <w:rPr>
                <w:rFonts w:hint="eastAsia" w:eastAsia="Times New Roman" w:cs="Times New Roman"/>
                <w:b w:val="0"/>
                <w:bCs/>
                <w:color w:val="auto"/>
                <w:sz w:val="24"/>
                <w:highlight w:val="none"/>
                <w:lang w:eastAsia="zh-CN"/>
              </w:rPr>
              <w:t>，故本项目</w:t>
            </w:r>
            <w:r>
              <w:rPr>
                <w:rFonts w:hint="eastAsia" w:ascii="Times New Roman" w:hAnsi="Times New Roman" w:eastAsia="Times New Roman" w:cs="Times New Roman"/>
                <w:b w:val="0"/>
                <w:bCs/>
                <w:color w:val="auto"/>
                <w:sz w:val="24"/>
                <w:highlight w:val="none"/>
                <w:lang w:eastAsia="zh-CN"/>
              </w:rPr>
              <w:t>不产生粉尘，</w:t>
            </w:r>
            <w:r>
              <w:rPr>
                <w:rFonts w:hint="default" w:ascii="Times New Roman" w:hAnsi="Times New Roman" w:eastAsia="Times New Roman" w:cs="Times New Roman"/>
                <w:b w:val="0"/>
                <w:bCs/>
                <w:color w:val="auto"/>
                <w:sz w:val="24"/>
                <w:highlight w:val="none"/>
                <w:lang w:eastAsia="zh-CN"/>
              </w:rPr>
              <w:t>运营期大气污染物主要是</w:t>
            </w:r>
            <w:r>
              <w:rPr>
                <w:rFonts w:hint="eastAsia" w:eastAsia="Times New Roman" w:cs="Times New Roman"/>
                <w:b w:val="0"/>
                <w:bCs/>
                <w:color w:val="auto"/>
                <w:sz w:val="24"/>
                <w:highlight w:val="none"/>
                <w:lang w:eastAsia="zh-CN"/>
              </w:rPr>
              <w:t>挤出（吹塑）、高频复合、粘合、喷码过程产生的非甲烷总烃、危废间废气</w:t>
            </w:r>
            <w:r>
              <w:rPr>
                <w:rFonts w:hint="default" w:ascii="Times New Roman" w:hAnsi="Times New Roman" w:eastAsia="Times New Roman" w:cs="Times New Roman"/>
                <w:b w:val="0"/>
                <w:bCs/>
                <w:color w:val="auto"/>
                <w:sz w:val="24"/>
                <w:highlight w:val="none"/>
                <w:lang w:eastAsia="zh-CN"/>
              </w:rPr>
              <w:t>。</w:t>
            </w:r>
          </w:p>
          <w:p w14:paraId="3A837D0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color w:val="auto"/>
                <w:sz w:val="24"/>
                <w:lang w:eastAsia="zh-CN"/>
              </w:rPr>
            </w:pPr>
            <w:r>
              <w:rPr>
                <w:rFonts w:hint="eastAsia" w:eastAsia="Times New Roman" w:cs="Times New Roman"/>
                <w:b w:val="0"/>
                <w:bCs/>
                <w:color w:val="auto"/>
                <w:sz w:val="24"/>
                <w:highlight w:val="none"/>
                <w:u w:val="none"/>
                <w:lang w:eastAsia="zh-CN"/>
              </w:rPr>
              <w:t>（</w:t>
            </w:r>
            <w:r>
              <w:rPr>
                <w:rFonts w:hint="eastAsia" w:eastAsia="Times New Roman" w:cs="Times New Roman"/>
                <w:b w:val="0"/>
                <w:bCs/>
                <w:color w:val="auto"/>
                <w:sz w:val="24"/>
                <w:highlight w:val="none"/>
                <w:u w:val="none"/>
                <w:lang w:val="en-US" w:eastAsia="zh-CN"/>
              </w:rPr>
              <w:t>1</w:t>
            </w:r>
            <w:r>
              <w:rPr>
                <w:rFonts w:hint="eastAsia" w:eastAsia="Times New Roman" w:cs="Times New Roman"/>
                <w:b w:val="0"/>
                <w:bCs/>
                <w:color w:val="auto"/>
                <w:sz w:val="24"/>
                <w:highlight w:val="none"/>
                <w:u w:val="none"/>
                <w:lang w:eastAsia="zh-CN"/>
              </w:rPr>
              <w:t>）挤出</w:t>
            </w:r>
            <w:r>
              <w:rPr>
                <w:rFonts w:hint="default"/>
                <w:color w:val="auto"/>
                <w:sz w:val="24"/>
              </w:rPr>
              <w:t>（</w:t>
            </w:r>
            <w:r>
              <w:rPr>
                <w:rFonts w:hint="eastAsia"/>
                <w:color w:val="auto"/>
                <w:sz w:val="24"/>
                <w:lang w:eastAsia="zh-CN"/>
              </w:rPr>
              <w:t>吹膜</w:t>
            </w:r>
            <w:r>
              <w:rPr>
                <w:rFonts w:hint="default"/>
                <w:color w:val="auto"/>
                <w:sz w:val="24"/>
              </w:rPr>
              <w:t>）</w:t>
            </w:r>
            <w:r>
              <w:rPr>
                <w:rFonts w:hint="eastAsia"/>
                <w:color w:val="auto"/>
                <w:sz w:val="24"/>
                <w:lang w:eastAsia="zh-CN"/>
              </w:rPr>
              <w:t>废气</w:t>
            </w:r>
          </w:p>
          <w:p w14:paraId="113AF146">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color w:val="auto"/>
                <w:lang w:val="en-US" w:eastAsia="zh-CN"/>
              </w:rPr>
            </w:pPr>
            <w:r>
              <w:rPr>
                <w:rFonts w:hint="eastAsia" w:eastAsia="Times New Roman" w:cs="Times New Roman"/>
                <w:b w:val="0"/>
                <w:bCs/>
                <w:color w:val="auto"/>
                <w:sz w:val="24"/>
                <w:highlight w:val="none"/>
                <w:u w:val="none"/>
                <w:lang w:eastAsia="zh-CN"/>
              </w:rPr>
              <w:t>项目吹膜过程加热温度为160℃~200℃，聚乙烯颗粒的热分解温度约为280~300℃，加热温度低于其分解温度，</w:t>
            </w:r>
            <w:r>
              <w:rPr>
                <w:rFonts w:hint="eastAsia" w:eastAsia="Times New Roman" w:cs="Times New Roman"/>
                <w:b w:val="0"/>
                <w:bCs/>
                <w:color w:val="auto"/>
                <w:sz w:val="24"/>
                <w:highlight w:val="none"/>
                <w:u w:val="none"/>
                <w:lang w:val="en-US" w:eastAsia="zh-CN"/>
              </w:rPr>
              <w:t xml:space="preserve">热熔胶熔融温度为190 </w:t>
            </w:r>
            <w:r>
              <w:rPr>
                <w:rFonts w:hint="default" w:ascii="Times New Roman" w:hAnsi="Times New Roman" w:eastAsia="Times New Roman" w:cs="Times New Roman"/>
                <w:b w:val="0"/>
                <w:bCs/>
                <w:color w:val="auto"/>
                <w:sz w:val="24"/>
                <w:highlight w:val="none"/>
                <w:u w:val="none"/>
                <w:lang w:val="en-US" w:eastAsia="zh-CN"/>
              </w:rPr>
              <w:t>±</w:t>
            </w:r>
            <w:r>
              <w:rPr>
                <w:rFonts w:hint="eastAsia" w:ascii="Times New Roman" w:hAnsi="Times New Roman" w:eastAsia="Times New Roman" w:cs="Times New Roman"/>
                <w:b w:val="0"/>
                <w:bCs/>
                <w:color w:val="auto"/>
                <w:sz w:val="24"/>
                <w:highlight w:val="none"/>
                <w:u w:val="none"/>
                <w:lang w:val="en-US" w:eastAsia="zh-CN"/>
              </w:rPr>
              <w:t xml:space="preserve"> </w:t>
            </w:r>
            <w:r>
              <w:rPr>
                <w:rFonts w:hint="eastAsia" w:eastAsia="Times New Roman" w:cs="Times New Roman"/>
                <w:b w:val="0"/>
                <w:bCs/>
                <w:color w:val="auto"/>
                <w:sz w:val="24"/>
                <w:highlight w:val="none"/>
                <w:u w:val="none"/>
                <w:lang w:val="en-US" w:eastAsia="zh-CN"/>
              </w:rPr>
              <w:t>0.4</w:t>
            </w:r>
            <w:r>
              <w:rPr>
                <w:rFonts w:hint="eastAsia" w:eastAsia="Times New Roman" w:cs="Times New Roman"/>
                <w:b w:val="0"/>
                <w:bCs/>
                <w:color w:val="auto"/>
                <w:sz w:val="24"/>
                <w:highlight w:val="none"/>
                <w:u w:val="none"/>
                <w:lang w:eastAsia="zh-CN"/>
              </w:rPr>
              <w:t>℃，</w:t>
            </w:r>
            <w:r>
              <w:rPr>
                <w:rFonts w:hint="eastAsia" w:eastAsia="Times New Roman" w:cs="Times New Roman"/>
                <w:b w:val="0"/>
                <w:bCs/>
                <w:color w:val="auto"/>
                <w:sz w:val="24"/>
                <w:highlight w:val="none"/>
                <w:u w:val="none"/>
                <w:lang w:val="en-US" w:eastAsia="zh-CN"/>
              </w:rPr>
              <w:t>长时间处于高温下会使其热分解，</w:t>
            </w:r>
            <w:r>
              <w:rPr>
                <w:rFonts w:hint="eastAsia" w:eastAsia="Times New Roman" w:cs="Times New Roman"/>
                <w:b w:val="0"/>
                <w:bCs/>
                <w:color w:val="auto"/>
                <w:sz w:val="24"/>
                <w:highlight w:val="none"/>
                <w:u w:val="none"/>
                <w:lang w:eastAsia="zh-CN"/>
              </w:rPr>
              <w:t>因此，在加热过程中无分解废气产生，但其在受热的情况下，聚乙烯中残存未聚合的反应单体挥发至空气中，从而形成有机废气；</w:t>
            </w:r>
            <w:r>
              <w:rPr>
                <w:rFonts w:hint="eastAsia" w:ascii="Times New Roman" w:hAnsi="Times New Roman" w:eastAsia="Times New Roman" w:cs="Times New Roman"/>
                <w:b w:val="0"/>
                <w:bCs/>
                <w:color w:val="auto"/>
                <w:sz w:val="24"/>
                <w:highlight w:val="none"/>
                <w:u w:val="none"/>
                <w:lang w:eastAsia="zh-CN"/>
              </w:rPr>
              <w:t>参考</w:t>
            </w:r>
            <w:r>
              <w:rPr>
                <w:rFonts w:hint="default" w:ascii="Times New Roman" w:hAnsi="Times New Roman" w:eastAsia="Times New Roman" w:cs="Times New Roman"/>
                <w:b w:val="0"/>
                <w:bCs/>
                <w:color w:val="auto"/>
                <w:sz w:val="24"/>
                <w:highlight w:val="none"/>
                <w:u w:val="none"/>
                <w:lang w:eastAsia="zh-CN"/>
              </w:rPr>
              <w:t>《排放源统计调查产排污核算方法和系数手册》（即二污普）中&lt;292塑料制品行业系数手册&gt;2921塑料薄膜制造行业系数表，挥发性有机物（以非甲烷总烃计）产污系数为</w:t>
            </w:r>
            <w:r>
              <w:rPr>
                <w:rFonts w:hint="eastAsia" w:ascii="Times New Roman" w:hAnsi="Times New Roman" w:eastAsia="Times New Roman" w:cs="Times New Roman"/>
                <w:b w:val="0"/>
                <w:bCs/>
                <w:color w:val="auto"/>
                <w:sz w:val="24"/>
                <w:highlight w:val="none"/>
                <w:u w:val="none"/>
                <w:lang w:val="en-US" w:eastAsia="zh-CN"/>
              </w:rPr>
              <w:t>2</w:t>
            </w:r>
            <w:r>
              <w:rPr>
                <w:rFonts w:hint="default" w:ascii="Times New Roman" w:hAnsi="Times New Roman" w:eastAsia="Times New Roman" w:cs="Times New Roman"/>
                <w:b w:val="0"/>
                <w:bCs/>
                <w:color w:val="auto"/>
                <w:sz w:val="24"/>
                <w:highlight w:val="none"/>
                <w:u w:val="none"/>
                <w:lang w:eastAsia="zh-CN"/>
              </w:rPr>
              <w:t>.5千克/吨-产品</w:t>
            </w:r>
            <w:r>
              <w:rPr>
                <w:rFonts w:hint="eastAsia" w:ascii="Times New Roman" w:hAnsi="Times New Roman" w:eastAsia="Times New Roman" w:cs="Times New Roman"/>
                <w:b w:val="0"/>
                <w:bCs/>
                <w:color w:val="auto"/>
                <w:sz w:val="24"/>
                <w:highlight w:val="none"/>
                <w:u w:val="none"/>
                <w:lang w:eastAsia="zh-CN"/>
              </w:rPr>
              <w:t>，本项目内膜产生量为</w:t>
            </w:r>
            <w:r>
              <w:rPr>
                <w:rFonts w:hint="eastAsia" w:eastAsia="Times New Roman" w:cs="Times New Roman"/>
                <w:b w:val="0"/>
                <w:bCs/>
                <w:color w:val="auto"/>
                <w:sz w:val="24"/>
                <w:highlight w:val="none"/>
                <w:u w:val="none"/>
                <w:lang w:val="en-US" w:eastAsia="zh-CN"/>
              </w:rPr>
              <w:t>2607</w:t>
            </w:r>
            <w:r>
              <w:rPr>
                <w:rFonts w:hint="eastAsia" w:ascii="Times New Roman" w:hAnsi="Times New Roman" w:eastAsia="Times New Roman" w:cs="Times New Roman"/>
                <w:b w:val="0"/>
                <w:bCs/>
                <w:color w:val="auto"/>
                <w:sz w:val="24"/>
                <w:highlight w:val="none"/>
                <w:u w:val="none"/>
                <w:lang w:val="en-US" w:eastAsia="zh-CN"/>
              </w:rPr>
              <w:t>t/a，</w:t>
            </w:r>
            <w:r>
              <w:rPr>
                <w:rFonts w:hint="default" w:ascii="Times New Roman" w:hAnsi="Times New Roman" w:eastAsia="Times New Roman" w:cs="Times New Roman"/>
                <w:b w:val="0"/>
                <w:bCs/>
                <w:color w:val="auto"/>
                <w:sz w:val="24"/>
                <w:highlight w:val="none"/>
                <w:u w:val="none"/>
                <w:lang w:eastAsia="zh-CN"/>
              </w:rPr>
              <w:t>则</w:t>
            </w:r>
            <w:r>
              <w:rPr>
                <w:rFonts w:hint="eastAsia" w:ascii="Times New Roman" w:hAnsi="Times New Roman" w:eastAsia="Times New Roman" w:cs="Times New Roman"/>
                <w:b w:val="0"/>
                <w:bCs/>
                <w:color w:val="auto"/>
                <w:sz w:val="24"/>
                <w:highlight w:val="none"/>
                <w:u w:val="none"/>
                <w:lang w:eastAsia="zh-CN"/>
              </w:rPr>
              <w:t>挤出（吹膜）</w:t>
            </w:r>
            <w:r>
              <w:rPr>
                <w:rFonts w:hint="default" w:ascii="Times New Roman" w:hAnsi="Times New Roman" w:eastAsia="Times New Roman" w:cs="Times New Roman"/>
                <w:b w:val="0"/>
                <w:bCs/>
                <w:color w:val="auto"/>
                <w:sz w:val="24"/>
                <w:highlight w:val="none"/>
                <w:u w:val="none"/>
                <w:lang w:eastAsia="zh-CN"/>
              </w:rPr>
              <w:t>过程中VOC</w:t>
            </w:r>
            <w:r>
              <w:rPr>
                <w:rFonts w:hint="eastAsia" w:ascii="Times New Roman" w:hAnsi="Times New Roman" w:eastAsia="Times New Roman" w:cs="Times New Roman"/>
                <w:b w:val="0"/>
                <w:bCs/>
                <w:color w:val="auto"/>
                <w:sz w:val="24"/>
                <w:highlight w:val="none"/>
                <w:u w:val="none"/>
                <w:lang w:val="en-US" w:eastAsia="zh-CN"/>
              </w:rPr>
              <w:t>s</w:t>
            </w:r>
            <w:r>
              <w:rPr>
                <w:rFonts w:hint="default" w:ascii="Times New Roman" w:hAnsi="Times New Roman" w:eastAsia="Times New Roman" w:cs="Times New Roman"/>
                <w:b w:val="0"/>
                <w:bCs/>
                <w:color w:val="auto"/>
                <w:sz w:val="24"/>
                <w:highlight w:val="none"/>
                <w:u w:val="none"/>
                <w:lang w:eastAsia="zh-CN"/>
              </w:rPr>
              <w:t>（以非甲烷总烃计）产生量</w:t>
            </w:r>
            <w:r>
              <w:rPr>
                <w:rFonts w:hint="eastAsia" w:ascii="Times New Roman" w:hAnsi="Times New Roman" w:eastAsia="Times New Roman" w:cs="Times New Roman"/>
                <w:b w:val="0"/>
                <w:bCs/>
                <w:color w:val="auto"/>
                <w:sz w:val="24"/>
                <w:highlight w:val="none"/>
                <w:u w:val="none"/>
                <w:lang w:eastAsia="zh-CN"/>
              </w:rPr>
              <w:t>为</w:t>
            </w:r>
            <w:r>
              <w:rPr>
                <w:rFonts w:hint="eastAsia" w:eastAsia="Times New Roman" w:cs="Times New Roman"/>
                <w:b w:val="0"/>
                <w:bCs/>
                <w:color w:val="auto"/>
                <w:sz w:val="24"/>
                <w:highlight w:val="none"/>
                <w:u w:val="none"/>
                <w:lang w:val="en-US" w:eastAsia="zh-CN"/>
              </w:rPr>
              <w:t>6.5175</w:t>
            </w:r>
            <w:r>
              <w:rPr>
                <w:rFonts w:hint="default" w:ascii="Times New Roman" w:hAnsi="Times New Roman" w:eastAsia="Times New Roman" w:cs="Times New Roman"/>
                <w:b w:val="0"/>
                <w:bCs/>
                <w:color w:val="auto"/>
                <w:sz w:val="24"/>
                <w:highlight w:val="none"/>
                <w:u w:val="none"/>
                <w:lang w:eastAsia="zh-CN"/>
              </w:rPr>
              <w:t>t/</w:t>
            </w:r>
            <w:r>
              <w:rPr>
                <w:rFonts w:hint="eastAsia" w:ascii="Times New Roman" w:hAnsi="Times New Roman" w:eastAsia="Times New Roman" w:cs="Times New Roman"/>
                <w:b w:val="0"/>
                <w:bCs/>
                <w:color w:val="auto"/>
                <w:sz w:val="24"/>
                <w:highlight w:val="none"/>
                <w:u w:val="none"/>
                <w:lang w:val="en-US" w:eastAsia="zh-CN"/>
              </w:rPr>
              <w:t>a。本项目在挤出（吹膜）机上方设置集气罩，废气经集气罩收集后引入“活性炭吸附、脱附+催化燃烧”污染治理设施处理，</w:t>
            </w:r>
            <w:r>
              <w:rPr>
                <w:rFonts w:hint="eastAsia"/>
                <w:color w:val="auto"/>
                <w:sz w:val="24"/>
                <w:lang w:val="en-US" w:eastAsia="zh-CN"/>
              </w:rPr>
              <w:t>集气效率以95%计，参考《河南海克节水科技有限公司年产5千万米灌溉水带项目（二期） 竣工环境保护验收监测报告表》（附件11），该项目与本项目</w:t>
            </w:r>
            <w:r>
              <w:rPr>
                <w:rFonts w:hint="eastAsia" w:eastAsia="Times New Roman" w:cs="Times New Roman"/>
                <w:b w:val="0"/>
                <w:bCs/>
                <w:color w:val="auto"/>
                <w:sz w:val="24"/>
                <w:highlight w:val="none"/>
                <w:u w:val="none"/>
                <w:lang w:eastAsia="zh-CN"/>
              </w:rPr>
              <w:t>挤出</w:t>
            </w:r>
            <w:r>
              <w:rPr>
                <w:rFonts w:hint="default"/>
                <w:color w:val="auto"/>
                <w:sz w:val="24"/>
              </w:rPr>
              <w:t>（</w:t>
            </w:r>
            <w:r>
              <w:rPr>
                <w:rFonts w:hint="eastAsia"/>
                <w:color w:val="auto"/>
                <w:sz w:val="24"/>
                <w:lang w:eastAsia="zh-CN"/>
              </w:rPr>
              <w:t>吹膜</w:t>
            </w:r>
            <w:r>
              <w:rPr>
                <w:rFonts w:hint="default"/>
                <w:color w:val="auto"/>
                <w:sz w:val="24"/>
              </w:rPr>
              <w:t>）</w:t>
            </w:r>
            <w:r>
              <w:rPr>
                <w:rFonts w:hint="eastAsia"/>
                <w:color w:val="auto"/>
                <w:sz w:val="24"/>
                <w:lang w:eastAsia="zh-CN"/>
              </w:rPr>
              <w:t>工序</w:t>
            </w:r>
            <w:r>
              <w:rPr>
                <w:rFonts w:hint="eastAsia"/>
                <w:color w:val="auto"/>
                <w:sz w:val="24"/>
                <w:lang w:val="en-US" w:eastAsia="zh-CN"/>
              </w:rPr>
              <w:t>使用的原料基本一致，活性炭吸附、脱附+催化燃烧对该类VOCs的处理效率为92.8-95.2%，本次取均值94%，工作时间以2400h计，挤出（吹膜）废气的产排情况见下表。</w:t>
            </w:r>
          </w:p>
          <w:p w14:paraId="3D21A492">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eastAsia"/>
                <w:color w:val="auto"/>
                <w:sz w:val="24"/>
                <w:lang w:val="en-US" w:eastAsia="zh-CN"/>
              </w:rPr>
            </w:pPr>
            <w:r>
              <w:rPr>
                <w:rFonts w:hint="eastAsia"/>
                <w:b/>
                <w:bCs/>
                <w:color w:val="auto"/>
                <w:sz w:val="24"/>
                <w:lang w:val="en-US" w:eastAsia="zh-CN"/>
              </w:rPr>
              <w:t>挤出（吹膜）废气产排情况一览表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097"/>
              <w:gridCol w:w="965"/>
              <w:gridCol w:w="1051"/>
              <w:gridCol w:w="1051"/>
              <w:gridCol w:w="1048"/>
              <w:gridCol w:w="907"/>
              <w:gridCol w:w="920"/>
              <w:gridCol w:w="865"/>
              <w:gridCol w:w="883"/>
            </w:tblGrid>
            <w:tr w14:paraId="35388D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624" w:type="pct"/>
                  <w:vMerge w:val="restart"/>
                  <w:tcBorders>
                    <w:tl2br w:val="nil"/>
                    <w:tr2bl w:val="nil"/>
                  </w:tcBorders>
                  <w:noWrap w:val="0"/>
                  <w:vAlign w:val="center"/>
                </w:tcPr>
                <w:p w14:paraId="2A8ED44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b/>
                      <w:bCs/>
                      <w:color w:val="auto"/>
                      <w:kern w:val="0"/>
                      <w:sz w:val="21"/>
                      <w:szCs w:val="21"/>
                      <w:lang w:eastAsia="zh-CN"/>
                    </w:rPr>
                  </w:pPr>
                  <w:r>
                    <w:rPr>
                      <w:rFonts w:hint="eastAsia" w:ascii="Times New Roman" w:hAnsi="Times New Roman" w:eastAsia="宋体" w:cs="Times New Roman"/>
                      <w:b/>
                      <w:bCs/>
                      <w:color w:val="auto"/>
                      <w:kern w:val="0"/>
                      <w:sz w:val="21"/>
                      <w:szCs w:val="21"/>
                      <w:lang w:eastAsia="zh-CN"/>
                    </w:rPr>
                    <w:t>工序</w:t>
                  </w:r>
                </w:p>
              </w:tc>
              <w:tc>
                <w:tcPr>
                  <w:tcW w:w="549" w:type="pct"/>
                  <w:vMerge w:val="restart"/>
                  <w:tcBorders>
                    <w:tl2br w:val="nil"/>
                    <w:tr2bl w:val="nil"/>
                  </w:tcBorders>
                  <w:noWrap w:val="0"/>
                  <w:vAlign w:val="center"/>
                </w:tcPr>
                <w:p w14:paraId="679BF11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污染物</w:t>
                  </w:r>
                </w:p>
              </w:tc>
              <w:tc>
                <w:tcPr>
                  <w:tcW w:w="598" w:type="pct"/>
                  <w:vMerge w:val="restart"/>
                  <w:tcBorders>
                    <w:tl2br w:val="nil"/>
                    <w:tr2bl w:val="nil"/>
                  </w:tcBorders>
                  <w:noWrap w:val="0"/>
                  <w:vAlign w:val="center"/>
                </w:tcPr>
                <w:p w14:paraId="32F26E2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产生量t/a</w:t>
                  </w:r>
                </w:p>
              </w:tc>
              <w:tc>
                <w:tcPr>
                  <w:tcW w:w="1194" w:type="pct"/>
                  <w:gridSpan w:val="2"/>
                  <w:tcBorders>
                    <w:tl2br w:val="nil"/>
                    <w:tr2bl w:val="nil"/>
                  </w:tcBorders>
                  <w:noWrap w:val="0"/>
                  <w:vAlign w:val="center"/>
                </w:tcPr>
                <w:p w14:paraId="0439769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收集</w:t>
                  </w:r>
                  <w:r>
                    <w:rPr>
                      <w:rFonts w:hint="eastAsia" w:cs="Times New Roman"/>
                      <w:b/>
                      <w:bCs/>
                      <w:color w:val="auto"/>
                      <w:kern w:val="0"/>
                      <w:sz w:val="21"/>
                      <w:szCs w:val="21"/>
                      <w:lang w:val="en-US" w:eastAsia="zh-CN" w:bidi="ar"/>
                    </w:rPr>
                    <w:t>情况</w:t>
                  </w:r>
                </w:p>
              </w:tc>
              <w:tc>
                <w:tcPr>
                  <w:tcW w:w="1039" w:type="pct"/>
                  <w:gridSpan w:val="2"/>
                  <w:tcBorders>
                    <w:tl2br w:val="nil"/>
                    <w:tr2bl w:val="nil"/>
                  </w:tcBorders>
                  <w:noWrap w:val="0"/>
                  <w:vAlign w:val="center"/>
                </w:tcPr>
                <w:p w14:paraId="1EDF377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ascii="Times New Roman" w:hAnsi="Times New Roman" w:eastAsia="宋体" w:cs="Times New Roman"/>
                      <w:b/>
                      <w:bCs/>
                      <w:color w:val="auto"/>
                      <w:kern w:val="0"/>
                      <w:sz w:val="21"/>
                      <w:szCs w:val="21"/>
                      <w:lang w:val="en-US" w:eastAsia="zh-CN" w:bidi="ar"/>
                    </w:rPr>
                    <w:t>有组织</w:t>
                  </w:r>
                  <w:r>
                    <w:rPr>
                      <w:rFonts w:hint="default" w:ascii="Times New Roman" w:hAnsi="Times New Roman" w:eastAsia="宋体" w:cs="Times New Roman"/>
                      <w:b/>
                      <w:bCs/>
                      <w:color w:val="auto"/>
                      <w:kern w:val="0"/>
                      <w:sz w:val="21"/>
                      <w:szCs w:val="21"/>
                      <w:lang w:val="en-US" w:eastAsia="zh-CN" w:bidi="ar"/>
                    </w:rPr>
                    <w:t>排放</w:t>
                  </w:r>
                </w:p>
              </w:tc>
              <w:tc>
                <w:tcPr>
                  <w:tcW w:w="994" w:type="pct"/>
                  <w:gridSpan w:val="2"/>
                  <w:tcBorders>
                    <w:tl2br w:val="nil"/>
                    <w:tr2bl w:val="nil"/>
                  </w:tcBorders>
                  <w:noWrap w:val="0"/>
                  <w:vAlign w:val="center"/>
                </w:tcPr>
                <w:p w14:paraId="6E060E3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ascii="Times New Roman" w:hAnsi="Times New Roman" w:eastAsia="宋体" w:cs="Times New Roman"/>
                      <w:b/>
                      <w:bCs/>
                      <w:color w:val="auto"/>
                      <w:kern w:val="0"/>
                      <w:sz w:val="21"/>
                      <w:szCs w:val="21"/>
                      <w:lang w:val="en-US" w:eastAsia="zh-CN" w:bidi="ar"/>
                    </w:rPr>
                    <w:t>无组织排放</w:t>
                  </w:r>
                </w:p>
              </w:tc>
            </w:tr>
            <w:tr w14:paraId="465232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67" w:hRule="atLeast"/>
                <w:jc w:val="center"/>
              </w:trPr>
              <w:tc>
                <w:tcPr>
                  <w:tcW w:w="624" w:type="pct"/>
                  <w:vMerge w:val="continue"/>
                  <w:tcBorders>
                    <w:tl2br w:val="nil"/>
                    <w:tr2bl w:val="nil"/>
                  </w:tcBorders>
                  <w:noWrap w:val="0"/>
                  <w:vAlign w:val="center"/>
                </w:tcPr>
                <w:p w14:paraId="28B89AF8">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549" w:type="pct"/>
                  <w:vMerge w:val="continue"/>
                  <w:tcBorders>
                    <w:tl2br w:val="nil"/>
                    <w:tr2bl w:val="nil"/>
                  </w:tcBorders>
                  <w:noWrap w:val="0"/>
                  <w:vAlign w:val="center"/>
                </w:tcPr>
                <w:p w14:paraId="6EEC938F">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598" w:type="pct"/>
                  <w:vMerge w:val="continue"/>
                  <w:tcBorders>
                    <w:tl2br w:val="nil"/>
                    <w:tr2bl w:val="nil"/>
                  </w:tcBorders>
                  <w:noWrap w:val="0"/>
                  <w:vAlign w:val="center"/>
                </w:tcPr>
                <w:p w14:paraId="6C574359">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598" w:type="pct"/>
                  <w:tcBorders>
                    <w:tl2br w:val="nil"/>
                    <w:tr2bl w:val="nil"/>
                  </w:tcBorders>
                  <w:noWrap w:val="0"/>
                  <w:vAlign w:val="center"/>
                </w:tcPr>
                <w:p w14:paraId="1656751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cs="Times New Roman"/>
                      <w:b/>
                      <w:bCs/>
                      <w:color w:val="auto"/>
                      <w:kern w:val="0"/>
                      <w:sz w:val="21"/>
                      <w:szCs w:val="21"/>
                      <w:lang w:val="en-US" w:eastAsia="zh-CN" w:bidi="ar"/>
                    </w:rPr>
                    <w:t>收集</w:t>
                  </w:r>
                  <w:r>
                    <w:rPr>
                      <w:rFonts w:hint="default" w:ascii="Times New Roman" w:hAnsi="Times New Roman" w:eastAsia="宋体" w:cs="Times New Roman"/>
                      <w:b/>
                      <w:bCs/>
                      <w:color w:val="auto"/>
                      <w:kern w:val="0"/>
                      <w:sz w:val="21"/>
                      <w:szCs w:val="21"/>
                      <w:lang w:val="en-US" w:eastAsia="zh-CN" w:bidi="ar"/>
                    </w:rPr>
                    <w:t>量t/a</w:t>
                  </w:r>
                </w:p>
              </w:tc>
              <w:tc>
                <w:tcPr>
                  <w:tcW w:w="596" w:type="pct"/>
                  <w:tcBorders>
                    <w:tl2br w:val="nil"/>
                    <w:tr2bl w:val="nil"/>
                  </w:tcBorders>
                  <w:noWrap w:val="0"/>
                  <w:vAlign w:val="center"/>
                </w:tcPr>
                <w:p w14:paraId="4DDF5AA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速率</w:t>
                  </w:r>
                  <w:r>
                    <w:rPr>
                      <w:rFonts w:hint="default" w:ascii="Times New Roman" w:hAnsi="Times New Roman" w:eastAsia="宋体" w:cs="Times New Roman"/>
                      <w:b/>
                      <w:bCs/>
                      <w:color w:val="auto"/>
                      <w:kern w:val="0"/>
                      <w:sz w:val="21"/>
                      <w:szCs w:val="21"/>
                      <w:lang w:val="en-US" w:eastAsia="zh-CN" w:bidi="ar"/>
                    </w:rPr>
                    <w:t>kg/h</w:t>
                  </w:r>
                </w:p>
              </w:tc>
              <w:tc>
                <w:tcPr>
                  <w:tcW w:w="516" w:type="pct"/>
                  <w:tcBorders>
                    <w:tl2br w:val="nil"/>
                    <w:tr2bl w:val="nil"/>
                  </w:tcBorders>
                  <w:noWrap w:val="0"/>
                  <w:vAlign w:val="center"/>
                </w:tcPr>
                <w:p w14:paraId="0FC7141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yellow"/>
                    </w:rPr>
                  </w:pPr>
                  <w:r>
                    <w:rPr>
                      <w:rFonts w:hint="default" w:ascii="Times New Roman" w:hAnsi="Times New Roman" w:eastAsia="宋体" w:cs="Times New Roman"/>
                      <w:b/>
                      <w:bCs/>
                      <w:color w:val="auto"/>
                      <w:kern w:val="0"/>
                      <w:sz w:val="21"/>
                      <w:szCs w:val="21"/>
                      <w:lang w:val="en-US" w:eastAsia="zh-CN" w:bidi="ar"/>
                    </w:rPr>
                    <w:t>排放量t/a</w:t>
                  </w:r>
                </w:p>
              </w:tc>
              <w:tc>
                <w:tcPr>
                  <w:tcW w:w="522" w:type="pct"/>
                  <w:tcBorders>
                    <w:tl2br w:val="nil"/>
                    <w:tr2bl w:val="nil"/>
                  </w:tcBorders>
                  <w:noWrap w:val="0"/>
                  <w:vAlign w:val="center"/>
                </w:tcPr>
                <w:p w14:paraId="05D9E0F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速率kg/h</w:t>
                  </w:r>
                </w:p>
              </w:tc>
              <w:tc>
                <w:tcPr>
                  <w:tcW w:w="492" w:type="pct"/>
                  <w:tcBorders>
                    <w:tl2br w:val="nil"/>
                    <w:tr2bl w:val="nil"/>
                  </w:tcBorders>
                  <w:noWrap w:val="0"/>
                  <w:vAlign w:val="center"/>
                </w:tcPr>
                <w:p w14:paraId="12628E7C">
                  <w:pPr>
                    <w:keepNext w:val="0"/>
                    <w:keepLines w:val="0"/>
                    <w:pageBreakBefore w:val="0"/>
                    <w:widowControl/>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排放量t/a</w:t>
                  </w:r>
                </w:p>
              </w:tc>
              <w:tc>
                <w:tcPr>
                  <w:tcW w:w="501" w:type="pct"/>
                  <w:tcBorders>
                    <w:tl2br w:val="nil"/>
                    <w:tr2bl w:val="nil"/>
                  </w:tcBorders>
                  <w:noWrap w:val="0"/>
                  <w:vAlign w:val="center"/>
                </w:tcPr>
                <w:p w14:paraId="6973BADC">
                  <w:pPr>
                    <w:keepNext w:val="0"/>
                    <w:keepLines w:val="0"/>
                    <w:pageBreakBefore w:val="0"/>
                    <w:widowControl/>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速率kg/h</w:t>
                  </w:r>
                </w:p>
              </w:tc>
            </w:tr>
            <w:tr w14:paraId="422F205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624" w:type="pct"/>
                  <w:tcBorders>
                    <w:tl2br w:val="nil"/>
                    <w:tr2bl w:val="nil"/>
                  </w:tcBorders>
                  <w:noWrap w:val="0"/>
                  <w:vAlign w:val="center"/>
                </w:tcPr>
                <w:p w14:paraId="2063C1A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ascii="Times New Roman" w:hAnsi="Times New Roman" w:eastAsia="宋体" w:cs="Times New Roman"/>
                      <w:b w:val="0"/>
                      <w:bCs w:val="0"/>
                      <w:color w:val="auto"/>
                      <w:kern w:val="0"/>
                      <w:sz w:val="21"/>
                      <w:szCs w:val="21"/>
                      <w:highlight w:val="none"/>
                      <w:u w:val="none" w:color="auto"/>
                      <w:lang w:eastAsia="zh-CN"/>
                    </w:rPr>
                  </w:pPr>
                  <w:r>
                    <w:rPr>
                      <w:rFonts w:hint="eastAsia"/>
                      <w:b w:val="0"/>
                      <w:bCs w:val="0"/>
                      <w:color w:val="auto"/>
                      <w:sz w:val="24"/>
                      <w:lang w:val="en-US" w:eastAsia="zh-CN"/>
                    </w:rPr>
                    <w:t>挤出（吹膜）</w:t>
                  </w:r>
                </w:p>
              </w:tc>
              <w:tc>
                <w:tcPr>
                  <w:tcW w:w="549" w:type="pct"/>
                  <w:tcBorders>
                    <w:tl2br w:val="nil"/>
                    <w:tr2bl w:val="nil"/>
                  </w:tcBorders>
                  <w:noWrap w:val="0"/>
                  <w:vAlign w:val="center"/>
                </w:tcPr>
                <w:p w14:paraId="24AE8E2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ascii="Times New Roman" w:hAnsi="Times New Roman" w:eastAsia="宋体" w:cs="Times New Roman"/>
                      <w:b w:val="0"/>
                      <w:bCs w:val="0"/>
                      <w:color w:val="auto"/>
                      <w:kern w:val="0"/>
                      <w:sz w:val="21"/>
                      <w:szCs w:val="21"/>
                      <w:highlight w:val="none"/>
                      <w:u w:val="none" w:color="auto"/>
                      <w:lang w:val="en-US" w:eastAsia="zh-CN"/>
                    </w:rPr>
                    <w:t>VOCs</w:t>
                  </w:r>
                </w:p>
              </w:tc>
              <w:tc>
                <w:tcPr>
                  <w:tcW w:w="598" w:type="pct"/>
                  <w:tcBorders>
                    <w:tl2br w:val="nil"/>
                    <w:tr2bl w:val="nil"/>
                  </w:tcBorders>
                  <w:noWrap w:val="0"/>
                  <w:vAlign w:val="center"/>
                </w:tcPr>
                <w:p w14:paraId="183670F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6.5175</w:t>
                  </w:r>
                </w:p>
              </w:tc>
              <w:tc>
                <w:tcPr>
                  <w:tcW w:w="598" w:type="pct"/>
                  <w:tcBorders>
                    <w:tl2br w:val="nil"/>
                    <w:tr2bl w:val="nil"/>
                  </w:tcBorders>
                  <w:noWrap w:val="0"/>
                  <w:vAlign w:val="center"/>
                </w:tcPr>
                <w:p w14:paraId="1FF80ED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6.1916</w:t>
                  </w:r>
                </w:p>
              </w:tc>
              <w:tc>
                <w:tcPr>
                  <w:tcW w:w="596" w:type="pct"/>
                  <w:tcBorders>
                    <w:tl2br w:val="nil"/>
                    <w:tr2bl w:val="nil"/>
                  </w:tcBorders>
                  <w:noWrap w:val="0"/>
                  <w:vAlign w:val="center"/>
                </w:tcPr>
                <w:p w14:paraId="15713A9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2.5798</w:t>
                  </w:r>
                </w:p>
              </w:tc>
              <w:tc>
                <w:tcPr>
                  <w:tcW w:w="516" w:type="pct"/>
                  <w:tcBorders>
                    <w:tl2br w:val="nil"/>
                    <w:tr2bl w:val="nil"/>
                  </w:tcBorders>
                  <w:noWrap w:val="0"/>
                  <w:vAlign w:val="center"/>
                </w:tcPr>
                <w:p w14:paraId="23A3DCA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0.3715</w:t>
                  </w:r>
                </w:p>
              </w:tc>
              <w:tc>
                <w:tcPr>
                  <w:tcW w:w="522" w:type="pct"/>
                  <w:tcBorders>
                    <w:tl2br w:val="nil"/>
                    <w:tr2bl w:val="nil"/>
                  </w:tcBorders>
                  <w:noWrap w:val="0"/>
                  <w:vAlign w:val="center"/>
                </w:tcPr>
                <w:p w14:paraId="6F4F075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0.1548</w:t>
                  </w:r>
                </w:p>
              </w:tc>
              <w:tc>
                <w:tcPr>
                  <w:tcW w:w="492" w:type="pct"/>
                  <w:tcBorders>
                    <w:tl2br w:val="nil"/>
                    <w:tr2bl w:val="nil"/>
                  </w:tcBorders>
                  <w:noWrap w:val="0"/>
                  <w:vAlign w:val="center"/>
                </w:tcPr>
                <w:p w14:paraId="4F37FF2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0.3259</w:t>
                  </w:r>
                </w:p>
              </w:tc>
              <w:tc>
                <w:tcPr>
                  <w:tcW w:w="501" w:type="pct"/>
                  <w:tcBorders>
                    <w:tl2br w:val="nil"/>
                    <w:tr2bl w:val="nil"/>
                  </w:tcBorders>
                  <w:noWrap w:val="0"/>
                  <w:vAlign w:val="center"/>
                </w:tcPr>
                <w:p w14:paraId="52E9EB80">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0.1358</w:t>
                  </w:r>
                </w:p>
              </w:tc>
            </w:tr>
          </w:tbl>
          <w:p w14:paraId="3F26AE37">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color w:val="auto"/>
                <w:sz w:val="24"/>
                <w:lang w:eastAsia="zh-CN"/>
              </w:rPr>
            </w:pPr>
            <w:r>
              <w:rPr>
                <w:rFonts w:hint="eastAsia" w:eastAsia="Times New Roman" w:cs="Times New Roman"/>
                <w:b w:val="0"/>
                <w:bCs/>
                <w:color w:val="auto"/>
                <w:sz w:val="24"/>
                <w:highlight w:val="none"/>
                <w:u w:val="none"/>
                <w:lang w:eastAsia="zh-CN"/>
              </w:rPr>
              <w:t>（</w:t>
            </w:r>
            <w:r>
              <w:rPr>
                <w:rFonts w:hint="eastAsia" w:eastAsia="Times New Roman" w:cs="Times New Roman"/>
                <w:b w:val="0"/>
                <w:bCs/>
                <w:color w:val="auto"/>
                <w:sz w:val="24"/>
                <w:highlight w:val="none"/>
                <w:u w:val="none"/>
                <w:lang w:val="en-US" w:eastAsia="zh-CN"/>
              </w:rPr>
              <w:t>2</w:t>
            </w:r>
            <w:r>
              <w:rPr>
                <w:rFonts w:hint="eastAsia" w:eastAsia="Times New Roman" w:cs="Times New Roman"/>
                <w:b w:val="0"/>
                <w:bCs/>
                <w:color w:val="auto"/>
                <w:sz w:val="24"/>
                <w:highlight w:val="none"/>
                <w:u w:val="none"/>
                <w:lang w:eastAsia="zh-CN"/>
              </w:rPr>
              <w:t>）高频复合、粘合</w:t>
            </w:r>
            <w:r>
              <w:rPr>
                <w:rFonts w:hint="eastAsia"/>
                <w:color w:val="auto"/>
                <w:sz w:val="24"/>
                <w:lang w:eastAsia="zh-CN"/>
              </w:rPr>
              <w:t>废气</w:t>
            </w:r>
          </w:p>
          <w:p w14:paraId="142C0C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eastAsia="Times New Roman" w:cs="Times New Roman"/>
                <w:b w:val="0"/>
                <w:bCs/>
                <w:color w:val="auto"/>
                <w:sz w:val="24"/>
                <w:highlight w:val="none"/>
                <w:lang w:val="en-US" w:eastAsia="zh-CN"/>
              </w:rPr>
            </w:pPr>
            <w:r>
              <w:rPr>
                <w:rFonts w:hint="eastAsia"/>
                <w:color w:val="auto"/>
                <w:sz w:val="24"/>
                <w:szCs w:val="24"/>
                <w:lang w:eastAsia="zh-CN"/>
              </w:rPr>
              <w:t>项目内膜与编织外层连接的方式有两种，一种是通过高频物理合成（高频复合）进行连接</w:t>
            </w:r>
            <w:r>
              <w:rPr>
                <w:rFonts w:hint="eastAsia" w:ascii="Times New Roman" w:hAnsi="Times New Roman"/>
                <w:color w:val="auto"/>
                <w:sz w:val="24"/>
                <w:szCs w:val="24"/>
                <w:lang w:eastAsia="zh-CN"/>
              </w:rPr>
              <w:t>：编织成型的水带通过高频复合机进行复合，高频复合机利用水为介质，采用电加热方式，温度控制在50℃~</w:t>
            </w:r>
            <w:r>
              <w:rPr>
                <w:rFonts w:hint="eastAsia"/>
                <w:color w:val="auto"/>
                <w:sz w:val="24"/>
                <w:szCs w:val="24"/>
                <w:lang w:val="en-US" w:eastAsia="zh-CN"/>
              </w:rPr>
              <w:t>6</w:t>
            </w:r>
            <w:r>
              <w:rPr>
                <w:rFonts w:hint="eastAsia" w:ascii="Times New Roman" w:hAnsi="Times New Roman"/>
                <w:color w:val="auto"/>
                <w:sz w:val="24"/>
                <w:szCs w:val="24"/>
                <w:lang w:eastAsia="zh-CN"/>
              </w:rPr>
              <w:t>0℃，将内膜中的热熔胶软化，使内膜与编织外层复合</w:t>
            </w:r>
            <w:r>
              <w:rPr>
                <w:rFonts w:hint="eastAsia"/>
                <w:color w:val="auto"/>
                <w:sz w:val="24"/>
                <w:szCs w:val="24"/>
                <w:lang w:eastAsia="zh-CN"/>
              </w:rPr>
              <w:t>。一种是通过</w:t>
            </w:r>
            <w:r>
              <w:rPr>
                <w:rFonts w:hint="eastAsia" w:ascii="Times New Roman" w:hAnsi="Times New Roman" w:eastAsia="宋体" w:cs="Times New Roman"/>
                <w:b w:val="0"/>
                <w:bCs w:val="0"/>
                <w:color w:val="auto"/>
                <w:sz w:val="24"/>
                <w:lang w:val="en-US" w:eastAsia="zh-CN"/>
              </w:rPr>
              <w:t>水带</w:t>
            </w:r>
            <w:r>
              <w:rPr>
                <w:rFonts w:hint="eastAsia" w:cs="Times New Roman"/>
                <w:b w:val="0"/>
                <w:bCs w:val="0"/>
                <w:color w:val="auto"/>
                <w:sz w:val="24"/>
                <w:lang w:val="en-US" w:eastAsia="zh-CN"/>
              </w:rPr>
              <w:t>粘合机进行连接：</w:t>
            </w:r>
            <w:r>
              <w:rPr>
                <w:rFonts w:hint="eastAsia" w:ascii="Times New Roman" w:hAnsi="Times New Roman" w:eastAsia="宋体" w:cs="Times New Roman"/>
                <w:b w:val="0"/>
                <w:bCs w:val="0"/>
                <w:color w:val="auto"/>
                <w:sz w:val="24"/>
                <w:lang w:val="en-US" w:eastAsia="zh-CN"/>
              </w:rPr>
              <w:t>水粘机水粘段利用电热丝将内膜外侧热熔胶</w:t>
            </w:r>
            <w:r>
              <w:rPr>
                <w:rFonts w:hint="eastAsia" w:cs="Times New Roman"/>
                <w:b w:val="0"/>
                <w:bCs w:val="0"/>
                <w:color w:val="auto"/>
                <w:sz w:val="24"/>
                <w:lang w:val="en-US" w:eastAsia="zh-CN"/>
              </w:rPr>
              <w:t>软化</w:t>
            </w:r>
            <w:r>
              <w:rPr>
                <w:rFonts w:hint="eastAsia" w:ascii="Times New Roman" w:hAnsi="Times New Roman" w:eastAsia="宋体" w:cs="Times New Roman"/>
                <w:b w:val="0"/>
                <w:bCs w:val="0"/>
                <w:color w:val="auto"/>
                <w:sz w:val="24"/>
                <w:lang w:val="en-US" w:eastAsia="zh-CN"/>
              </w:rPr>
              <w:t>，</w:t>
            </w:r>
            <w:r>
              <w:rPr>
                <w:rFonts w:hint="eastAsia" w:cs="Times New Roman"/>
                <w:b w:val="0"/>
                <w:bCs w:val="0"/>
                <w:color w:val="auto"/>
                <w:sz w:val="24"/>
                <w:lang w:val="en-US" w:eastAsia="zh-CN"/>
              </w:rPr>
              <w:t>温度控制在</w:t>
            </w:r>
            <w:r>
              <w:rPr>
                <w:rFonts w:hint="eastAsia" w:ascii="Times New Roman" w:hAnsi="Times New Roman"/>
                <w:color w:val="auto"/>
                <w:sz w:val="24"/>
                <w:szCs w:val="24"/>
                <w:lang w:eastAsia="zh-CN"/>
              </w:rPr>
              <w:t>50℃~</w:t>
            </w:r>
            <w:r>
              <w:rPr>
                <w:rFonts w:hint="eastAsia"/>
                <w:color w:val="auto"/>
                <w:sz w:val="24"/>
                <w:szCs w:val="24"/>
                <w:lang w:val="en-US" w:eastAsia="zh-CN"/>
              </w:rPr>
              <w:t>80</w:t>
            </w:r>
            <w:r>
              <w:rPr>
                <w:rFonts w:hint="eastAsia" w:ascii="Times New Roman" w:hAnsi="Times New Roman"/>
                <w:color w:val="auto"/>
                <w:sz w:val="24"/>
                <w:szCs w:val="24"/>
                <w:lang w:eastAsia="zh-CN"/>
              </w:rPr>
              <w:t>℃，</w:t>
            </w:r>
            <w:r>
              <w:rPr>
                <w:rFonts w:hint="eastAsia" w:ascii="Times New Roman" w:hAnsi="Times New Roman" w:eastAsia="宋体" w:cs="Times New Roman"/>
                <w:b w:val="0"/>
                <w:bCs w:val="0"/>
                <w:color w:val="auto"/>
                <w:sz w:val="24"/>
                <w:lang w:val="en-US" w:eastAsia="zh-CN"/>
              </w:rPr>
              <w:t>将水带内膜外侧与水带外编织网粘合在一起</w:t>
            </w:r>
            <w:r>
              <w:rPr>
                <w:rFonts w:hint="eastAsia" w:cs="Times New Roman"/>
                <w:b w:val="0"/>
                <w:bCs w:val="0"/>
                <w:color w:val="auto"/>
                <w:sz w:val="24"/>
                <w:lang w:val="en-US" w:eastAsia="zh-CN"/>
              </w:rPr>
              <w:t>。软化温度较低，达不到聚乙烯和热熔胶的熔点，</w:t>
            </w:r>
            <w:r>
              <w:rPr>
                <w:rFonts w:hint="eastAsia" w:ascii="Times New Roman" w:hAnsi="Times New Roman"/>
                <w:b w:val="0"/>
                <w:bCs/>
                <w:color w:val="auto"/>
                <w:sz w:val="24"/>
                <w:szCs w:val="24"/>
                <w:highlight w:val="none"/>
                <w:lang w:val="en-US" w:eastAsia="zh-CN"/>
              </w:rPr>
              <w:t>VOCs</w:t>
            </w:r>
            <w:r>
              <w:rPr>
                <w:rFonts w:hint="default"/>
                <w:bCs/>
                <w:color w:val="auto"/>
                <w:sz w:val="24"/>
              </w:rPr>
              <w:t>产生量很小，本次评价仅定性分析</w:t>
            </w:r>
            <w:r>
              <w:rPr>
                <w:rFonts w:hint="eastAsia"/>
                <w:bCs/>
                <w:color w:val="auto"/>
                <w:sz w:val="24"/>
                <w:lang w:eastAsia="zh-CN"/>
              </w:rPr>
              <w:t>，不再定量分析，项目在高频复合机、粘合剂上方设置集气罩，废气经收集后引入</w:t>
            </w:r>
            <w:r>
              <w:rPr>
                <w:rFonts w:hint="eastAsia"/>
                <w:bCs/>
                <w:color w:val="auto"/>
                <w:sz w:val="24"/>
                <w:lang w:val="en-US" w:eastAsia="zh-CN"/>
              </w:rPr>
              <w:t>“吸附、脱附+催化燃烧”处理设施中处理</w:t>
            </w:r>
            <w:r>
              <w:rPr>
                <w:rFonts w:hint="eastAsia"/>
                <w:bCs/>
                <w:color w:val="auto"/>
                <w:sz w:val="24"/>
              </w:rPr>
              <w:t>。</w:t>
            </w:r>
          </w:p>
          <w:p w14:paraId="3F877AC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color w:val="auto"/>
                <w:sz w:val="24"/>
                <w:lang w:eastAsia="zh-CN"/>
              </w:rPr>
            </w:pPr>
            <w:r>
              <w:rPr>
                <w:rFonts w:hint="eastAsia" w:eastAsia="Times New Roman" w:cs="Times New Roman"/>
                <w:b w:val="0"/>
                <w:bCs/>
                <w:color w:val="auto"/>
                <w:sz w:val="24"/>
                <w:highlight w:val="none"/>
                <w:u w:val="none"/>
                <w:lang w:eastAsia="zh-CN"/>
              </w:rPr>
              <w:t>（</w:t>
            </w:r>
            <w:r>
              <w:rPr>
                <w:rFonts w:hint="eastAsia" w:eastAsia="Times New Roman" w:cs="Times New Roman"/>
                <w:b w:val="0"/>
                <w:bCs/>
                <w:color w:val="auto"/>
                <w:sz w:val="24"/>
                <w:highlight w:val="none"/>
                <w:u w:val="none"/>
                <w:lang w:val="en-US" w:eastAsia="zh-CN"/>
              </w:rPr>
              <w:t>3）喷码</w:t>
            </w:r>
            <w:r>
              <w:rPr>
                <w:rFonts w:hint="eastAsia"/>
                <w:color w:val="auto"/>
                <w:sz w:val="24"/>
                <w:lang w:eastAsia="zh-CN"/>
              </w:rPr>
              <w:t>废气</w:t>
            </w:r>
          </w:p>
          <w:p w14:paraId="2983D6E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eastAsia="zh-CN"/>
              </w:rPr>
              <w:t>项目喷码过程使用</w:t>
            </w:r>
            <w:r>
              <w:rPr>
                <w:rFonts w:hint="eastAsia"/>
                <w:b w:val="0"/>
                <w:bCs/>
                <w:color w:val="auto"/>
                <w:sz w:val="24"/>
                <w:szCs w:val="24"/>
                <w:highlight w:val="none"/>
                <w:lang w:eastAsia="zh-CN"/>
              </w:rPr>
              <w:t>水墨</w:t>
            </w:r>
            <w:r>
              <w:rPr>
                <w:rFonts w:hint="eastAsia"/>
                <w:b w:val="0"/>
                <w:bCs/>
                <w:color w:val="auto"/>
                <w:sz w:val="24"/>
                <w:szCs w:val="24"/>
                <w:highlight w:val="none"/>
                <w:lang w:val="en-US" w:eastAsia="zh-CN"/>
              </w:rPr>
              <w:t>，</w:t>
            </w:r>
            <w:r>
              <w:rPr>
                <w:rFonts w:hint="eastAsia" w:ascii="Times New Roman" w:hAnsi="Times New Roman"/>
                <w:b w:val="0"/>
                <w:bCs/>
                <w:color w:val="auto"/>
                <w:sz w:val="24"/>
                <w:szCs w:val="24"/>
                <w:highlight w:val="none"/>
                <w:lang w:val="en-US" w:eastAsia="zh-CN"/>
              </w:rPr>
              <w:t>根据《挥发性有机物无组织排放控制标准》（GB37822—2019）要求，VOCs质量占比大于等于10%的含VOCs产品，其使用过程应采用密闭设备或在密闭空间内操作，废气应排至VOCs废气收集处理系统，</w:t>
            </w:r>
            <w:r>
              <w:rPr>
                <w:rFonts w:hint="eastAsia"/>
                <w:color w:val="auto"/>
                <w:sz w:val="24"/>
                <w:szCs w:val="24"/>
                <w:lang w:val="en-US" w:eastAsia="zh-CN"/>
              </w:rPr>
              <w:t>根据《重点行业挥发性有机物综合治理方案》（环大气〔2019〕53号）：“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根</w:t>
            </w:r>
            <w:r>
              <w:rPr>
                <w:rFonts w:hint="eastAsia" w:ascii="Times New Roman" w:hAnsi="Times New Roman"/>
                <w:b w:val="0"/>
                <w:bCs/>
                <w:color w:val="auto"/>
                <w:sz w:val="24"/>
                <w:szCs w:val="24"/>
                <w:highlight w:val="none"/>
                <w:lang w:eastAsia="zh-CN"/>
              </w:rPr>
              <w:t>据本项目</w:t>
            </w:r>
            <w:r>
              <w:rPr>
                <w:rFonts w:hint="eastAsia"/>
                <w:b w:val="0"/>
                <w:bCs/>
                <w:color w:val="auto"/>
                <w:sz w:val="24"/>
                <w:szCs w:val="24"/>
                <w:highlight w:val="none"/>
                <w:lang w:eastAsia="zh-CN"/>
              </w:rPr>
              <w:t>水墨挥发性有机物检测报告（附件</w:t>
            </w:r>
            <w:r>
              <w:rPr>
                <w:rFonts w:hint="eastAsia"/>
                <w:b w:val="0"/>
                <w:bCs/>
                <w:color w:val="auto"/>
                <w:sz w:val="24"/>
                <w:szCs w:val="24"/>
                <w:highlight w:val="none"/>
                <w:lang w:val="en-US" w:eastAsia="zh-CN"/>
              </w:rPr>
              <w:t>12</w:t>
            </w:r>
            <w:r>
              <w:rPr>
                <w:rFonts w:hint="eastAsia"/>
                <w:b w:val="0"/>
                <w:bCs/>
                <w:color w:val="auto"/>
                <w:sz w:val="24"/>
                <w:szCs w:val="24"/>
                <w:highlight w:val="none"/>
                <w:lang w:eastAsia="zh-CN"/>
              </w:rPr>
              <w:t>）</w:t>
            </w:r>
            <w:r>
              <w:rPr>
                <w:rFonts w:hint="eastAsia" w:ascii="Times New Roman" w:hAnsi="Times New Roman"/>
                <w:b w:val="0"/>
                <w:bCs/>
                <w:color w:val="auto"/>
                <w:sz w:val="24"/>
                <w:szCs w:val="24"/>
                <w:highlight w:val="none"/>
                <w:lang w:eastAsia="zh-CN"/>
              </w:rPr>
              <w:t>，</w:t>
            </w:r>
            <w:r>
              <w:rPr>
                <w:rFonts w:hint="eastAsia" w:ascii="Times New Roman" w:hAnsi="Times New Roman"/>
                <w:b w:val="0"/>
                <w:bCs/>
                <w:color w:val="auto"/>
                <w:sz w:val="24"/>
                <w:szCs w:val="24"/>
                <w:highlight w:val="none"/>
                <w:lang w:val="en-US" w:eastAsia="zh-CN"/>
              </w:rPr>
              <w:t>VOCs的含量为0.13%，能够满足《油墨中可挥发性有机物（</w:t>
            </w:r>
            <w:r>
              <w:rPr>
                <w:rFonts w:hint="eastAsia"/>
                <w:color w:val="auto"/>
                <w:sz w:val="24"/>
                <w:szCs w:val="24"/>
                <w:lang w:val="en-US" w:eastAsia="zh-CN"/>
              </w:rPr>
              <w:t>VOCs</w:t>
            </w:r>
            <w:r>
              <w:rPr>
                <w:rFonts w:hint="eastAsia" w:ascii="Times New Roman" w:hAnsi="Times New Roman"/>
                <w:b w:val="0"/>
                <w:bCs/>
                <w:color w:val="auto"/>
                <w:sz w:val="24"/>
                <w:szCs w:val="24"/>
                <w:highlight w:val="none"/>
                <w:lang w:val="en-US" w:eastAsia="zh-CN"/>
              </w:rPr>
              <w:t>）含量的限值》（GB38507-2027）中要求，</w:t>
            </w:r>
            <w:r>
              <w:rPr>
                <w:rFonts w:hint="eastAsia"/>
                <w:b w:val="0"/>
                <w:bCs/>
                <w:color w:val="auto"/>
                <w:sz w:val="24"/>
                <w:szCs w:val="24"/>
                <w:highlight w:val="none"/>
                <w:lang w:val="en-US" w:eastAsia="zh-CN"/>
              </w:rPr>
              <w:t>满足</w:t>
            </w:r>
            <w:r>
              <w:rPr>
                <w:rFonts w:hint="eastAsia"/>
                <w:color w:val="auto"/>
                <w:sz w:val="24"/>
                <w:szCs w:val="24"/>
                <w:lang w:val="en-US" w:eastAsia="zh-CN"/>
              </w:rPr>
              <w:t>（环大气〔2019〕53号）要求，</w:t>
            </w:r>
            <w:r>
              <w:rPr>
                <w:rFonts w:hint="eastAsia"/>
                <w:b w:val="0"/>
                <w:bCs/>
                <w:color w:val="auto"/>
                <w:sz w:val="24"/>
                <w:szCs w:val="24"/>
                <w:highlight w:val="none"/>
                <w:lang w:eastAsia="zh-CN"/>
              </w:rPr>
              <w:t>项目油墨</w:t>
            </w:r>
            <w:r>
              <w:rPr>
                <w:rFonts w:hint="eastAsia" w:ascii="Times New Roman" w:hAnsi="Times New Roman"/>
                <w:b w:val="0"/>
                <w:bCs/>
                <w:color w:val="auto"/>
                <w:sz w:val="24"/>
                <w:szCs w:val="24"/>
                <w:highlight w:val="none"/>
                <w:lang w:eastAsia="zh-CN"/>
              </w:rPr>
              <w:t>使用量很少，本次仅定性分析，</w:t>
            </w:r>
            <w:r>
              <w:rPr>
                <w:rFonts w:hint="eastAsia"/>
                <w:b w:val="0"/>
                <w:bCs/>
                <w:color w:val="auto"/>
                <w:sz w:val="24"/>
                <w:szCs w:val="24"/>
                <w:highlight w:val="none"/>
                <w:lang w:eastAsia="zh-CN"/>
              </w:rPr>
              <w:t>本</w:t>
            </w:r>
            <w:r>
              <w:rPr>
                <w:rFonts w:hint="eastAsia"/>
                <w:bCs/>
                <w:color w:val="auto"/>
                <w:sz w:val="24"/>
                <w:lang w:eastAsia="zh-CN"/>
              </w:rPr>
              <w:t>项目在喷码机上方设置集气罩，废气经收集后引入</w:t>
            </w:r>
            <w:r>
              <w:rPr>
                <w:rFonts w:hint="eastAsia"/>
                <w:bCs/>
                <w:color w:val="auto"/>
                <w:sz w:val="24"/>
                <w:lang w:val="en-US" w:eastAsia="zh-CN"/>
              </w:rPr>
              <w:t>“吸附、脱附+催化燃烧”处理设施中处理</w:t>
            </w:r>
            <w:r>
              <w:rPr>
                <w:rFonts w:hint="eastAsia" w:ascii="Times New Roman" w:hAnsi="Times New Roman"/>
                <w:b w:val="0"/>
                <w:bCs/>
                <w:color w:val="auto"/>
                <w:sz w:val="24"/>
                <w:szCs w:val="24"/>
                <w:highlight w:val="none"/>
                <w:lang w:val="en-US" w:eastAsia="zh-CN"/>
              </w:rPr>
              <w:t>。</w:t>
            </w:r>
          </w:p>
          <w:p w14:paraId="46E4A1E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w:t>
            </w:r>
            <w:r>
              <w:rPr>
                <w:rFonts w:hint="eastAsia"/>
                <w:b w:val="0"/>
                <w:bCs/>
                <w:color w:val="auto"/>
                <w:sz w:val="24"/>
                <w:szCs w:val="24"/>
                <w:highlight w:val="none"/>
                <w:lang w:val="en-US" w:eastAsia="zh-CN"/>
              </w:rPr>
              <w:t>4</w:t>
            </w:r>
            <w:r>
              <w:rPr>
                <w:rFonts w:hint="eastAsia" w:ascii="Times New Roman" w:hAnsi="Times New Roman"/>
                <w:b w:val="0"/>
                <w:bCs/>
                <w:color w:val="auto"/>
                <w:sz w:val="24"/>
                <w:szCs w:val="24"/>
                <w:highlight w:val="none"/>
                <w:lang w:val="en-US" w:eastAsia="zh-CN"/>
              </w:rPr>
              <w:t>）危废间废气</w:t>
            </w:r>
            <w:r>
              <w:rPr>
                <w:rFonts w:hint="eastAsia"/>
                <w:b w:val="0"/>
                <w:bCs/>
                <w:color w:val="auto"/>
                <w:sz w:val="24"/>
                <w:szCs w:val="24"/>
                <w:highlight w:val="none"/>
                <w:lang w:val="en-US" w:eastAsia="zh-CN"/>
              </w:rPr>
              <w:t xml:space="preserve">  </w:t>
            </w:r>
          </w:p>
          <w:p w14:paraId="7D4171E6">
            <w:pPr>
              <w:keepNext w:val="0"/>
              <w:keepLines w:val="0"/>
              <w:widowControl w:val="0"/>
              <w:numPr>
                <w:ilvl w:val="0"/>
                <w:numId w:val="0"/>
              </w:numPr>
              <w:suppressLineNumbers w:val="0"/>
              <w:autoSpaceDE w:val="0"/>
              <w:autoSpaceDN w:val="0"/>
              <w:spacing w:before="0" w:beforeAutospacing="0" w:after="0" w:afterAutospacing="0" w:line="360" w:lineRule="auto"/>
              <w:ind w:left="0" w:leftChars="0" w:right="0" w:rightChars="0" w:firstLine="460" w:firstLineChars="192"/>
              <w:jc w:val="both"/>
              <w:rPr>
                <w:rFonts w:hint="default" w:ascii="Times New Roman" w:hAnsi="Times New Roman"/>
                <w:b w:val="0"/>
                <w:bCs/>
                <w:color w:val="auto"/>
                <w:sz w:val="24"/>
                <w:szCs w:val="24"/>
                <w:highlight w:val="none"/>
                <w:lang w:val="en-US" w:eastAsia="zh-CN"/>
              </w:rPr>
            </w:pPr>
            <w:r>
              <w:rPr>
                <w:rFonts w:hint="default"/>
                <w:bCs/>
                <w:color w:val="auto"/>
                <w:sz w:val="24"/>
              </w:rPr>
              <w:t>建设单位新建1间危险废物暂存间，暂存废气拟建设密闭管道连接至有机废气治理设施净化处理，</w:t>
            </w:r>
            <w:r>
              <w:rPr>
                <w:rFonts w:hint="eastAsia"/>
                <w:bCs/>
                <w:color w:val="auto"/>
                <w:sz w:val="24"/>
                <w:lang w:eastAsia="zh-CN"/>
              </w:rPr>
              <w:t>活性炭、催化剂等危险废物均通过纸箱、包装袋封闭保存，</w:t>
            </w:r>
            <w:r>
              <w:rPr>
                <w:rFonts w:hint="default"/>
                <w:bCs/>
                <w:color w:val="auto"/>
                <w:sz w:val="24"/>
              </w:rPr>
              <w:t>危废间暂存</w:t>
            </w:r>
            <w:r>
              <w:rPr>
                <w:rFonts w:hint="eastAsia" w:ascii="Times New Roman" w:hAnsi="Times New Roman"/>
                <w:b w:val="0"/>
                <w:bCs/>
                <w:color w:val="auto"/>
                <w:sz w:val="24"/>
                <w:szCs w:val="24"/>
                <w:highlight w:val="none"/>
                <w:lang w:val="en-US" w:eastAsia="zh-CN"/>
              </w:rPr>
              <w:t>VOCs</w:t>
            </w:r>
            <w:r>
              <w:rPr>
                <w:rFonts w:hint="default"/>
                <w:bCs/>
                <w:color w:val="auto"/>
                <w:sz w:val="24"/>
              </w:rPr>
              <w:t>产生量很小，本次评价仅定性分析</w:t>
            </w:r>
            <w:r>
              <w:rPr>
                <w:rFonts w:hint="eastAsia"/>
                <w:bCs/>
                <w:color w:val="auto"/>
                <w:sz w:val="24"/>
                <w:lang w:eastAsia="zh-CN"/>
              </w:rPr>
              <w:t>，不再定量分析，</w:t>
            </w:r>
            <w:r>
              <w:rPr>
                <w:rFonts w:hint="eastAsia" w:ascii="Times New Roman" w:hAnsi="Times New Roman" w:eastAsia="宋体" w:cs="Times New Roman"/>
                <w:b w:val="0"/>
                <w:bCs/>
                <w:color w:val="auto"/>
                <w:kern w:val="2"/>
                <w:sz w:val="24"/>
                <w:szCs w:val="24"/>
                <w:lang w:val="en-US" w:eastAsia="zh-CN" w:bidi="ar"/>
              </w:rPr>
              <w:t>为尽量减少废气对环境的影响，危废暂存间安装顶吸装置，在事故状态下将危废暂存间废气引入</w:t>
            </w:r>
            <w:r>
              <w:rPr>
                <w:rFonts w:hint="eastAsia"/>
                <w:bCs/>
                <w:color w:val="auto"/>
                <w:sz w:val="24"/>
                <w:lang w:val="en-US" w:eastAsia="zh-CN"/>
              </w:rPr>
              <w:t>“吸附、脱附+催化燃烧”处理设施中处理。</w:t>
            </w:r>
          </w:p>
          <w:p w14:paraId="4DBA3D0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1.1.</w:t>
            </w:r>
            <w:r>
              <w:rPr>
                <w:rFonts w:hint="eastAsia" w:eastAsia="Times New Roman" w:cs="Times New Roman"/>
                <w:b/>
                <w:bCs w:val="0"/>
                <w:color w:val="auto"/>
                <w:sz w:val="24"/>
                <w:highlight w:val="none"/>
                <w:lang w:val="en-US" w:eastAsia="zh-CN"/>
              </w:rPr>
              <w:t>2</w:t>
            </w:r>
            <w:r>
              <w:rPr>
                <w:rFonts w:hint="default" w:ascii="Times New Roman" w:hAnsi="Times New Roman" w:eastAsia="Times New Roman" w:cs="Times New Roman"/>
                <w:b/>
                <w:bCs w:val="0"/>
                <w:color w:val="auto"/>
                <w:sz w:val="24"/>
                <w:highlight w:val="none"/>
                <w:vertAlign w:val="baseline"/>
                <w:lang w:val="en-US" w:eastAsia="zh-CN"/>
              </w:rPr>
              <w:t>治理设施</w:t>
            </w:r>
          </w:p>
          <w:p w14:paraId="7C6CB2B0">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0" w:firstLineChars="192"/>
              <w:jc w:val="both"/>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eastAsia" w:cs="Times New Roman"/>
                <w:b w:val="0"/>
                <w:bCs w:val="0"/>
                <w:color w:val="auto"/>
                <w:kern w:val="2"/>
                <w:sz w:val="24"/>
                <w:szCs w:val="24"/>
                <w:highlight w:val="none"/>
                <w:u w:val="none" w:color="auto"/>
                <w:lang w:val="en-US" w:eastAsia="zh-CN" w:bidi="ar-SA"/>
              </w:rPr>
              <w:t>本项目在6台挤出（吹膜）机、10台高频复合机、10台水带粘合机上方、2台喷码机上方</w:t>
            </w:r>
            <w:r>
              <w:rPr>
                <w:rFonts w:hint="default" w:ascii="Times New Roman" w:hAnsi="Times New Roman" w:eastAsia="宋体" w:cs="Times New Roman"/>
                <w:b w:val="0"/>
                <w:bCs w:val="0"/>
                <w:color w:val="auto"/>
                <w:kern w:val="2"/>
                <w:sz w:val="24"/>
                <w:szCs w:val="24"/>
                <w:highlight w:val="none"/>
                <w:u w:val="none" w:color="auto"/>
                <w:lang w:val="en-US" w:eastAsia="zh-CN" w:bidi="ar-SA"/>
              </w:rPr>
              <w:t>设置</w:t>
            </w:r>
            <w:r>
              <w:rPr>
                <w:rFonts w:hint="eastAsia" w:cs="Times New Roman"/>
                <w:b w:val="0"/>
                <w:bCs w:val="0"/>
                <w:color w:val="auto"/>
                <w:kern w:val="2"/>
                <w:sz w:val="24"/>
                <w:szCs w:val="24"/>
                <w:highlight w:val="none"/>
                <w:u w:val="none" w:color="auto"/>
                <w:lang w:val="en-US" w:eastAsia="zh-CN" w:bidi="ar-SA"/>
              </w:rPr>
              <w:t>集气罩，总计28个，单个集气罩面积为0.5m</w:t>
            </w:r>
            <w:r>
              <w:rPr>
                <w:rFonts w:hint="eastAsia" w:cs="Times New Roman"/>
                <w:b w:val="0"/>
                <w:bCs w:val="0"/>
                <w:color w:val="auto"/>
                <w:kern w:val="2"/>
                <w:sz w:val="24"/>
                <w:szCs w:val="24"/>
                <w:highlight w:val="none"/>
                <w:u w:val="none" w:color="auto"/>
                <w:vertAlign w:val="superscript"/>
                <w:lang w:val="en-US" w:eastAsia="zh-CN" w:bidi="ar-SA"/>
              </w:rPr>
              <w:t>2</w:t>
            </w:r>
            <w:r>
              <w:rPr>
                <w:rFonts w:hint="eastAsia" w:ascii="Times New Roman" w:hAnsi="Times New Roman" w:eastAsia="宋体" w:cs="Times New Roman"/>
                <w:b w:val="0"/>
                <w:bCs w:val="0"/>
                <w:color w:val="auto"/>
                <w:kern w:val="2"/>
                <w:sz w:val="24"/>
                <w:szCs w:val="24"/>
                <w:highlight w:val="none"/>
                <w:u w:val="none" w:color="auto"/>
                <w:lang w:val="en-US" w:eastAsia="zh-CN" w:bidi="ar-SA"/>
              </w:rPr>
              <w:t>，</w:t>
            </w:r>
            <w:r>
              <w:rPr>
                <w:rFonts w:hint="eastAsia" w:cs="Times New Roman"/>
                <w:b w:val="0"/>
                <w:bCs w:val="0"/>
                <w:color w:val="auto"/>
                <w:kern w:val="2"/>
                <w:sz w:val="24"/>
                <w:szCs w:val="24"/>
                <w:highlight w:val="none"/>
                <w:u w:val="none" w:color="auto"/>
                <w:lang w:val="en-US" w:eastAsia="zh-CN" w:bidi="ar-SA"/>
              </w:rPr>
              <w:t>根据</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《挥发性有机物无组织排放控制标准》（GB37822-2019）中进风口控制风速不应低于0.3m/s，本项目取</w:t>
            </w:r>
            <w:r>
              <w:rPr>
                <w:rFonts w:hint="eastAsia" w:cs="Times New Roman"/>
                <w:b w:val="0"/>
                <w:bCs w:val="0"/>
                <w:color w:val="auto"/>
                <w:kern w:val="2"/>
                <w:sz w:val="24"/>
                <w:szCs w:val="24"/>
                <w:highlight w:val="none"/>
                <w:u w:val="none" w:color="auto"/>
                <w:vertAlign w:val="baseline"/>
                <w:lang w:val="en-US" w:eastAsia="zh-CN" w:bidi="ar-SA"/>
              </w:rPr>
              <w:t>0.3</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m/s</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eastAsia" w:cs="Times New Roman"/>
                <w:b w:val="0"/>
                <w:bCs w:val="0"/>
                <w:color w:val="auto"/>
                <w:kern w:val="2"/>
                <w:sz w:val="24"/>
                <w:szCs w:val="24"/>
                <w:highlight w:val="none"/>
                <w:u w:val="none" w:color="auto"/>
                <w:lang w:val="en-US" w:eastAsia="zh-CN" w:bidi="ar-SA"/>
              </w:rPr>
              <w:t>则项目需要的风量为7560m</w:t>
            </w:r>
            <w:r>
              <w:rPr>
                <w:rFonts w:hint="eastAsia" w:cs="Times New Roman"/>
                <w:b w:val="0"/>
                <w:bCs w:val="0"/>
                <w:color w:val="auto"/>
                <w:kern w:val="2"/>
                <w:sz w:val="24"/>
                <w:szCs w:val="24"/>
                <w:highlight w:val="none"/>
                <w:u w:val="none" w:color="auto"/>
                <w:vertAlign w:val="superscript"/>
                <w:lang w:val="en-US" w:eastAsia="zh-CN" w:bidi="ar-SA"/>
              </w:rPr>
              <w:t>3</w:t>
            </w:r>
            <w:r>
              <w:rPr>
                <w:rFonts w:hint="eastAsia" w:cs="Times New Roman"/>
                <w:b w:val="0"/>
                <w:bCs w:val="0"/>
                <w:color w:val="auto"/>
                <w:kern w:val="2"/>
                <w:sz w:val="24"/>
                <w:szCs w:val="24"/>
                <w:highlight w:val="none"/>
                <w:u w:val="none" w:color="auto"/>
                <w:lang w:val="en-US" w:eastAsia="zh-CN" w:bidi="ar-SA"/>
              </w:rPr>
              <w:t>/h，考虑到风量损失1.2倍并取整，即19000m</w:t>
            </w:r>
            <w:r>
              <w:rPr>
                <w:rFonts w:hint="eastAsia" w:cs="Times New Roman"/>
                <w:b w:val="0"/>
                <w:bCs w:val="0"/>
                <w:color w:val="auto"/>
                <w:kern w:val="2"/>
                <w:sz w:val="24"/>
                <w:szCs w:val="24"/>
                <w:highlight w:val="none"/>
                <w:u w:val="none" w:color="auto"/>
                <w:vertAlign w:val="superscript"/>
                <w:lang w:val="en-US" w:eastAsia="zh-CN" w:bidi="ar-SA"/>
              </w:rPr>
              <w:t>3</w:t>
            </w:r>
            <w:r>
              <w:rPr>
                <w:rFonts w:hint="eastAsia" w:cs="Times New Roman"/>
                <w:b w:val="0"/>
                <w:bCs w:val="0"/>
                <w:color w:val="auto"/>
                <w:kern w:val="2"/>
                <w:sz w:val="24"/>
                <w:szCs w:val="24"/>
                <w:highlight w:val="none"/>
                <w:u w:val="none" w:color="auto"/>
                <w:lang w:val="en-US" w:eastAsia="zh-CN" w:bidi="ar-SA"/>
              </w:rPr>
              <w:t>/h，</w:t>
            </w:r>
            <w:r>
              <w:rPr>
                <w:rFonts w:hint="default" w:ascii="Times New Roman" w:hAnsi="Times New Roman" w:eastAsia="宋体" w:cs="Times New Roman"/>
                <w:b w:val="0"/>
                <w:bCs w:val="0"/>
                <w:color w:val="auto"/>
                <w:kern w:val="2"/>
                <w:sz w:val="24"/>
                <w:szCs w:val="24"/>
                <w:highlight w:val="none"/>
                <w:u w:val="none" w:color="auto"/>
                <w:lang w:val="en-US" w:eastAsia="zh-CN" w:bidi="ar-SA"/>
              </w:rPr>
              <w:t>收集的VOC</w:t>
            </w:r>
            <w:r>
              <w:rPr>
                <w:rFonts w:hint="eastAsia" w:cs="Times New Roman"/>
                <w:b w:val="0"/>
                <w:bCs w:val="0"/>
                <w:color w:val="auto"/>
                <w:kern w:val="2"/>
                <w:sz w:val="24"/>
                <w:szCs w:val="24"/>
                <w:highlight w:val="none"/>
                <w:u w:val="none" w:color="auto"/>
                <w:vertAlign w:val="baseline"/>
                <w:lang w:val="en-US" w:eastAsia="zh-CN" w:bidi="ar-SA"/>
              </w:rPr>
              <w:t>s</w:t>
            </w:r>
            <w:r>
              <w:rPr>
                <w:rFonts w:hint="default" w:ascii="Times New Roman" w:hAnsi="Times New Roman" w:eastAsia="宋体" w:cs="Times New Roman"/>
                <w:b w:val="0"/>
                <w:bCs w:val="0"/>
                <w:color w:val="auto"/>
                <w:kern w:val="2"/>
                <w:sz w:val="24"/>
                <w:szCs w:val="24"/>
                <w:highlight w:val="none"/>
                <w:u w:val="none" w:color="auto"/>
                <w:lang w:val="en-US" w:eastAsia="zh-CN" w:bidi="ar-SA"/>
              </w:rPr>
              <w:t>（以非甲烷总烃计）经</w:t>
            </w:r>
            <w:r>
              <w:rPr>
                <w:rFonts w:hint="eastAsia" w:cs="Times New Roman"/>
                <w:b w:val="0"/>
                <w:bCs w:val="0"/>
                <w:color w:val="auto"/>
                <w:kern w:val="2"/>
                <w:sz w:val="24"/>
                <w:szCs w:val="24"/>
                <w:highlight w:val="none"/>
                <w:u w:val="none" w:color="auto"/>
                <w:lang w:val="en-US" w:eastAsia="zh-CN" w:bidi="ar-SA"/>
              </w:rPr>
              <w:t>“吸附、脱附+催化燃烧”</w:t>
            </w:r>
            <w:r>
              <w:rPr>
                <w:rFonts w:hint="default" w:ascii="Times New Roman" w:hAnsi="Times New Roman" w:eastAsia="宋体" w:cs="Times New Roman"/>
                <w:b w:val="0"/>
                <w:bCs w:val="0"/>
                <w:color w:val="auto"/>
                <w:kern w:val="2"/>
                <w:sz w:val="24"/>
                <w:szCs w:val="24"/>
                <w:highlight w:val="none"/>
                <w:u w:val="none" w:color="auto"/>
                <w:lang w:val="en-US" w:eastAsia="zh-CN" w:bidi="ar-SA"/>
              </w:rPr>
              <w:t>处理后（收集效率为</w:t>
            </w:r>
            <w:r>
              <w:rPr>
                <w:rFonts w:hint="eastAsia" w:cs="Times New Roman"/>
                <w:b w:val="0"/>
                <w:bCs w:val="0"/>
                <w:color w:val="auto"/>
                <w:kern w:val="2"/>
                <w:sz w:val="24"/>
                <w:szCs w:val="24"/>
                <w:highlight w:val="none"/>
                <w:u w:val="none" w:color="auto"/>
                <w:lang w:val="en-US" w:eastAsia="zh-CN" w:bidi="ar-SA"/>
              </w:rPr>
              <w:t>以95%计</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eastAsia" w:cs="Times New Roman"/>
                <w:b w:val="0"/>
                <w:bCs w:val="0"/>
                <w:color w:val="auto"/>
                <w:kern w:val="2"/>
                <w:sz w:val="24"/>
                <w:szCs w:val="24"/>
                <w:highlight w:val="none"/>
                <w:u w:val="none" w:color="auto"/>
                <w:lang w:val="en-US" w:eastAsia="zh-CN" w:bidi="ar-SA"/>
              </w:rPr>
              <w:t>整体</w:t>
            </w:r>
            <w:r>
              <w:rPr>
                <w:rFonts w:hint="default" w:ascii="Times New Roman" w:hAnsi="Times New Roman" w:eastAsia="宋体" w:cs="Times New Roman"/>
                <w:b w:val="0"/>
                <w:bCs w:val="0"/>
                <w:color w:val="auto"/>
                <w:kern w:val="2"/>
                <w:sz w:val="24"/>
                <w:szCs w:val="24"/>
                <w:highlight w:val="none"/>
                <w:u w:val="none" w:color="auto"/>
                <w:lang w:val="en-US" w:eastAsia="zh-CN" w:bidi="ar-SA"/>
              </w:rPr>
              <w:t>去除效率按</w:t>
            </w:r>
            <w:r>
              <w:rPr>
                <w:rFonts w:hint="eastAsia" w:cs="Times New Roman"/>
                <w:b w:val="0"/>
                <w:bCs w:val="0"/>
                <w:color w:val="auto"/>
                <w:kern w:val="2"/>
                <w:sz w:val="24"/>
                <w:szCs w:val="24"/>
                <w:highlight w:val="none"/>
                <w:u w:val="none" w:color="auto"/>
                <w:lang w:val="en-US" w:eastAsia="zh-CN" w:bidi="ar-SA"/>
              </w:rPr>
              <w:t>90</w:t>
            </w:r>
            <w:r>
              <w:rPr>
                <w:rFonts w:hint="eastAsia" w:ascii="Times New Roman" w:hAnsi="Times New Roman" w:cs="Times New Roman"/>
                <w:b w:val="0"/>
                <w:bCs w:val="0"/>
                <w:color w:val="auto"/>
                <w:kern w:val="2"/>
                <w:sz w:val="24"/>
                <w:szCs w:val="24"/>
                <w:highlight w:val="none"/>
                <w:u w:val="none" w:color="auto"/>
                <w:lang w:val="en-US" w:eastAsia="zh-CN" w:bidi="ar-SA"/>
              </w:rPr>
              <w:t>%</w:t>
            </w:r>
            <w:r>
              <w:rPr>
                <w:rFonts w:hint="default" w:ascii="Times New Roman" w:hAnsi="Times New Roman" w:eastAsia="宋体" w:cs="Times New Roman"/>
                <w:b w:val="0"/>
                <w:bCs w:val="0"/>
                <w:color w:val="auto"/>
                <w:kern w:val="2"/>
                <w:sz w:val="24"/>
                <w:szCs w:val="24"/>
                <w:highlight w:val="none"/>
                <w:u w:val="none" w:color="auto"/>
                <w:lang w:val="en-US" w:eastAsia="zh-CN" w:bidi="ar-SA"/>
              </w:rPr>
              <w:t>计）经</w:t>
            </w:r>
            <w:r>
              <w:rPr>
                <w:rFonts w:hint="eastAsia" w:cs="Times New Roman"/>
                <w:b w:val="0"/>
                <w:bCs w:val="0"/>
                <w:color w:val="auto"/>
                <w:kern w:val="2"/>
                <w:sz w:val="24"/>
                <w:szCs w:val="24"/>
                <w:highlight w:val="none"/>
                <w:u w:val="none" w:color="auto"/>
                <w:lang w:val="en-US" w:eastAsia="zh-CN" w:bidi="ar-SA"/>
              </w:rPr>
              <w:t>不低于</w:t>
            </w:r>
            <w:r>
              <w:rPr>
                <w:rFonts w:hint="default" w:ascii="Times New Roman" w:hAnsi="Times New Roman" w:eastAsia="宋体" w:cs="Times New Roman"/>
                <w:b w:val="0"/>
                <w:bCs w:val="0"/>
                <w:color w:val="auto"/>
                <w:kern w:val="2"/>
                <w:sz w:val="24"/>
                <w:szCs w:val="24"/>
                <w:highlight w:val="none"/>
                <w:u w:val="none" w:color="auto"/>
                <w:lang w:val="en-US" w:eastAsia="zh-CN" w:bidi="ar-SA"/>
              </w:rPr>
              <w:t>15m高排气筒达标排放（DA00</w:t>
            </w:r>
            <w:r>
              <w:rPr>
                <w:rFonts w:hint="eastAsia" w:ascii="Times New Roman" w:hAnsi="Times New Roman" w:eastAsia="宋体" w:cs="Times New Roman"/>
                <w:b w:val="0"/>
                <w:bCs w:val="0"/>
                <w:color w:val="auto"/>
                <w:kern w:val="2"/>
                <w:sz w:val="24"/>
                <w:szCs w:val="24"/>
                <w:highlight w:val="none"/>
                <w:u w:val="none" w:color="auto"/>
                <w:lang w:val="en-US" w:eastAsia="zh-CN" w:bidi="ar-SA"/>
              </w:rPr>
              <w:t>1</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p>
          <w:p w14:paraId="05178437">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0" w:firstLineChars="192"/>
              <w:jc w:val="both"/>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val="0"/>
                <w:bCs w:val="0"/>
                <w:color w:val="auto"/>
                <w:kern w:val="2"/>
                <w:sz w:val="24"/>
                <w:szCs w:val="24"/>
                <w:highlight w:val="none"/>
                <w:u w:val="none" w:color="auto"/>
                <w:lang w:val="en-US" w:eastAsia="zh-CN" w:bidi="ar-SA"/>
              </w:rPr>
              <w:t>本项目废气污染防治可行技术参考《排污许可证申请与核发技术规范橡胶和塑料制品工业》（HJ1122-2020），项目污染治理设施情况详见下表。</w:t>
            </w:r>
          </w:p>
          <w:p w14:paraId="48EE569B">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有组织废气污染治理设施情况表</w:t>
            </w:r>
          </w:p>
          <w:tbl>
            <w:tblPr>
              <w:tblStyle w:val="27"/>
              <w:tblW w:w="4997" w:type="pct"/>
              <w:jc w:val="center"/>
              <w:tblBorders>
                <w:top w:val="single" w:color="auto" w:sz="2" w:space="0"/>
                <w:left w:val="none" w:color="auto" w:sz="4" w:space="0"/>
                <w:bottom w:val="single" w:color="auto" w:sz="2"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742"/>
              <w:gridCol w:w="2746"/>
              <w:gridCol w:w="1210"/>
              <w:gridCol w:w="992"/>
              <w:gridCol w:w="997"/>
              <w:gridCol w:w="883"/>
            </w:tblGrid>
            <w:tr w14:paraId="37814CFB">
              <w:tblPrEx>
                <w:tblBorders>
                  <w:top w:val="single" w:color="auto" w:sz="2" w:space="0"/>
                  <w:left w:val="none" w:color="auto" w:sz="4" w:space="0"/>
                  <w:bottom w:val="single" w:color="auto" w:sz="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8" w:type="pct"/>
                  <w:tcBorders>
                    <w:top w:val="single" w:color="auto" w:sz="2" w:space="0"/>
                    <w:left w:val="nil"/>
                    <w:bottom w:val="single" w:color="auto" w:sz="4" w:space="0"/>
                    <w:right w:val="single" w:color="auto" w:sz="4" w:space="0"/>
                  </w:tcBorders>
                  <w:noWrap w:val="0"/>
                  <w:vAlign w:val="center"/>
                </w:tcPr>
                <w:p w14:paraId="1417ABC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产污环节</w:t>
                  </w:r>
                </w:p>
              </w:tc>
              <w:tc>
                <w:tcPr>
                  <w:tcW w:w="386" w:type="pct"/>
                  <w:tcBorders>
                    <w:top w:val="single" w:color="auto" w:sz="2" w:space="0"/>
                    <w:left w:val="single" w:color="auto" w:sz="4" w:space="0"/>
                    <w:bottom w:val="single" w:color="auto" w:sz="4" w:space="0"/>
                    <w:right w:val="single" w:color="auto" w:sz="4" w:space="0"/>
                  </w:tcBorders>
                  <w:noWrap w:val="0"/>
                  <w:vAlign w:val="center"/>
                </w:tcPr>
                <w:p w14:paraId="3414E7A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污染物</w:t>
                  </w:r>
                </w:p>
              </w:tc>
              <w:tc>
                <w:tcPr>
                  <w:tcW w:w="1568" w:type="pct"/>
                  <w:tcBorders>
                    <w:top w:val="single" w:color="auto" w:sz="2" w:space="0"/>
                    <w:left w:val="single" w:color="auto" w:sz="4" w:space="0"/>
                    <w:bottom w:val="single" w:color="auto" w:sz="4" w:space="0"/>
                    <w:right w:val="single" w:color="auto" w:sz="4" w:space="0"/>
                  </w:tcBorders>
                  <w:noWrap w:val="0"/>
                  <w:vAlign w:val="center"/>
                </w:tcPr>
                <w:p w14:paraId="2E0D4FC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治理设施</w:t>
                  </w:r>
                </w:p>
              </w:tc>
              <w:tc>
                <w:tcPr>
                  <w:tcW w:w="694" w:type="pct"/>
                  <w:tcBorders>
                    <w:top w:val="single" w:color="auto" w:sz="2" w:space="0"/>
                    <w:left w:val="single" w:color="auto" w:sz="4" w:space="0"/>
                    <w:bottom w:val="single" w:color="auto" w:sz="4" w:space="0"/>
                    <w:right w:val="single" w:color="auto" w:sz="4" w:space="0"/>
                  </w:tcBorders>
                  <w:noWrap w:val="0"/>
                  <w:vAlign w:val="center"/>
                </w:tcPr>
                <w:p w14:paraId="65E43F0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收集效率%</w:t>
                  </w:r>
                </w:p>
              </w:tc>
              <w:tc>
                <w:tcPr>
                  <w:tcW w:w="570" w:type="pct"/>
                  <w:tcBorders>
                    <w:top w:val="single" w:color="auto" w:sz="2" w:space="0"/>
                    <w:left w:val="single" w:color="auto" w:sz="4" w:space="0"/>
                    <w:bottom w:val="single" w:color="auto" w:sz="4" w:space="0"/>
                    <w:right w:val="single" w:color="auto" w:sz="4" w:space="0"/>
                  </w:tcBorders>
                  <w:noWrap w:val="0"/>
                  <w:vAlign w:val="center"/>
                </w:tcPr>
                <w:p w14:paraId="5295982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治理工艺除去率%</w:t>
                  </w:r>
                </w:p>
              </w:tc>
              <w:tc>
                <w:tcPr>
                  <w:tcW w:w="573" w:type="pct"/>
                  <w:tcBorders>
                    <w:top w:val="single" w:color="auto" w:sz="2" w:space="0"/>
                    <w:left w:val="single" w:color="auto" w:sz="4" w:space="0"/>
                    <w:bottom w:val="single" w:color="auto" w:sz="4" w:space="0"/>
                    <w:right w:val="single" w:color="auto" w:sz="4" w:space="0"/>
                  </w:tcBorders>
                  <w:noWrap w:val="0"/>
                  <w:vAlign w:val="center"/>
                </w:tcPr>
                <w:p w14:paraId="63AA781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是否为可行技术</w:t>
                  </w:r>
                </w:p>
              </w:tc>
              <w:tc>
                <w:tcPr>
                  <w:tcW w:w="508" w:type="pct"/>
                  <w:tcBorders>
                    <w:top w:val="single" w:color="auto" w:sz="2" w:space="0"/>
                    <w:left w:val="single" w:color="auto" w:sz="4" w:space="0"/>
                    <w:bottom w:val="single" w:color="auto" w:sz="4" w:space="0"/>
                    <w:right w:val="nil"/>
                  </w:tcBorders>
                  <w:noWrap w:val="0"/>
                  <w:vAlign w:val="center"/>
                </w:tcPr>
                <w:p w14:paraId="50A9F380">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年工作时间</w:t>
                  </w:r>
                </w:p>
              </w:tc>
            </w:tr>
            <w:tr w14:paraId="4AB4A52A">
              <w:tblPrEx>
                <w:tblBorders>
                  <w:top w:val="single" w:color="auto" w:sz="2" w:space="0"/>
                  <w:left w:val="none" w:color="auto" w:sz="4" w:space="0"/>
                  <w:bottom w:val="single" w:color="auto" w:sz="2"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8" w:type="pct"/>
                  <w:tcBorders>
                    <w:top w:val="single" w:color="auto" w:sz="4" w:space="0"/>
                    <w:left w:val="nil"/>
                    <w:right w:val="single" w:color="auto" w:sz="4" w:space="0"/>
                  </w:tcBorders>
                  <w:noWrap w:val="0"/>
                  <w:vAlign w:val="center"/>
                </w:tcPr>
                <w:p w14:paraId="1A5B2DC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kern w:val="0"/>
                      <w:sz w:val="21"/>
                      <w:szCs w:val="21"/>
                      <w:lang w:eastAsia="zh-CN"/>
                    </w:rPr>
                  </w:pPr>
                  <w:r>
                    <w:rPr>
                      <w:rFonts w:hint="eastAsia" w:cs="Times New Roman"/>
                      <w:b w:val="0"/>
                      <w:bCs w:val="0"/>
                      <w:color w:val="auto"/>
                      <w:kern w:val="0"/>
                      <w:sz w:val="21"/>
                      <w:szCs w:val="21"/>
                      <w:lang w:eastAsia="zh-CN"/>
                    </w:rPr>
                    <w:t>挤出（吹膜）、高频复合、粘合、喷码</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38CFD9B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bidi="ar"/>
                    </w:rPr>
                  </w:pPr>
                  <w:r>
                    <w:rPr>
                      <w:rFonts w:hint="eastAsia" w:cs="Times New Roman"/>
                      <w:b w:val="0"/>
                      <w:bCs w:val="0"/>
                      <w:color w:val="auto"/>
                      <w:kern w:val="0"/>
                      <w:sz w:val="21"/>
                      <w:szCs w:val="21"/>
                      <w:highlight w:val="none"/>
                      <w:u w:val="none" w:color="auto"/>
                      <w:lang w:val="en-US" w:eastAsia="zh-CN"/>
                    </w:rPr>
                    <w:t>VOCs</w:t>
                  </w:r>
                </w:p>
              </w:tc>
              <w:tc>
                <w:tcPr>
                  <w:tcW w:w="1568" w:type="pct"/>
                  <w:tcBorders>
                    <w:top w:val="single" w:color="auto" w:sz="4" w:space="0"/>
                    <w:left w:val="single" w:color="auto" w:sz="4" w:space="0"/>
                    <w:right w:val="single" w:color="auto" w:sz="4" w:space="0"/>
                  </w:tcBorders>
                  <w:noWrap w:val="0"/>
                  <w:vAlign w:val="center"/>
                </w:tcPr>
                <w:p w14:paraId="36DB2BA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rPr>
                  </w:pPr>
                  <w:r>
                    <w:rPr>
                      <w:rFonts w:hint="eastAsia" w:cs="Times New Roman"/>
                      <w:b w:val="0"/>
                      <w:bCs w:val="0"/>
                      <w:color w:val="auto"/>
                      <w:kern w:val="0"/>
                      <w:sz w:val="21"/>
                      <w:szCs w:val="21"/>
                      <w:highlight w:val="none"/>
                      <w:lang w:val="en-US" w:eastAsia="zh-CN" w:bidi="ar"/>
                    </w:rPr>
                    <w:t>集气</w:t>
                  </w:r>
                  <w:r>
                    <w:rPr>
                      <w:rFonts w:hint="default" w:ascii="Times New Roman" w:hAnsi="Times New Roman" w:eastAsia="宋体" w:cs="Times New Roman"/>
                      <w:b w:val="0"/>
                      <w:bCs w:val="0"/>
                      <w:color w:val="auto"/>
                      <w:kern w:val="0"/>
                      <w:sz w:val="21"/>
                      <w:szCs w:val="21"/>
                      <w:highlight w:val="none"/>
                      <w:lang w:val="en-US" w:eastAsia="zh-CN" w:bidi="ar"/>
                    </w:rPr>
                    <w:t>罩</w:t>
                  </w:r>
                  <w:r>
                    <w:rPr>
                      <w:rFonts w:hint="eastAsia"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val="en-US" w:eastAsia="zh-CN" w:bidi="ar"/>
                    </w:rPr>
                    <w:t>套“吸附、脱附+催化燃烧”+1根不低于15m高排气筒（DA00</w:t>
                  </w:r>
                  <w:r>
                    <w:rPr>
                      <w:rFonts w:hint="eastAsia"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val="en-US" w:eastAsia="zh-CN" w:bidi="ar"/>
                    </w:rPr>
                    <w:t>）</w:t>
                  </w:r>
                </w:p>
              </w:tc>
              <w:tc>
                <w:tcPr>
                  <w:tcW w:w="694" w:type="pct"/>
                  <w:tcBorders>
                    <w:top w:val="single" w:color="auto" w:sz="4" w:space="0"/>
                    <w:left w:val="single" w:color="auto" w:sz="4" w:space="0"/>
                    <w:bottom w:val="single" w:color="auto" w:sz="4" w:space="0"/>
                    <w:right w:val="single" w:color="auto" w:sz="4" w:space="0"/>
                  </w:tcBorders>
                  <w:noWrap w:val="0"/>
                  <w:vAlign w:val="center"/>
                </w:tcPr>
                <w:p w14:paraId="338EFF5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rPr>
                  </w:pPr>
                  <w:r>
                    <w:rPr>
                      <w:rFonts w:hint="eastAsia" w:cs="Times New Roman"/>
                      <w:b w:val="0"/>
                      <w:bCs w:val="0"/>
                      <w:color w:val="auto"/>
                      <w:kern w:val="0"/>
                      <w:sz w:val="21"/>
                      <w:szCs w:val="21"/>
                      <w:lang w:val="en-US" w:eastAsia="zh-CN" w:bidi="ar"/>
                    </w:rPr>
                    <w:t>95</w:t>
                  </w:r>
                </w:p>
              </w:tc>
              <w:tc>
                <w:tcPr>
                  <w:tcW w:w="570" w:type="pct"/>
                  <w:tcBorders>
                    <w:top w:val="single" w:color="auto" w:sz="4" w:space="0"/>
                    <w:left w:val="single" w:color="auto" w:sz="4" w:space="0"/>
                    <w:bottom w:val="single" w:color="auto" w:sz="4" w:space="0"/>
                    <w:right w:val="single" w:color="auto" w:sz="4" w:space="0"/>
                  </w:tcBorders>
                  <w:noWrap w:val="0"/>
                  <w:vAlign w:val="center"/>
                </w:tcPr>
                <w:p w14:paraId="37C7FEC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lang w:val="en-US"/>
                    </w:rPr>
                  </w:pPr>
                  <w:r>
                    <w:rPr>
                      <w:rFonts w:hint="eastAsia" w:cs="Times New Roman"/>
                      <w:b w:val="0"/>
                      <w:bCs w:val="0"/>
                      <w:color w:val="auto"/>
                      <w:kern w:val="0"/>
                      <w:sz w:val="21"/>
                      <w:szCs w:val="21"/>
                      <w:lang w:val="en-US" w:eastAsia="zh-CN" w:bidi="ar"/>
                    </w:rPr>
                    <w:t>94</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D37D7A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 w:val="0"/>
                      <w:bCs w:val="0"/>
                      <w:color w:val="auto"/>
                      <w:kern w:val="0"/>
                      <w:sz w:val="21"/>
                      <w:szCs w:val="21"/>
                      <w:lang w:val="en-US" w:eastAsia="zh-CN" w:bidi="ar"/>
                    </w:rPr>
                    <w:t>是</w:t>
                  </w:r>
                </w:p>
              </w:tc>
              <w:tc>
                <w:tcPr>
                  <w:tcW w:w="508" w:type="pct"/>
                  <w:tcBorders>
                    <w:top w:val="single" w:color="auto" w:sz="4" w:space="0"/>
                    <w:left w:val="single" w:color="auto" w:sz="4" w:space="0"/>
                    <w:bottom w:val="single" w:color="auto" w:sz="4" w:space="0"/>
                    <w:right w:val="nil"/>
                  </w:tcBorders>
                  <w:noWrap w:val="0"/>
                  <w:vAlign w:val="center"/>
                </w:tcPr>
                <w:p w14:paraId="0C08E47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0"/>
                      <w:sz w:val="21"/>
                      <w:szCs w:val="21"/>
                    </w:rPr>
                  </w:pPr>
                  <w:r>
                    <w:rPr>
                      <w:rFonts w:hint="eastAsia" w:cs="Times New Roman"/>
                      <w:b w:val="0"/>
                      <w:bCs w:val="0"/>
                      <w:color w:val="auto"/>
                      <w:kern w:val="0"/>
                      <w:sz w:val="21"/>
                      <w:szCs w:val="21"/>
                      <w:lang w:val="en-US" w:eastAsia="zh-CN" w:bidi="ar"/>
                    </w:rPr>
                    <w:t>2400</w:t>
                  </w:r>
                  <w:r>
                    <w:rPr>
                      <w:rFonts w:hint="default" w:ascii="Times New Roman" w:hAnsi="Times New Roman" w:eastAsia="宋体" w:cs="Times New Roman"/>
                      <w:b w:val="0"/>
                      <w:bCs w:val="0"/>
                      <w:color w:val="auto"/>
                      <w:kern w:val="0"/>
                      <w:sz w:val="21"/>
                      <w:szCs w:val="21"/>
                      <w:lang w:val="en-US" w:eastAsia="zh-CN" w:bidi="ar"/>
                    </w:rPr>
                    <w:t>h</w:t>
                  </w:r>
                </w:p>
              </w:tc>
            </w:tr>
          </w:tbl>
          <w:p w14:paraId="38E1142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Times New Roman" w:cs="Times New Roman"/>
                <w:color w:val="auto"/>
                <w:lang w:val="en-US" w:eastAsia="zh-CN"/>
              </w:rPr>
            </w:pPr>
            <w:r>
              <w:rPr>
                <w:rFonts w:hint="default" w:ascii="Times New Roman" w:hAnsi="Times New Roman" w:eastAsia="Times New Roman" w:cs="Times New Roman"/>
                <w:b w:val="0"/>
                <w:bCs/>
                <w:color w:val="auto"/>
                <w:sz w:val="24"/>
                <w:highlight w:val="none"/>
                <w:lang w:val="en-US" w:eastAsia="zh-CN"/>
              </w:rPr>
              <w:t>根据《排污许可证申请与核发技术规范</w:t>
            </w:r>
            <w:r>
              <w:rPr>
                <w:rFonts w:hint="eastAsia" w:eastAsia="Times New Roman" w:cs="Times New Roman"/>
                <w:b w:val="0"/>
                <w:bCs/>
                <w:color w:val="auto"/>
                <w:sz w:val="24"/>
                <w:highlight w:val="none"/>
                <w:lang w:val="en-US" w:eastAsia="zh-CN"/>
              </w:rPr>
              <w:t xml:space="preserve"> </w:t>
            </w:r>
            <w:r>
              <w:rPr>
                <w:rFonts w:hint="default" w:ascii="Times New Roman" w:hAnsi="Times New Roman" w:eastAsia="Times New Roman" w:cs="Times New Roman"/>
                <w:b w:val="0"/>
                <w:bCs/>
                <w:color w:val="auto"/>
                <w:sz w:val="24"/>
                <w:highlight w:val="none"/>
                <w:lang w:val="en-US" w:eastAsia="zh-CN"/>
              </w:rPr>
              <w:t>橡胶和塑料制品工业》（HJ1122-2020）中表A</w:t>
            </w:r>
            <w:r>
              <w:rPr>
                <w:rFonts w:hint="eastAsia" w:eastAsia="Times New Roman" w:cs="Times New Roman"/>
                <w:b w:val="0"/>
                <w:bCs/>
                <w:color w:val="auto"/>
                <w:sz w:val="24"/>
                <w:highlight w:val="none"/>
                <w:lang w:val="en-US" w:eastAsia="zh-CN"/>
              </w:rPr>
              <w:t>.</w:t>
            </w:r>
            <w:r>
              <w:rPr>
                <w:rFonts w:hint="default" w:ascii="Times New Roman" w:hAnsi="Times New Roman" w:eastAsia="Times New Roman" w:cs="Times New Roman"/>
                <w:b w:val="0"/>
                <w:bCs/>
                <w:color w:val="auto"/>
                <w:sz w:val="24"/>
                <w:highlight w:val="none"/>
                <w:lang w:val="en-US" w:eastAsia="zh-CN"/>
              </w:rPr>
              <w:t>2塑料制品工业排污单位废气污染防治可行技术参考表，非甲烷总烃治理可行技术为</w:t>
            </w:r>
            <w:r>
              <w:rPr>
                <w:rFonts w:hint="eastAsia" w:eastAsia="Times New Roman" w:cs="Times New Roman"/>
                <w:b w:val="0"/>
                <w:bCs/>
                <w:color w:val="auto"/>
                <w:sz w:val="24"/>
                <w:highlight w:val="none"/>
                <w:lang w:val="en-US" w:eastAsia="zh-CN"/>
              </w:rPr>
              <w:t>“</w:t>
            </w:r>
            <w:r>
              <w:rPr>
                <w:rFonts w:hint="default" w:ascii="Times New Roman" w:hAnsi="Times New Roman" w:eastAsia="Times New Roman" w:cs="Times New Roman"/>
                <w:b w:val="0"/>
                <w:bCs/>
                <w:color w:val="auto"/>
                <w:sz w:val="24"/>
                <w:highlight w:val="none"/>
                <w:lang w:val="en-US" w:eastAsia="zh-CN"/>
              </w:rPr>
              <w:t>喷淋；吸附；吸附浓缩+热力燃烧/催化燃烧”</w:t>
            </w:r>
            <w:r>
              <w:rPr>
                <w:rFonts w:hint="eastAsia" w:eastAsia="Times New Roman" w:cs="Times New Roman"/>
                <w:b w:val="0"/>
                <w:bCs/>
                <w:color w:val="auto"/>
                <w:sz w:val="24"/>
                <w:highlight w:val="none"/>
                <w:lang w:val="en-US" w:eastAsia="zh-CN"/>
              </w:rPr>
              <w:t>，本项目处理设施</w:t>
            </w:r>
            <w:r>
              <w:rPr>
                <w:rFonts w:hint="default" w:ascii="Times New Roman" w:hAnsi="Times New Roman" w:eastAsia="Times New Roman" w:cs="Times New Roman"/>
                <w:b w:val="0"/>
                <w:bCs/>
                <w:color w:val="auto"/>
                <w:sz w:val="24"/>
                <w:highlight w:val="none"/>
                <w:lang w:val="en-US" w:eastAsia="zh-CN"/>
              </w:rPr>
              <w:t>属于可行技术。</w:t>
            </w:r>
          </w:p>
          <w:p w14:paraId="295781C9">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1.1.</w:t>
            </w:r>
            <w:r>
              <w:rPr>
                <w:rFonts w:hint="eastAsia" w:ascii="Times New Roman" w:hAnsi="Times New Roman" w:eastAsia="Times New Roman" w:cs="Times New Roman"/>
                <w:b/>
                <w:bCs w:val="0"/>
                <w:color w:val="auto"/>
                <w:sz w:val="24"/>
                <w:highlight w:val="none"/>
                <w:lang w:val="en-US" w:eastAsia="zh-CN"/>
              </w:rPr>
              <w:t>3废气排放情况</w:t>
            </w:r>
          </w:p>
          <w:p w14:paraId="4A0866B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废气产生及排放情况一览表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7"/>
              <w:gridCol w:w="835"/>
              <w:gridCol w:w="742"/>
              <w:gridCol w:w="741"/>
              <w:gridCol w:w="637"/>
              <w:gridCol w:w="794"/>
              <w:gridCol w:w="794"/>
              <w:gridCol w:w="798"/>
              <w:gridCol w:w="637"/>
              <w:gridCol w:w="794"/>
              <w:gridCol w:w="798"/>
              <w:gridCol w:w="794"/>
            </w:tblGrid>
            <w:tr w14:paraId="491FCF0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242" w:type="pct"/>
                  <w:vMerge w:val="restart"/>
                  <w:tcBorders>
                    <w:tl2br w:val="nil"/>
                    <w:tr2bl w:val="nil"/>
                  </w:tcBorders>
                  <w:noWrap w:val="0"/>
                  <w:vAlign w:val="center"/>
                </w:tcPr>
                <w:p w14:paraId="237241B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类型</w:t>
                  </w:r>
                </w:p>
              </w:tc>
              <w:tc>
                <w:tcPr>
                  <w:tcW w:w="474" w:type="pct"/>
                  <w:vMerge w:val="restart"/>
                  <w:tcBorders>
                    <w:tl2br w:val="nil"/>
                    <w:tr2bl w:val="nil"/>
                  </w:tcBorders>
                  <w:noWrap w:val="0"/>
                  <w:vAlign w:val="center"/>
                </w:tcPr>
                <w:p w14:paraId="41BE72B0">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排气筒编号</w:t>
                  </w:r>
                </w:p>
              </w:tc>
              <w:tc>
                <w:tcPr>
                  <w:tcW w:w="422" w:type="pct"/>
                  <w:vMerge w:val="restart"/>
                  <w:tcBorders>
                    <w:tl2br w:val="nil"/>
                    <w:tr2bl w:val="nil"/>
                  </w:tcBorders>
                  <w:noWrap w:val="0"/>
                  <w:vAlign w:val="center"/>
                </w:tcPr>
                <w:p w14:paraId="0ACF9E3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污染物</w:t>
                  </w:r>
                </w:p>
              </w:tc>
              <w:tc>
                <w:tcPr>
                  <w:tcW w:w="421" w:type="pct"/>
                  <w:vMerge w:val="restart"/>
                  <w:tcBorders>
                    <w:tl2br w:val="nil"/>
                    <w:tr2bl w:val="nil"/>
                  </w:tcBorders>
                  <w:noWrap w:val="0"/>
                  <w:vAlign w:val="center"/>
                </w:tcPr>
                <w:p w14:paraId="2CA134C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风量m</w:t>
                  </w:r>
                  <w:r>
                    <w:rPr>
                      <w:rFonts w:hint="default" w:ascii="Times New Roman" w:hAnsi="Times New Roman" w:eastAsia="宋体" w:cs="Times New Roman"/>
                      <w:b/>
                      <w:bCs/>
                      <w:color w:val="auto"/>
                      <w:kern w:val="0"/>
                      <w:sz w:val="21"/>
                      <w:szCs w:val="21"/>
                      <w:vertAlign w:val="superscript"/>
                      <w:lang w:val="en-US" w:eastAsia="zh-CN" w:bidi="ar"/>
                    </w:rPr>
                    <w:t>3</w:t>
                  </w:r>
                  <w:r>
                    <w:rPr>
                      <w:rFonts w:hint="default" w:ascii="Times New Roman" w:hAnsi="Times New Roman" w:eastAsia="宋体" w:cs="Times New Roman"/>
                      <w:b/>
                      <w:bCs/>
                      <w:color w:val="auto"/>
                      <w:kern w:val="0"/>
                      <w:sz w:val="21"/>
                      <w:szCs w:val="21"/>
                      <w:lang w:val="en-US" w:eastAsia="zh-CN" w:bidi="ar"/>
                    </w:rPr>
                    <w:t>/h</w:t>
                  </w:r>
                </w:p>
              </w:tc>
              <w:tc>
                <w:tcPr>
                  <w:tcW w:w="362" w:type="pct"/>
                  <w:vMerge w:val="restart"/>
                  <w:tcBorders>
                    <w:tl2br w:val="nil"/>
                    <w:tr2bl w:val="nil"/>
                  </w:tcBorders>
                  <w:noWrap w:val="0"/>
                  <w:vAlign w:val="center"/>
                </w:tcPr>
                <w:p w14:paraId="385A2CC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收集效率%</w:t>
                  </w:r>
                </w:p>
              </w:tc>
              <w:tc>
                <w:tcPr>
                  <w:tcW w:w="1357" w:type="pct"/>
                  <w:gridSpan w:val="3"/>
                  <w:tcBorders>
                    <w:tl2br w:val="nil"/>
                    <w:tr2bl w:val="nil"/>
                  </w:tcBorders>
                  <w:noWrap w:val="0"/>
                  <w:vAlign w:val="center"/>
                </w:tcPr>
                <w:p w14:paraId="66BC5B5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收集</w:t>
                  </w:r>
                  <w:r>
                    <w:rPr>
                      <w:rFonts w:hint="eastAsia" w:cs="Times New Roman"/>
                      <w:b/>
                      <w:bCs/>
                      <w:color w:val="auto"/>
                      <w:kern w:val="0"/>
                      <w:sz w:val="21"/>
                      <w:szCs w:val="21"/>
                      <w:lang w:val="en-US" w:eastAsia="zh-CN" w:bidi="ar"/>
                    </w:rPr>
                    <w:t>情况</w:t>
                  </w:r>
                </w:p>
              </w:tc>
              <w:tc>
                <w:tcPr>
                  <w:tcW w:w="362" w:type="pct"/>
                  <w:vMerge w:val="restart"/>
                  <w:tcBorders>
                    <w:tl2br w:val="nil"/>
                    <w:tr2bl w:val="nil"/>
                  </w:tcBorders>
                  <w:noWrap w:val="0"/>
                  <w:vAlign w:val="center"/>
                </w:tcPr>
                <w:p w14:paraId="6A30E78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净化效率%</w:t>
                  </w:r>
                </w:p>
              </w:tc>
              <w:tc>
                <w:tcPr>
                  <w:tcW w:w="1357" w:type="pct"/>
                  <w:gridSpan w:val="3"/>
                  <w:tcBorders>
                    <w:tl2br w:val="nil"/>
                    <w:tr2bl w:val="nil"/>
                  </w:tcBorders>
                  <w:noWrap w:val="0"/>
                  <w:vAlign w:val="center"/>
                </w:tcPr>
                <w:p w14:paraId="48B453A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排放情况</w:t>
                  </w:r>
                </w:p>
              </w:tc>
            </w:tr>
            <w:tr w14:paraId="76A701B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67" w:hRule="atLeast"/>
                <w:jc w:val="center"/>
              </w:trPr>
              <w:tc>
                <w:tcPr>
                  <w:tcW w:w="242" w:type="pct"/>
                  <w:vMerge w:val="continue"/>
                  <w:tcBorders>
                    <w:tl2br w:val="nil"/>
                    <w:tr2bl w:val="nil"/>
                  </w:tcBorders>
                  <w:noWrap w:val="0"/>
                  <w:vAlign w:val="center"/>
                </w:tcPr>
                <w:p w14:paraId="6DCEB288">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74" w:type="pct"/>
                  <w:vMerge w:val="continue"/>
                  <w:tcBorders>
                    <w:tl2br w:val="nil"/>
                    <w:tr2bl w:val="nil"/>
                  </w:tcBorders>
                  <w:noWrap w:val="0"/>
                  <w:vAlign w:val="center"/>
                </w:tcPr>
                <w:p w14:paraId="4D12DF0F">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22" w:type="pct"/>
                  <w:vMerge w:val="continue"/>
                  <w:tcBorders>
                    <w:tl2br w:val="nil"/>
                    <w:tr2bl w:val="nil"/>
                  </w:tcBorders>
                  <w:noWrap w:val="0"/>
                  <w:vAlign w:val="center"/>
                </w:tcPr>
                <w:p w14:paraId="0E7842FB">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21" w:type="pct"/>
                  <w:vMerge w:val="continue"/>
                  <w:tcBorders>
                    <w:tl2br w:val="nil"/>
                    <w:tr2bl w:val="nil"/>
                  </w:tcBorders>
                  <w:noWrap w:val="0"/>
                  <w:vAlign w:val="center"/>
                </w:tcPr>
                <w:p w14:paraId="07A38F39">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362" w:type="pct"/>
                  <w:vMerge w:val="continue"/>
                  <w:tcBorders>
                    <w:tl2br w:val="nil"/>
                    <w:tr2bl w:val="nil"/>
                  </w:tcBorders>
                  <w:noWrap w:val="0"/>
                  <w:vAlign w:val="center"/>
                </w:tcPr>
                <w:p w14:paraId="774BDA16">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color w:val="auto"/>
                      <w:kern w:val="2"/>
                      <w:sz w:val="21"/>
                      <w:szCs w:val="21"/>
                    </w:rPr>
                  </w:pPr>
                </w:p>
              </w:tc>
              <w:tc>
                <w:tcPr>
                  <w:tcW w:w="451" w:type="pct"/>
                  <w:tcBorders>
                    <w:tl2br w:val="nil"/>
                    <w:tr2bl w:val="nil"/>
                  </w:tcBorders>
                  <w:noWrap w:val="0"/>
                  <w:vAlign w:val="center"/>
                </w:tcPr>
                <w:p w14:paraId="0D9F401C">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cs="Times New Roman"/>
                      <w:b/>
                      <w:bCs/>
                      <w:color w:val="auto"/>
                      <w:kern w:val="0"/>
                      <w:sz w:val="21"/>
                      <w:szCs w:val="21"/>
                      <w:lang w:val="en-US" w:eastAsia="zh-CN" w:bidi="ar"/>
                    </w:rPr>
                    <w:t>收集</w:t>
                  </w:r>
                  <w:r>
                    <w:rPr>
                      <w:rFonts w:hint="default" w:ascii="Times New Roman" w:hAnsi="Times New Roman" w:eastAsia="宋体" w:cs="Times New Roman"/>
                      <w:b/>
                      <w:bCs/>
                      <w:color w:val="auto"/>
                      <w:kern w:val="0"/>
                      <w:sz w:val="21"/>
                      <w:szCs w:val="21"/>
                      <w:lang w:val="en-US" w:eastAsia="zh-CN" w:bidi="ar"/>
                    </w:rPr>
                    <w:t>量t/a</w:t>
                  </w:r>
                </w:p>
              </w:tc>
              <w:tc>
                <w:tcPr>
                  <w:tcW w:w="451" w:type="pct"/>
                  <w:tcBorders>
                    <w:tl2br w:val="nil"/>
                    <w:tr2bl w:val="nil"/>
                  </w:tcBorders>
                  <w:noWrap w:val="0"/>
                  <w:vAlign w:val="center"/>
                </w:tcPr>
                <w:p w14:paraId="3EAEF32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bidi="ar"/>
                    </w:rPr>
                  </w:pPr>
                  <w:r>
                    <w:rPr>
                      <w:rFonts w:hint="eastAsia" w:cs="Times New Roman"/>
                      <w:b/>
                      <w:bCs/>
                      <w:color w:val="auto"/>
                      <w:kern w:val="0"/>
                      <w:sz w:val="21"/>
                      <w:szCs w:val="21"/>
                      <w:lang w:val="en-US" w:eastAsia="zh-CN" w:bidi="ar"/>
                    </w:rPr>
                    <w:t>速率</w:t>
                  </w:r>
                  <w:r>
                    <w:rPr>
                      <w:rFonts w:hint="default" w:ascii="Times New Roman" w:hAnsi="Times New Roman" w:eastAsia="宋体" w:cs="Times New Roman"/>
                      <w:b/>
                      <w:bCs/>
                      <w:color w:val="auto"/>
                      <w:kern w:val="0"/>
                      <w:sz w:val="21"/>
                      <w:szCs w:val="21"/>
                      <w:lang w:val="en-US" w:eastAsia="zh-CN" w:bidi="ar"/>
                    </w:rPr>
                    <w:t>kg/h</w:t>
                  </w:r>
                </w:p>
              </w:tc>
              <w:tc>
                <w:tcPr>
                  <w:tcW w:w="453" w:type="pct"/>
                  <w:tcBorders>
                    <w:tl2br w:val="nil"/>
                    <w:tr2bl w:val="nil"/>
                  </w:tcBorders>
                  <w:noWrap w:val="0"/>
                  <w:vAlign w:val="center"/>
                </w:tcPr>
                <w:p w14:paraId="052E765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浓度mg/m</w:t>
                  </w:r>
                  <w:r>
                    <w:rPr>
                      <w:rFonts w:hint="default" w:ascii="Times New Roman" w:hAnsi="Times New Roman" w:eastAsia="宋体" w:cs="Times New Roman"/>
                      <w:b/>
                      <w:bCs/>
                      <w:color w:val="auto"/>
                      <w:kern w:val="0"/>
                      <w:sz w:val="21"/>
                      <w:szCs w:val="21"/>
                      <w:vertAlign w:val="superscript"/>
                      <w:lang w:val="en-US" w:eastAsia="zh-CN" w:bidi="ar"/>
                    </w:rPr>
                    <w:t>3</w:t>
                  </w:r>
                </w:p>
              </w:tc>
              <w:tc>
                <w:tcPr>
                  <w:tcW w:w="362" w:type="pct"/>
                  <w:vMerge w:val="continue"/>
                  <w:tcBorders>
                    <w:tl2br w:val="nil"/>
                    <w:tr2bl w:val="nil"/>
                  </w:tcBorders>
                  <w:noWrap w:val="0"/>
                  <w:vAlign w:val="center"/>
                </w:tcPr>
                <w:p w14:paraId="40D0889A">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宋体" w:cs="Times New Roman"/>
                      <w:b/>
                      <w:bCs/>
                      <w:color w:val="auto"/>
                      <w:kern w:val="2"/>
                      <w:sz w:val="21"/>
                      <w:szCs w:val="21"/>
                    </w:rPr>
                  </w:pPr>
                </w:p>
              </w:tc>
              <w:tc>
                <w:tcPr>
                  <w:tcW w:w="451" w:type="pct"/>
                  <w:tcBorders>
                    <w:tl2br w:val="nil"/>
                    <w:tr2bl w:val="nil"/>
                  </w:tcBorders>
                  <w:noWrap w:val="0"/>
                  <w:vAlign w:val="center"/>
                </w:tcPr>
                <w:p w14:paraId="49055B8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yellow"/>
                    </w:rPr>
                  </w:pPr>
                  <w:r>
                    <w:rPr>
                      <w:rFonts w:hint="default" w:ascii="Times New Roman" w:hAnsi="Times New Roman" w:eastAsia="宋体" w:cs="Times New Roman"/>
                      <w:b/>
                      <w:bCs/>
                      <w:color w:val="auto"/>
                      <w:kern w:val="0"/>
                      <w:sz w:val="21"/>
                      <w:szCs w:val="21"/>
                      <w:lang w:val="en-US" w:eastAsia="zh-CN" w:bidi="ar"/>
                    </w:rPr>
                    <w:t>排放量t/a</w:t>
                  </w:r>
                </w:p>
              </w:tc>
              <w:tc>
                <w:tcPr>
                  <w:tcW w:w="453" w:type="pct"/>
                  <w:tcBorders>
                    <w:tl2br w:val="nil"/>
                    <w:tr2bl w:val="nil"/>
                  </w:tcBorders>
                  <w:noWrap w:val="0"/>
                  <w:vAlign w:val="center"/>
                </w:tcPr>
                <w:p w14:paraId="759FD4F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浓度mg/m</w:t>
                  </w:r>
                  <w:r>
                    <w:rPr>
                      <w:rFonts w:hint="default" w:ascii="Times New Roman" w:hAnsi="Times New Roman" w:eastAsia="宋体" w:cs="Times New Roman"/>
                      <w:b/>
                      <w:bCs/>
                      <w:color w:val="auto"/>
                      <w:kern w:val="0"/>
                      <w:sz w:val="21"/>
                      <w:szCs w:val="21"/>
                      <w:vertAlign w:val="superscript"/>
                      <w:lang w:val="en-US" w:eastAsia="zh-CN" w:bidi="ar"/>
                    </w:rPr>
                    <w:t>3</w:t>
                  </w:r>
                </w:p>
              </w:tc>
              <w:tc>
                <w:tcPr>
                  <w:tcW w:w="451" w:type="pct"/>
                  <w:tcBorders>
                    <w:tl2br w:val="nil"/>
                    <w:tr2bl w:val="nil"/>
                  </w:tcBorders>
                  <w:noWrap w:val="0"/>
                  <w:vAlign w:val="center"/>
                </w:tcPr>
                <w:p w14:paraId="57155C4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速率kg/h</w:t>
                  </w:r>
                </w:p>
              </w:tc>
            </w:tr>
            <w:tr w14:paraId="55A1620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42" w:type="pct"/>
                  <w:tcBorders>
                    <w:tl2br w:val="nil"/>
                    <w:tr2bl w:val="nil"/>
                  </w:tcBorders>
                  <w:noWrap w:val="0"/>
                  <w:vAlign w:val="center"/>
                </w:tcPr>
                <w:p w14:paraId="127B088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有组织废气</w:t>
                  </w:r>
                </w:p>
              </w:tc>
              <w:tc>
                <w:tcPr>
                  <w:tcW w:w="474" w:type="pct"/>
                  <w:tcBorders>
                    <w:tl2br w:val="nil"/>
                    <w:tr2bl w:val="nil"/>
                  </w:tcBorders>
                  <w:noWrap w:val="0"/>
                  <w:vAlign w:val="center"/>
                </w:tcPr>
                <w:p w14:paraId="73C19BF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rPr>
                  </w:pPr>
                  <w:r>
                    <w:rPr>
                      <w:rFonts w:hint="default" w:ascii="Times New Roman" w:hAnsi="Times New Roman" w:eastAsia="宋体" w:cs="Times New Roman"/>
                      <w:b w:val="0"/>
                      <w:bCs w:val="0"/>
                      <w:color w:val="auto"/>
                      <w:kern w:val="0"/>
                      <w:sz w:val="21"/>
                      <w:szCs w:val="21"/>
                      <w:highlight w:val="none"/>
                      <w:u w:val="none" w:color="auto"/>
                      <w:lang w:val="en-US" w:eastAsia="zh-CN" w:bidi="ar"/>
                    </w:rPr>
                    <w:t>DA00</w:t>
                  </w:r>
                  <w:r>
                    <w:rPr>
                      <w:rFonts w:hint="eastAsia" w:ascii="Times New Roman" w:hAnsi="Times New Roman" w:eastAsia="宋体" w:cs="Times New Roman"/>
                      <w:b w:val="0"/>
                      <w:bCs w:val="0"/>
                      <w:color w:val="auto"/>
                      <w:kern w:val="0"/>
                      <w:sz w:val="21"/>
                      <w:szCs w:val="21"/>
                      <w:highlight w:val="none"/>
                      <w:u w:val="none" w:color="auto"/>
                      <w:lang w:val="en-US" w:eastAsia="zh-CN" w:bidi="ar"/>
                    </w:rPr>
                    <w:t>1</w:t>
                  </w:r>
                </w:p>
              </w:tc>
              <w:tc>
                <w:tcPr>
                  <w:tcW w:w="422" w:type="pct"/>
                  <w:tcBorders>
                    <w:tl2br w:val="nil"/>
                    <w:tr2bl w:val="nil"/>
                  </w:tcBorders>
                  <w:noWrap w:val="0"/>
                  <w:vAlign w:val="center"/>
                </w:tcPr>
                <w:p w14:paraId="6DEF5CC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VOCs</w:t>
                  </w:r>
                </w:p>
              </w:tc>
              <w:tc>
                <w:tcPr>
                  <w:tcW w:w="421" w:type="pct"/>
                  <w:tcBorders>
                    <w:tl2br w:val="nil"/>
                    <w:tr2bl w:val="nil"/>
                  </w:tcBorders>
                  <w:noWrap w:val="0"/>
                  <w:vAlign w:val="center"/>
                </w:tcPr>
                <w:p w14:paraId="4F76479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19000</w:t>
                  </w:r>
                </w:p>
              </w:tc>
              <w:tc>
                <w:tcPr>
                  <w:tcW w:w="362" w:type="pct"/>
                  <w:tcBorders>
                    <w:tl2br w:val="nil"/>
                    <w:tr2bl w:val="nil"/>
                  </w:tcBorders>
                  <w:noWrap w:val="0"/>
                  <w:vAlign w:val="center"/>
                </w:tcPr>
                <w:p w14:paraId="7D18DE46">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95</w:t>
                  </w:r>
                </w:p>
              </w:tc>
              <w:tc>
                <w:tcPr>
                  <w:tcW w:w="451" w:type="pct"/>
                  <w:tcBorders>
                    <w:tl2br w:val="nil"/>
                    <w:tr2bl w:val="nil"/>
                  </w:tcBorders>
                  <w:noWrap w:val="0"/>
                  <w:vAlign w:val="center"/>
                </w:tcPr>
                <w:p w14:paraId="2B774823">
                  <w:pPr>
                    <w:keepNext w:val="0"/>
                    <w:keepLines w:val="0"/>
                    <w:pageBreakBefore w:val="0"/>
                    <w:widowControl/>
                    <w:suppressLineNumbers w:val="0"/>
                    <w:kinsoku/>
                    <w:wordWrap/>
                    <w:topLinePunct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6.1916</w:t>
                  </w:r>
                </w:p>
              </w:tc>
              <w:tc>
                <w:tcPr>
                  <w:tcW w:w="451" w:type="pct"/>
                  <w:tcBorders>
                    <w:tl2br w:val="nil"/>
                    <w:tr2bl w:val="nil"/>
                  </w:tcBorders>
                  <w:noWrap w:val="0"/>
                  <w:vAlign w:val="center"/>
                </w:tcPr>
                <w:p w14:paraId="1001EFB0">
                  <w:pPr>
                    <w:keepNext w:val="0"/>
                    <w:keepLines w:val="0"/>
                    <w:pageBreakBefore w:val="0"/>
                    <w:widowControl/>
                    <w:suppressLineNumbers w:val="0"/>
                    <w:kinsoku/>
                    <w:wordWrap/>
                    <w:topLinePunct w:val="0"/>
                    <w:bidi w:val="0"/>
                    <w:adjustRightInd w:val="0"/>
                    <w:snapToGrid w:val="0"/>
                    <w:spacing w:before="0" w:beforeAutospacing="0" w:after="0" w:afterAutospacing="0"/>
                    <w:ind w:left="0" w:leftChars="0" w:right="0" w:rightChars="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2.6059</w:t>
                  </w:r>
                </w:p>
              </w:tc>
              <w:tc>
                <w:tcPr>
                  <w:tcW w:w="453" w:type="pct"/>
                  <w:tcBorders>
                    <w:tl2br w:val="nil"/>
                    <w:tr2bl w:val="nil"/>
                  </w:tcBorders>
                  <w:noWrap w:val="0"/>
                  <w:vAlign w:val="center"/>
                </w:tcPr>
                <w:p w14:paraId="6F3D8D2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135.8</w:t>
                  </w:r>
                </w:p>
              </w:tc>
              <w:tc>
                <w:tcPr>
                  <w:tcW w:w="362" w:type="pct"/>
                  <w:tcBorders>
                    <w:tl2br w:val="nil"/>
                    <w:tr2bl w:val="nil"/>
                  </w:tcBorders>
                  <w:noWrap w:val="0"/>
                  <w:vAlign w:val="center"/>
                </w:tcPr>
                <w:p w14:paraId="4C06597A">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94</w:t>
                  </w:r>
                </w:p>
              </w:tc>
              <w:tc>
                <w:tcPr>
                  <w:tcW w:w="451" w:type="pct"/>
                  <w:tcBorders>
                    <w:tl2br w:val="nil"/>
                    <w:tr2bl w:val="nil"/>
                  </w:tcBorders>
                  <w:noWrap w:val="0"/>
                  <w:vAlign w:val="center"/>
                </w:tcPr>
                <w:p w14:paraId="19B9F77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0.3715</w:t>
                  </w:r>
                </w:p>
              </w:tc>
              <w:tc>
                <w:tcPr>
                  <w:tcW w:w="453" w:type="pct"/>
                  <w:tcBorders>
                    <w:tl2br w:val="nil"/>
                    <w:tr2bl w:val="nil"/>
                  </w:tcBorders>
                  <w:noWrap w:val="0"/>
                  <w:vAlign w:val="center"/>
                </w:tcPr>
                <w:p w14:paraId="0D7910F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8.1</w:t>
                  </w:r>
                </w:p>
              </w:tc>
              <w:tc>
                <w:tcPr>
                  <w:tcW w:w="451" w:type="pct"/>
                  <w:tcBorders>
                    <w:tl2br w:val="nil"/>
                    <w:tr2bl w:val="nil"/>
                  </w:tcBorders>
                  <w:noWrap w:val="0"/>
                  <w:vAlign w:val="center"/>
                </w:tcPr>
                <w:p w14:paraId="6715A05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0.1548</w:t>
                  </w:r>
                </w:p>
              </w:tc>
            </w:tr>
            <w:tr w14:paraId="041F327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42" w:type="pct"/>
                  <w:tcBorders>
                    <w:tl2br w:val="nil"/>
                    <w:tr2bl w:val="nil"/>
                  </w:tcBorders>
                  <w:noWrap w:val="0"/>
                  <w:vAlign w:val="center"/>
                </w:tcPr>
                <w:p w14:paraId="25AF6A2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无组织废气</w:t>
                  </w:r>
                </w:p>
              </w:tc>
              <w:tc>
                <w:tcPr>
                  <w:tcW w:w="474" w:type="pct"/>
                  <w:tcBorders>
                    <w:tl2br w:val="nil"/>
                    <w:tr2bl w:val="nil"/>
                  </w:tcBorders>
                  <w:noWrap w:val="0"/>
                  <w:vAlign w:val="center"/>
                </w:tcPr>
                <w:p w14:paraId="229FCA7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w:t>
                  </w:r>
                </w:p>
              </w:tc>
              <w:tc>
                <w:tcPr>
                  <w:tcW w:w="422" w:type="pct"/>
                  <w:tcBorders>
                    <w:tl2br w:val="nil"/>
                    <w:tr2bl w:val="nil"/>
                  </w:tcBorders>
                  <w:noWrap w:val="0"/>
                  <w:vAlign w:val="center"/>
                </w:tcPr>
                <w:p w14:paraId="6F1A340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rPr>
                    <w:t>VOCs</w:t>
                  </w:r>
                </w:p>
              </w:tc>
              <w:tc>
                <w:tcPr>
                  <w:tcW w:w="421" w:type="pct"/>
                  <w:tcBorders>
                    <w:tl2br w:val="nil"/>
                    <w:tr2bl w:val="nil"/>
                  </w:tcBorders>
                  <w:noWrap w:val="0"/>
                  <w:vAlign w:val="center"/>
                </w:tcPr>
                <w:p w14:paraId="1A8A9E7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w:t>
                  </w:r>
                </w:p>
              </w:tc>
              <w:tc>
                <w:tcPr>
                  <w:tcW w:w="362" w:type="pct"/>
                  <w:tcBorders>
                    <w:tl2br w:val="nil"/>
                    <w:tr2bl w:val="nil"/>
                  </w:tcBorders>
                  <w:noWrap w:val="0"/>
                  <w:vAlign w:val="center"/>
                </w:tcPr>
                <w:p w14:paraId="41C569A5">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bidi="ar"/>
                    </w:rPr>
                  </w:pPr>
                  <w:r>
                    <w:rPr>
                      <w:rFonts w:hint="eastAsia" w:cs="Times New Roman"/>
                      <w:b w:val="0"/>
                      <w:bCs w:val="0"/>
                      <w:color w:val="auto"/>
                      <w:kern w:val="0"/>
                      <w:sz w:val="21"/>
                      <w:szCs w:val="21"/>
                      <w:highlight w:val="none"/>
                      <w:u w:val="none" w:color="auto"/>
                      <w:lang w:val="en-US" w:eastAsia="zh-CN" w:bidi="ar"/>
                    </w:rPr>
                    <w:t>/</w:t>
                  </w:r>
                </w:p>
              </w:tc>
              <w:tc>
                <w:tcPr>
                  <w:tcW w:w="451" w:type="pct"/>
                  <w:tcBorders>
                    <w:tl2br w:val="nil"/>
                    <w:tr2bl w:val="nil"/>
                  </w:tcBorders>
                  <w:noWrap w:val="0"/>
                  <w:vAlign w:val="center"/>
                </w:tcPr>
                <w:p w14:paraId="369A3588">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51" w:type="pct"/>
                  <w:tcBorders>
                    <w:tl2br w:val="nil"/>
                    <w:tr2bl w:val="nil"/>
                  </w:tcBorders>
                  <w:noWrap w:val="0"/>
                  <w:vAlign w:val="center"/>
                </w:tcPr>
                <w:p w14:paraId="62D0CB3B">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eastAsia" w:cs="Times New Roman"/>
                      <w:b w:val="0"/>
                      <w:bCs w:val="0"/>
                      <w:color w:val="auto"/>
                      <w:kern w:val="0"/>
                      <w:sz w:val="21"/>
                      <w:szCs w:val="21"/>
                      <w:highlight w:val="none"/>
                      <w:u w:val="none" w:color="auto"/>
                      <w:lang w:val="en-US" w:eastAsia="zh-CN"/>
                    </w:rPr>
                  </w:pPr>
                </w:p>
              </w:tc>
              <w:tc>
                <w:tcPr>
                  <w:tcW w:w="453" w:type="pct"/>
                  <w:tcBorders>
                    <w:tl2br w:val="nil"/>
                    <w:tr2bl w:val="nil"/>
                  </w:tcBorders>
                  <w:noWrap w:val="0"/>
                  <w:vAlign w:val="center"/>
                </w:tcPr>
                <w:p w14:paraId="33091403">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362" w:type="pct"/>
                  <w:tcBorders>
                    <w:tl2br w:val="nil"/>
                    <w:tr2bl w:val="nil"/>
                  </w:tcBorders>
                  <w:noWrap w:val="0"/>
                  <w:vAlign w:val="center"/>
                </w:tcPr>
                <w:p w14:paraId="7A8A6E8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51" w:type="pct"/>
                  <w:tcBorders>
                    <w:tl2br w:val="nil"/>
                    <w:tr2bl w:val="nil"/>
                  </w:tcBorders>
                  <w:noWrap w:val="0"/>
                  <w:vAlign w:val="center"/>
                </w:tcPr>
                <w:p w14:paraId="2484FBA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0.3259</w:t>
                  </w:r>
                </w:p>
              </w:tc>
              <w:tc>
                <w:tcPr>
                  <w:tcW w:w="453" w:type="pct"/>
                  <w:tcBorders>
                    <w:tl2br w:val="nil"/>
                    <w:tr2bl w:val="nil"/>
                  </w:tcBorders>
                  <w:noWrap w:val="0"/>
                  <w:vAlign w:val="center"/>
                </w:tcPr>
                <w:p w14:paraId="08C0491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w:t>
                  </w:r>
                </w:p>
              </w:tc>
              <w:tc>
                <w:tcPr>
                  <w:tcW w:w="451" w:type="pct"/>
                  <w:tcBorders>
                    <w:tl2br w:val="nil"/>
                    <w:tr2bl w:val="nil"/>
                  </w:tcBorders>
                  <w:noWrap w:val="0"/>
                  <w:vAlign w:val="center"/>
                </w:tcPr>
                <w:p w14:paraId="78DFD3C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textAlignment w:val="center"/>
                    <w:rPr>
                      <w:rFonts w:hint="default" w:cs="Times New Roman"/>
                      <w:b w:val="0"/>
                      <w:bCs w:val="0"/>
                      <w:color w:val="auto"/>
                      <w:kern w:val="0"/>
                      <w:sz w:val="21"/>
                      <w:szCs w:val="21"/>
                      <w:highlight w:val="none"/>
                      <w:u w:val="none" w:color="auto"/>
                      <w:lang w:val="en-US" w:eastAsia="zh-CN"/>
                    </w:rPr>
                  </w:pPr>
                  <w:r>
                    <w:rPr>
                      <w:rFonts w:hint="eastAsia" w:cs="Times New Roman"/>
                      <w:b w:val="0"/>
                      <w:bCs w:val="0"/>
                      <w:color w:val="auto"/>
                      <w:kern w:val="0"/>
                      <w:sz w:val="21"/>
                      <w:szCs w:val="21"/>
                      <w:highlight w:val="none"/>
                      <w:u w:val="none" w:color="auto"/>
                      <w:lang w:val="en-US" w:eastAsia="zh-CN"/>
                    </w:rPr>
                    <w:t>0.1358</w:t>
                  </w:r>
                </w:p>
              </w:tc>
            </w:tr>
          </w:tbl>
          <w:p w14:paraId="1FD9F4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60" w:firstLineChars="192"/>
              <w:jc w:val="both"/>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val="0"/>
                <w:bCs w:val="0"/>
                <w:color w:val="auto"/>
                <w:kern w:val="2"/>
                <w:sz w:val="24"/>
                <w:szCs w:val="24"/>
                <w:highlight w:val="none"/>
                <w:u w:val="none" w:color="auto"/>
                <w:lang w:val="en-US" w:eastAsia="zh-CN" w:bidi="ar-SA"/>
              </w:rPr>
              <w:t>由上表可知，非甲烷总烃有组织排放量</w:t>
            </w:r>
            <w:r>
              <w:rPr>
                <w:rFonts w:hint="eastAsia" w:cs="Times New Roman"/>
                <w:b w:val="0"/>
                <w:bCs w:val="0"/>
                <w:color w:val="auto"/>
                <w:kern w:val="2"/>
                <w:sz w:val="24"/>
                <w:szCs w:val="24"/>
                <w:highlight w:val="none"/>
                <w:u w:val="none" w:color="auto"/>
                <w:lang w:val="en-US" w:eastAsia="zh-CN" w:bidi="ar-SA"/>
              </w:rPr>
              <w:t>为0.3715t</w:t>
            </w:r>
            <w:r>
              <w:rPr>
                <w:rFonts w:hint="default" w:ascii="Times New Roman" w:hAnsi="Times New Roman" w:eastAsia="宋体" w:cs="Times New Roman"/>
                <w:b w:val="0"/>
                <w:bCs w:val="0"/>
                <w:color w:val="auto"/>
                <w:kern w:val="2"/>
                <w:sz w:val="24"/>
                <w:szCs w:val="24"/>
                <w:highlight w:val="none"/>
                <w:u w:val="none" w:color="auto"/>
                <w:lang w:val="en-US" w:eastAsia="zh-CN" w:bidi="ar-SA"/>
              </w:rPr>
              <w:t>/a，无组织排放量</w:t>
            </w:r>
            <w:r>
              <w:rPr>
                <w:rFonts w:hint="eastAsia" w:cs="Times New Roman"/>
                <w:b w:val="0"/>
                <w:bCs w:val="0"/>
                <w:color w:val="auto"/>
                <w:kern w:val="2"/>
                <w:sz w:val="24"/>
                <w:szCs w:val="24"/>
                <w:highlight w:val="none"/>
                <w:u w:val="none" w:color="auto"/>
                <w:lang w:val="en-US" w:eastAsia="zh-CN" w:bidi="ar-SA"/>
              </w:rPr>
              <w:t>0.3259</w:t>
            </w:r>
            <w:r>
              <w:rPr>
                <w:rFonts w:hint="default" w:ascii="Times New Roman" w:hAnsi="Times New Roman" w:eastAsia="宋体" w:cs="Times New Roman"/>
                <w:b w:val="0"/>
                <w:bCs w:val="0"/>
                <w:color w:val="auto"/>
                <w:kern w:val="2"/>
                <w:sz w:val="24"/>
                <w:szCs w:val="24"/>
                <w:highlight w:val="none"/>
                <w:u w:val="none" w:color="auto"/>
                <w:lang w:val="en-US" w:eastAsia="zh-CN" w:bidi="ar-SA"/>
              </w:rPr>
              <w:t>t/a，则非甲烷总烃排放总量为</w:t>
            </w:r>
            <w:r>
              <w:rPr>
                <w:rFonts w:hint="eastAsia" w:cs="Times New Roman"/>
                <w:b w:val="0"/>
                <w:bCs w:val="0"/>
                <w:color w:val="auto"/>
                <w:kern w:val="2"/>
                <w:sz w:val="24"/>
                <w:szCs w:val="24"/>
                <w:highlight w:val="none"/>
                <w:u w:val="none" w:color="auto"/>
                <w:lang w:val="en-US" w:eastAsia="zh-CN" w:bidi="ar-SA"/>
              </w:rPr>
              <w:t>0.6974</w:t>
            </w:r>
            <w:r>
              <w:rPr>
                <w:rFonts w:hint="default" w:ascii="Times New Roman" w:hAnsi="Times New Roman" w:eastAsia="宋体" w:cs="Times New Roman"/>
                <w:b w:val="0"/>
                <w:bCs w:val="0"/>
                <w:color w:val="auto"/>
                <w:kern w:val="2"/>
                <w:sz w:val="24"/>
                <w:szCs w:val="24"/>
                <w:highlight w:val="none"/>
                <w:u w:val="none" w:color="auto"/>
                <w:lang w:val="en-US" w:eastAsia="zh-CN" w:bidi="ar-SA"/>
              </w:rPr>
              <w:t>t/a。</w:t>
            </w:r>
          </w:p>
          <w:p w14:paraId="0D0C7A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en-US" w:eastAsia="zh-CN" w:bidi="ar-SA"/>
              </w:rPr>
              <w:t>有组织废气达标分析</w:t>
            </w:r>
          </w:p>
          <w:p w14:paraId="128E0875">
            <w:pPr>
              <w:pStyle w:val="8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color w:val="auto"/>
                <w:sz w:val="24"/>
                <w:szCs w:val="24"/>
                <w:lang w:val="en-US" w:eastAsia="zh-CN"/>
              </w:rPr>
            </w:pPr>
            <w:r>
              <w:rPr>
                <w:rFonts w:hint="eastAsia" w:cs="Times New Roman"/>
                <w:b w:val="0"/>
                <w:bCs w:val="0"/>
                <w:color w:val="auto"/>
                <w:kern w:val="2"/>
                <w:sz w:val="24"/>
                <w:szCs w:val="24"/>
                <w:highlight w:val="none"/>
                <w:u w:val="none" w:color="auto"/>
                <w:lang w:val="en-US" w:eastAsia="zh-CN" w:bidi="ar-SA"/>
              </w:rPr>
              <w:t>根据上表可知，</w:t>
            </w:r>
            <w:r>
              <w:rPr>
                <w:rFonts w:hint="default" w:ascii="Times New Roman" w:hAnsi="Times New Roman" w:eastAsia="宋体" w:cs="Times New Roman"/>
                <w:b w:val="0"/>
                <w:bCs w:val="0"/>
                <w:color w:val="auto"/>
                <w:kern w:val="2"/>
                <w:sz w:val="24"/>
                <w:szCs w:val="24"/>
                <w:highlight w:val="none"/>
                <w:u w:val="none" w:color="auto"/>
                <w:lang w:val="en-US" w:eastAsia="zh-CN" w:bidi="ar-SA"/>
              </w:rPr>
              <w:t>非甲烷总烃排放浓度</w:t>
            </w:r>
            <w:r>
              <w:rPr>
                <w:rFonts w:hint="eastAsia" w:cs="Times New Roman"/>
                <w:b w:val="0"/>
                <w:bCs w:val="0"/>
                <w:color w:val="auto"/>
                <w:kern w:val="2"/>
                <w:sz w:val="24"/>
                <w:szCs w:val="24"/>
                <w:highlight w:val="none"/>
                <w:u w:val="none" w:color="auto"/>
                <w:lang w:val="en-US" w:eastAsia="zh-CN" w:bidi="ar-SA"/>
              </w:rPr>
              <w:t>为8.1</w:t>
            </w:r>
            <w:r>
              <w:rPr>
                <w:rFonts w:hint="eastAsia" w:cs="Times New Roman"/>
                <w:b w:val="0"/>
                <w:bCs w:val="0"/>
                <w:color w:val="auto"/>
                <w:kern w:val="0"/>
                <w:sz w:val="24"/>
                <w:szCs w:val="24"/>
                <w:highlight w:val="none"/>
                <w:u w:val="none" w:color="auto"/>
                <w:lang w:val="en-US" w:eastAsia="zh-CN"/>
              </w:rPr>
              <w:t>mg/m</w:t>
            </w:r>
            <w:r>
              <w:rPr>
                <w:rFonts w:hint="eastAsia" w:cs="Times New Roman"/>
                <w:b w:val="0"/>
                <w:bCs w:val="0"/>
                <w:color w:val="auto"/>
                <w:kern w:val="0"/>
                <w:sz w:val="24"/>
                <w:szCs w:val="24"/>
                <w:highlight w:val="none"/>
                <w:u w:val="none" w:color="auto"/>
                <w:vertAlign w:val="superscript"/>
                <w:lang w:val="en-US" w:eastAsia="zh-CN"/>
              </w:rPr>
              <w:t>3</w:t>
            </w:r>
            <w:r>
              <w:rPr>
                <w:rFonts w:hint="eastAsia" w:cs="Times New Roman"/>
                <w:b w:val="0"/>
                <w:bCs w:val="0"/>
                <w:color w:val="auto"/>
                <w:kern w:val="0"/>
                <w:sz w:val="24"/>
                <w:szCs w:val="24"/>
                <w:highlight w:val="none"/>
                <w:u w:val="none" w:color="auto"/>
                <w:lang w:val="en-US" w:eastAsia="zh-CN"/>
              </w:rPr>
              <w:t>，能够</w:t>
            </w:r>
            <w:r>
              <w:rPr>
                <w:rFonts w:hint="default" w:ascii="Times New Roman" w:hAnsi="Times New Roman" w:eastAsia="宋体" w:cs="Times New Roman"/>
                <w:b w:val="0"/>
                <w:bCs w:val="0"/>
                <w:color w:val="auto"/>
                <w:kern w:val="2"/>
                <w:sz w:val="24"/>
                <w:szCs w:val="24"/>
                <w:highlight w:val="none"/>
                <w:u w:val="none" w:color="auto"/>
                <w:lang w:val="en-US" w:eastAsia="zh-CN" w:bidi="ar-SA"/>
              </w:rPr>
              <w:t>满足《合成树脂工业污染物排放标准（GB31572-2015）（含2024年修改单版本）》中相关标准限值</w:t>
            </w:r>
            <w:r>
              <w:rPr>
                <w:rFonts w:hint="eastAsia" w:cs="Times New Roman"/>
                <w:b w:val="0"/>
                <w:bCs w:val="0"/>
                <w:color w:val="auto"/>
                <w:kern w:val="2"/>
                <w:sz w:val="24"/>
                <w:szCs w:val="24"/>
                <w:highlight w:val="none"/>
                <w:u w:val="none" w:color="auto"/>
                <w:lang w:val="en-US" w:eastAsia="zh-CN" w:bidi="ar-SA"/>
              </w:rPr>
              <w:t>，同时满足</w:t>
            </w:r>
            <w:r>
              <w:rPr>
                <w:rFonts w:hint="default" w:ascii="Times New Roman" w:hAnsi="Times New Roman" w:eastAsia="宋体" w:cs="Times New Roman"/>
                <w:b w:val="0"/>
                <w:bCs w:val="0"/>
                <w:color w:val="auto"/>
                <w:kern w:val="2"/>
                <w:sz w:val="24"/>
                <w:szCs w:val="24"/>
                <w:highlight w:val="none"/>
                <w:u w:val="none" w:color="auto"/>
                <w:lang w:val="en-US" w:eastAsia="zh-CN" w:bidi="ar-SA"/>
              </w:rPr>
              <w:t>《河南省重污染天气重点行业应急减排措施制定技术指南（2024年版）》中塑料制品企业相关排放限值</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w:t>
            </w:r>
            <w:r>
              <w:rPr>
                <w:rFonts w:hint="eastAsia" w:cs="Times New Roman"/>
                <w:b w:val="0"/>
                <w:bCs w:val="0"/>
                <w:color w:val="auto"/>
                <w:kern w:val="2"/>
                <w:sz w:val="24"/>
                <w:szCs w:val="24"/>
                <w:highlight w:val="none"/>
                <w:u w:val="none" w:color="auto"/>
                <w:vertAlign w:val="baseline"/>
                <w:lang w:val="en-US" w:eastAsia="zh-CN" w:bidi="ar-SA"/>
              </w:rPr>
              <w:t>能够</w:t>
            </w:r>
            <w:r>
              <w:rPr>
                <w:rFonts w:hint="default" w:ascii="Times New Roman" w:hAnsi="Times New Roman" w:eastAsia="宋体" w:cs="Times New Roman"/>
                <w:b w:val="0"/>
                <w:bCs w:val="0"/>
                <w:color w:val="auto"/>
                <w:kern w:val="2"/>
                <w:sz w:val="24"/>
                <w:szCs w:val="24"/>
                <w:highlight w:val="none"/>
                <w:u w:val="none" w:color="auto"/>
                <w:vertAlign w:val="baseline"/>
                <w:lang w:val="en-US" w:eastAsia="zh-CN" w:bidi="ar-SA"/>
              </w:rPr>
              <w:t>达标排放</w:t>
            </w:r>
            <w:r>
              <w:rPr>
                <w:rFonts w:hint="eastAsia" w:cs="Times New Roman"/>
                <w:b w:val="0"/>
                <w:bCs w:val="0"/>
                <w:color w:val="auto"/>
                <w:kern w:val="2"/>
                <w:sz w:val="24"/>
                <w:szCs w:val="24"/>
                <w:highlight w:val="none"/>
                <w:u w:val="none" w:color="auto"/>
                <w:vertAlign w:val="baseline"/>
                <w:lang w:val="en-US" w:eastAsia="zh-CN" w:bidi="ar-SA"/>
              </w:rPr>
              <w:t>；</w:t>
            </w:r>
          </w:p>
          <w:p w14:paraId="383FC1B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cs="Times New Roman"/>
                <w:b/>
                <w:bCs/>
                <w:color w:val="auto"/>
                <w:kern w:val="2"/>
                <w:sz w:val="24"/>
                <w:szCs w:val="24"/>
                <w:lang w:val="en-US" w:eastAsia="zh-CN" w:bidi="ar"/>
              </w:rPr>
              <w:t>无组织</w:t>
            </w:r>
            <w:r>
              <w:rPr>
                <w:rFonts w:hint="default" w:ascii="Times New Roman" w:hAnsi="Times New Roman" w:eastAsia="宋体" w:cs="Times New Roman"/>
                <w:b/>
                <w:bCs/>
                <w:color w:val="auto"/>
                <w:kern w:val="2"/>
                <w:sz w:val="24"/>
                <w:szCs w:val="24"/>
                <w:lang w:val="en-US" w:eastAsia="zh-CN" w:bidi="ar"/>
              </w:rPr>
              <w:t>废气达标分析</w:t>
            </w:r>
          </w:p>
          <w:p w14:paraId="0B50924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Times New Roman" w:cs="Times New Roman"/>
                <w:color w:val="auto"/>
                <w:sz w:val="24"/>
                <w:szCs w:val="24"/>
                <w:highlight w:val="none"/>
                <w:lang w:eastAsia="zh-CN"/>
              </w:rPr>
            </w:pPr>
            <w:r>
              <w:rPr>
                <w:rFonts w:hint="default" w:ascii="Times New Roman" w:hAnsi="Times New Roman" w:eastAsia="Times New Roman" w:cs="Times New Roman"/>
                <w:color w:val="auto"/>
                <w:sz w:val="24"/>
                <w:szCs w:val="24"/>
                <w:highlight w:val="none"/>
                <w:lang w:eastAsia="zh-CN"/>
              </w:rPr>
              <w:t>由</w:t>
            </w:r>
            <w:r>
              <w:rPr>
                <w:rFonts w:hint="eastAsia" w:eastAsia="Times New Roman" w:cs="Times New Roman"/>
                <w:color w:val="auto"/>
                <w:sz w:val="24"/>
                <w:szCs w:val="24"/>
                <w:highlight w:val="none"/>
                <w:lang w:eastAsia="zh-CN"/>
              </w:rPr>
              <w:t>大气</w:t>
            </w:r>
            <w:r>
              <w:rPr>
                <w:rFonts w:hint="eastAsia" w:eastAsia="Times New Roman" w:cs="Times New Roman"/>
                <w:color w:val="auto"/>
                <w:sz w:val="24"/>
                <w:szCs w:val="24"/>
                <w:highlight w:val="none"/>
                <w:lang w:val="en-US" w:eastAsia="zh-CN"/>
              </w:rPr>
              <w:t>EIAProA2018</w:t>
            </w:r>
            <w:r>
              <w:rPr>
                <w:rFonts w:hint="eastAsia" w:eastAsia="Times New Roman" w:cs="Times New Roman"/>
                <w:color w:val="auto"/>
                <w:sz w:val="24"/>
                <w:szCs w:val="24"/>
                <w:highlight w:val="none"/>
                <w:lang w:eastAsia="zh-CN"/>
              </w:rPr>
              <w:t>软件估算</w:t>
            </w:r>
            <w:r>
              <w:rPr>
                <w:rFonts w:hint="default" w:ascii="Times New Roman" w:hAnsi="Times New Roman" w:eastAsia="Times New Roman" w:cs="Times New Roman"/>
                <w:color w:val="auto"/>
                <w:sz w:val="24"/>
                <w:szCs w:val="24"/>
                <w:highlight w:val="none"/>
                <w:lang w:eastAsia="zh-CN"/>
              </w:rPr>
              <w:t>结果可知，无组织非甲烷总烃最大落地浓度</w:t>
            </w:r>
            <w:r>
              <w:rPr>
                <w:rFonts w:hint="eastAsia" w:eastAsia="Times New Roman" w:cs="Times New Roman"/>
                <w:color w:val="auto"/>
                <w:sz w:val="24"/>
                <w:szCs w:val="24"/>
                <w:highlight w:val="none"/>
                <w:lang w:val="en-US" w:eastAsia="zh-CN"/>
              </w:rPr>
              <w:t>1.47</w:t>
            </w:r>
            <w:r>
              <w:rPr>
                <w:rFonts w:hint="default" w:ascii="Times New Roman" w:hAnsi="Times New Roman" w:eastAsia="Times New Roman" w:cs="Times New Roman"/>
                <w:color w:val="auto"/>
                <w:sz w:val="24"/>
                <w:szCs w:val="24"/>
                <w:highlight w:val="none"/>
                <w:lang w:eastAsia="zh-CN"/>
              </w:rPr>
              <w:t>×10</w:t>
            </w:r>
            <w:r>
              <w:rPr>
                <w:rFonts w:hint="default" w:ascii="Times New Roman" w:hAnsi="Times New Roman" w:eastAsia="Times New Roman" w:cs="Times New Roman"/>
                <w:color w:val="auto"/>
                <w:sz w:val="24"/>
                <w:szCs w:val="24"/>
                <w:highlight w:val="none"/>
                <w:vertAlign w:val="superscript"/>
                <w:lang w:eastAsia="zh-CN"/>
              </w:rPr>
              <w:t>-</w:t>
            </w:r>
            <w:r>
              <w:rPr>
                <w:rFonts w:hint="eastAsia" w:eastAsia="Times New Roman" w:cs="Times New Roman"/>
                <w:color w:val="auto"/>
                <w:sz w:val="24"/>
                <w:szCs w:val="24"/>
                <w:highlight w:val="none"/>
                <w:vertAlign w:val="superscript"/>
                <w:lang w:val="en-US" w:eastAsia="zh-CN"/>
              </w:rPr>
              <w:t>3</w:t>
            </w:r>
            <w:r>
              <w:rPr>
                <w:rFonts w:hint="default" w:ascii="Times New Roman" w:hAnsi="Times New Roman" w:eastAsia="Times New Roman" w:cs="Times New Roman"/>
                <w:color w:val="auto"/>
                <w:sz w:val="24"/>
                <w:szCs w:val="24"/>
                <w:highlight w:val="none"/>
                <w:lang w:eastAsia="zh-CN"/>
              </w:rPr>
              <w:t>mg/m</w:t>
            </w:r>
            <w:r>
              <w:rPr>
                <w:rFonts w:hint="default" w:ascii="Times New Roman" w:hAnsi="Times New Roman" w:eastAsia="Times New Roman" w:cs="Times New Roman"/>
                <w:color w:val="auto"/>
                <w:sz w:val="24"/>
                <w:szCs w:val="24"/>
                <w:highlight w:val="none"/>
                <w:vertAlign w:val="superscript"/>
                <w:lang w:eastAsia="zh-CN"/>
              </w:rPr>
              <w:t>3</w:t>
            </w:r>
            <w:r>
              <w:rPr>
                <w:rFonts w:hint="default" w:ascii="Times New Roman" w:hAnsi="Times New Roman" w:eastAsia="Times New Roman" w:cs="Times New Roman"/>
                <w:color w:val="auto"/>
                <w:sz w:val="24"/>
                <w:szCs w:val="24"/>
                <w:highlight w:val="none"/>
                <w:vertAlign w:val="baseline"/>
                <w:lang w:eastAsia="zh-CN"/>
              </w:rPr>
              <w:t>，</w:t>
            </w:r>
            <w:r>
              <w:rPr>
                <w:rFonts w:hint="eastAsia" w:eastAsia="Times New Roman" w:cs="Times New Roman"/>
                <w:color w:val="auto"/>
                <w:sz w:val="24"/>
                <w:szCs w:val="24"/>
                <w:highlight w:val="none"/>
                <w:vertAlign w:val="baseline"/>
                <w:lang w:eastAsia="zh-CN"/>
              </w:rPr>
              <w:t>能够</w:t>
            </w:r>
            <w:r>
              <w:rPr>
                <w:rFonts w:hint="default" w:ascii="Times New Roman" w:hAnsi="Times New Roman" w:eastAsia="Times New Roman" w:cs="Times New Roman"/>
                <w:color w:val="auto"/>
                <w:sz w:val="24"/>
                <w:szCs w:val="24"/>
                <w:highlight w:val="none"/>
                <w:lang w:eastAsia="zh-CN"/>
              </w:rPr>
              <w:t>满足</w:t>
            </w:r>
            <w:r>
              <w:rPr>
                <w:rFonts w:hint="default" w:ascii="Times New Roman" w:hAnsi="Times New Roman" w:eastAsia="宋体" w:cs="Times New Roman"/>
                <w:b w:val="0"/>
                <w:bCs w:val="0"/>
                <w:color w:val="auto"/>
                <w:kern w:val="2"/>
                <w:sz w:val="24"/>
                <w:szCs w:val="24"/>
                <w:highlight w:val="none"/>
                <w:u w:val="none" w:color="auto"/>
                <w:lang w:val="en-US" w:eastAsia="zh-CN" w:bidi="ar-SA"/>
              </w:rPr>
              <w:t>《挥发性有机物无组织排放控制标准》（GB37822-2019）</w:t>
            </w:r>
            <w:r>
              <w:rPr>
                <w:rFonts w:hint="eastAsia" w:cs="Times New Roman"/>
                <w:b w:val="0"/>
                <w:bCs w:val="0"/>
                <w:color w:val="auto"/>
                <w:kern w:val="2"/>
                <w:sz w:val="24"/>
                <w:szCs w:val="24"/>
                <w:highlight w:val="none"/>
                <w:u w:val="none" w:color="auto"/>
                <w:lang w:val="en-US" w:eastAsia="zh-CN" w:bidi="ar-SA"/>
              </w:rPr>
              <w:t>，同时满足</w:t>
            </w:r>
            <w:r>
              <w:rPr>
                <w:rFonts w:hint="default" w:ascii="Times New Roman" w:hAnsi="Times New Roman" w:eastAsia="Times New Roman" w:cs="Times New Roman"/>
                <w:color w:val="auto"/>
                <w:sz w:val="24"/>
                <w:szCs w:val="24"/>
                <w:highlight w:val="none"/>
                <w:lang w:val="en-US" w:eastAsia="zh-CN"/>
              </w:rPr>
              <w:t>《合成树脂工业污染物排放标准（GB31572-2015）（含2024年修改单版本）》中相关标准限值</w:t>
            </w:r>
            <w:r>
              <w:rPr>
                <w:rFonts w:hint="eastAsia" w:eastAsia="Times New Roman" w:cs="Times New Roman"/>
                <w:color w:val="auto"/>
                <w:sz w:val="24"/>
                <w:szCs w:val="24"/>
                <w:highlight w:val="none"/>
                <w:lang w:val="en-US" w:eastAsia="zh-CN"/>
              </w:rPr>
              <w:t>和</w:t>
            </w:r>
            <w:r>
              <w:rPr>
                <w:rFonts w:hint="default" w:ascii="Times New Roman" w:hAnsi="Times New Roman" w:eastAsia="Times New Roman" w:cs="Times New Roman"/>
                <w:color w:val="auto"/>
                <w:sz w:val="24"/>
                <w:szCs w:val="24"/>
                <w:highlight w:val="none"/>
                <w:lang w:eastAsia="zh-CN"/>
              </w:rPr>
              <w:t>《河南省重污染天气重点行业应急减排措施制定技术指南（202</w:t>
            </w:r>
            <w:r>
              <w:rPr>
                <w:rFonts w:hint="default" w:ascii="Times New Roman" w:hAnsi="Times New Roman" w:eastAsia="Times New Roman" w:cs="Times New Roman"/>
                <w:color w:val="auto"/>
                <w:sz w:val="24"/>
                <w:szCs w:val="24"/>
                <w:highlight w:val="none"/>
                <w:lang w:val="en-US" w:eastAsia="zh-CN"/>
              </w:rPr>
              <w:t>4</w:t>
            </w:r>
            <w:r>
              <w:rPr>
                <w:rFonts w:hint="default" w:ascii="Times New Roman" w:hAnsi="Times New Roman" w:eastAsia="Times New Roman" w:cs="Times New Roman"/>
                <w:color w:val="auto"/>
                <w:sz w:val="24"/>
                <w:szCs w:val="24"/>
                <w:highlight w:val="none"/>
                <w:lang w:eastAsia="zh-CN"/>
              </w:rPr>
              <w:t>年版）》中塑料制品行业A级绩效要求。</w:t>
            </w:r>
          </w:p>
          <w:p w14:paraId="535D7DE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jc w:val="both"/>
              <w:rPr>
                <w:rFonts w:hint="eastAsia" w:eastAsia="Times New Roman" w:cs="Times New Roman"/>
                <w:b/>
                <w:bCs/>
                <w:color w:val="auto"/>
                <w:sz w:val="24"/>
                <w:szCs w:val="24"/>
                <w:highlight w:val="none"/>
                <w:lang w:eastAsia="zh-CN"/>
              </w:rPr>
            </w:pPr>
            <w:r>
              <w:rPr>
                <w:rFonts w:hint="eastAsia" w:eastAsia="Times New Roman" w:cs="Times New Roman"/>
                <w:b/>
                <w:bCs/>
                <w:color w:val="auto"/>
                <w:sz w:val="24"/>
                <w:szCs w:val="24"/>
                <w:highlight w:val="none"/>
                <w:lang w:eastAsia="zh-CN"/>
              </w:rPr>
              <w:t>单位产品非甲烷总烃排放量</w:t>
            </w:r>
          </w:p>
          <w:p w14:paraId="56A00DE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本项目</w:t>
            </w:r>
            <w:r>
              <w:rPr>
                <w:rFonts w:hint="default" w:ascii="Times New Roman" w:hAnsi="Times New Roman" w:eastAsia="宋体" w:cs="Times New Roman"/>
                <w:b w:val="0"/>
                <w:bCs w:val="0"/>
                <w:color w:val="auto"/>
                <w:kern w:val="2"/>
                <w:sz w:val="24"/>
                <w:szCs w:val="24"/>
                <w:highlight w:val="none"/>
                <w:u w:val="none" w:color="auto"/>
                <w:lang w:val="en-US" w:eastAsia="zh-CN" w:bidi="ar-SA"/>
              </w:rPr>
              <w:t>非甲烷总烃排放总量为</w:t>
            </w:r>
            <w:r>
              <w:rPr>
                <w:rFonts w:hint="eastAsia" w:cs="Times New Roman"/>
                <w:b w:val="0"/>
                <w:bCs w:val="0"/>
                <w:color w:val="auto"/>
                <w:kern w:val="2"/>
                <w:sz w:val="24"/>
                <w:szCs w:val="24"/>
                <w:highlight w:val="none"/>
                <w:u w:val="none" w:color="auto"/>
                <w:lang w:val="en-US" w:eastAsia="zh-CN" w:bidi="ar-SA"/>
              </w:rPr>
              <w:t>0.6974</w:t>
            </w:r>
            <w:r>
              <w:rPr>
                <w:rFonts w:hint="default" w:ascii="Times New Roman" w:hAnsi="Times New Roman" w:eastAsia="宋体" w:cs="Times New Roman"/>
                <w:b w:val="0"/>
                <w:bCs w:val="0"/>
                <w:color w:val="auto"/>
                <w:kern w:val="2"/>
                <w:sz w:val="24"/>
                <w:szCs w:val="24"/>
                <w:highlight w:val="none"/>
                <w:u w:val="none" w:color="auto"/>
                <w:lang w:val="en-US" w:eastAsia="zh-CN" w:bidi="ar-SA"/>
              </w:rPr>
              <w:t>t/a</w:t>
            </w:r>
            <w:r>
              <w:rPr>
                <w:rFonts w:hint="eastAsia" w:cs="Times New Roman"/>
                <w:b w:val="0"/>
                <w:bCs w:val="0"/>
                <w:color w:val="auto"/>
                <w:kern w:val="2"/>
                <w:sz w:val="24"/>
                <w:szCs w:val="24"/>
                <w:highlight w:val="none"/>
                <w:u w:val="none" w:color="auto"/>
                <w:lang w:val="en-US" w:eastAsia="zh-CN" w:bidi="ar-SA"/>
              </w:rPr>
              <w:t>，产品产量为5618.956t/a，经计算，项目单位产品非甲烷总烃排放量为0.1241kg/t，能够满足《合成树脂工业污染物排放标准（GB31572-2015）（含2024年修改单版本）》中单位产品非甲烷总烃排放量要求。</w:t>
            </w:r>
          </w:p>
          <w:p w14:paraId="7C13CD69">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63" w:firstLineChars="192"/>
              <w:jc w:val="both"/>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1.1.</w:t>
            </w:r>
            <w:r>
              <w:rPr>
                <w:rFonts w:hint="eastAsia" w:cs="Times New Roman"/>
                <w:b/>
                <w:bCs w:val="0"/>
                <w:color w:val="auto"/>
                <w:kern w:val="2"/>
                <w:sz w:val="24"/>
                <w:szCs w:val="24"/>
                <w:highlight w:val="none"/>
                <w:u w:val="none" w:color="auto"/>
                <w:lang w:val="en-US" w:eastAsia="zh-CN" w:bidi="ar-SA"/>
              </w:rPr>
              <w:t>4</w:t>
            </w:r>
            <w:r>
              <w:rPr>
                <w:rFonts w:hint="default" w:ascii="Times New Roman" w:hAnsi="Times New Roman" w:eastAsia="宋体" w:cs="Times New Roman"/>
                <w:b/>
                <w:bCs w:val="0"/>
                <w:color w:val="auto"/>
                <w:kern w:val="2"/>
                <w:sz w:val="24"/>
                <w:szCs w:val="24"/>
                <w:highlight w:val="none"/>
                <w:u w:val="none" w:color="auto"/>
                <w:lang w:val="en-US" w:eastAsia="zh-CN" w:bidi="ar-SA"/>
              </w:rPr>
              <w:t>污染源非正常排放情况</w:t>
            </w:r>
          </w:p>
          <w:p w14:paraId="135A2255">
            <w:pPr>
              <w:keepNext w:val="0"/>
              <w:keepLines w:val="0"/>
              <w:suppressLineNumbers w:val="0"/>
              <w:shd w:val="clear"/>
              <w:tabs>
                <w:tab w:val="left" w:pos="2994"/>
              </w:tabs>
              <w:autoSpaceDE w:val="0"/>
              <w:autoSpaceDN w:val="0"/>
              <w:spacing w:before="0" w:beforeAutospacing="0" w:after="0" w:afterAutospacing="0" w:line="360" w:lineRule="auto"/>
              <w:ind w:left="0" w:right="0" w:firstLine="480" w:firstLineChars="200"/>
              <w:rPr>
                <w:rFonts w:hint="default"/>
                <w:color w:val="auto"/>
                <w:sz w:val="24"/>
                <w:szCs w:val="24"/>
              </w:rPr>
            </w:pPr>
            <w:r>
              <w:rPr>
                <w:rFonts w:hint="eastAsia"/>
                <w:color w:val="auto"/>
                <w:sz w:val="24"/>
                <w:szCs w:val="24"/>
              </w:rPr>
              <w:t>本项目废气非正常排放主要包括污染防治措施故障以及其他不可预知的情况。设备检修一般在停产时进行，不存在污染物排</w:t>
            </w:r>
            <w:r>
              <w:rPr>
                <w:rFonts w:hint="default"/>
                <w:color w:val="auto"/>
                <w:sz w:val="24"/>
                <w:szCs w:val="24"/>
              </w:rPr>
              <w:t>放。类比同类行业，一般情况下每年故障次数不超过1次，故障后现场工人及时发现上报，在1h内可实现紧急停车、排除故障。</w:t>
            </w:r>
          </w:p>
          <w:p w14:paraId="3F4BA4B0">
            <w:pPr>
              <w:keepNext w:val="0"/>
              <w:keepLines w:val="0"/>
              <w:suppressLineNumbers w:val="0"/>
              <w:shd w:val="clear"/>
              <w:tabs>
                <w:tab w:val="left" w:pos="2994"/>
              </w:tabs>
              <w:autoSpaceDE w:val="0"/>
              <w:autoSpaceDN w:val="0"/>
              <w:spacing w:before="0" w:beforeAutospacing="0" w:after="0" w:afterAutospacing="0" w:line="360" w:lineRule="auto"/>
              <w:ind w:left="0" w:right="0" w:firstLine="480" w:firstLineChars="200"/>
              <w:rPr>
                <w:rFonts w:hint="default"/>
                <w:color w:val="auto"/>
                <w:sz w:val="24"/>
                <w:szCs w:val="24"/>
              </w:rPr>
            </w:pPr>
            <w:r>
              <w:rPr>
                <w:rFonts w:hint="default"/>
                <w:color w:val="auto"/>
                <w:sz w:val="24"/>
                <w:szCs w:val="24"/>
              </w:rPr>
              <w:t>本次环评考虑最不利情况下：</w:t>
            </w:r>
            <w:r>
              <w:rPr>
                <w:rFonts w:hint="eastAsia"/>
                <w:color w:val="auto"/>
                <w:sz w:val="24"/>
                <w:szCs w:val="24"/>
                <w:lang w:eastAsia="zh-CN"/>
              </w:rPr>
              <w:t>活性炭</w:t>
            </w:r>
            <w:r>
              <w:rPr>
                <w:rFonts w:hint="eastAsia"/>
                <w:color w:val="auto"/>
                <w:sz w:val="24"/>
                <w:szCs w:val="24"/>
                <w:lang w:val="en-US" w:eastAsia="zh-CN"/>
              </w:rPr>
              <w:t>“</w:t>
            </w:r>
            <w:r>
              <w:rPr>
                <w:rFonts w:hint="eastAsia"/>
                <w:color w:val="auto"/>
                <w:sz w:val="24"/>
                <w:szCs w:val="24"/>
                <w:lang w:eastAsia="zh-CN"/>
              </w:rPr>
              <w:t>吸附、脱附</w:t>
            </w:r>
            <w:r>
              <w:rPr>
                <w:rFonts w:hint="eastAsia"/>
                <w:color w:val="auto"/>
                <w:sz w:val="24"/>
                <w:szCs w:val="24"/>
                <w:lang w:val="en-US" w:eastAsia="zh-CN"/>
              </w:rPr>
              <w:t>+催化燃烧”</w:t>
            </w:r>
            <w:r>
              <w:rPr>
                <w:rFonts w:hint="eastAsia"/>
                <w:color w:val="auto"/>
                <w:sz w:val="24"/>
                <w:szCs w:val="24"/>
                <w:lang w:eastAsia="zh-CN"/>
              </w:rPr>
              <w:t>装置失效</w:t>
            </w:r>
            <w:r>
              <w:rPr>
                <w:rFonts w:hint="default"/>
                <w:color w:val="auto"/>
                <w:sz w:val="24"/>
                <w:szCs w:val="24"/>
              </w:rPr>
              <w:t>废气处理效率按</w:t>
            </w:r>
            <w:r>
              <w:rPr>
                <w:rFonts w:hint="eastAsia"/>
                <w:color w:val="auto"/>
                <w:sz w:val="24"/>
                <w:szCs w:val="24"/>
                <w:lang w:val="en-US" w:eastAsia="zh-CN"/>
              </w:rPr>
              <w:t>5</w:t>
            </w:r>
            <w:r>
              <w:rPr>
                <w:rFonts w:hint="default"/>
                <w:color w:val="auto"/>
                <w:sz w:val="24"/>
                <w:szCs w:val="24"/>
              </w:rPr>
              <w:t>0%计。此情况下</w:t>
            </w:r>
            <w:r>
              <w:rPr>
                <w:rFonts w:hint="eastAsia"/>
                <w:color w:val="auto"/>
                <w:sz w:val="24"/>
                <w:szCs w:val="24"/>
              </w:rPr>
              <w:t>污染物排放情况见下表。</w:t>
            </w:r>
          </w:p>
          <w:p w14:paraId="2DD0168F">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污染源非正常排放情况表</w:t>
            </w:r>
          </w:p>
          <w:tbl>
            <w:tblPr>
              <w:tblStyle w:val="26"/>
              <w:tblW w:w="4992" w:type="pct"/>
              <w:jc w:val="center"/>
              <w:tblBorders>
                <w:top w:val="single" w:color="auto" w:sz="2" w:space="0"/>
                <w:left w:val="none" w:color="auto" w:sz="6" w:space="0"/>
                <w:bottom w:val="single" w:color="auto" w:sz="2" w:space="0"/>
                <w:right w:val="non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53"/>
              <w:gridCol w:w="998"/>
              <w:gridCol w:w="892"/>
              <w:gridCol w:w="1404"/>
              <w:gridCol w:w="1346"/>
              <w:gridCol w:w="1007"/>
              <w:gridCol w:w="861"/>
              <w:gridCol w:w="1216"/>
            </w:tblGrid>
            <w:tr w14:paraId="2AA3A1BF">
              <w:tblPrEx>
                <w:tblBorders>
                  <w:top w:val="single" w:color="auto" w:sz="2" w:space="0"/>
                  <w:left w:val="none" w:color="auto" w:sz="6" w:space="0"/>
                  <w:bottom w:val="single" w:color="auto" w:sz="2" w:space="0"/>
                  <w:right w:val="non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600" w:type="pct"/>
                  <w:tcBorders>
                    <w:top w:val="single" w:color="auto" w:sz="2" w:space="0"/>
                    <w:left w:val="nil"/>
                    <w:bottom w:val="single" w:color="auto" w:sz="6" w:space="0"/>
                    <w:right w:val="single" w:color="auto" w:sz="6" w:space="0"/>
                  </w:tcBorders>
                  <w:noWrap w:val="0"/>
                  <w:vAlign w:val="center"/>
                </w:tcPr>
                <w:p w14:paraId="7F58C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非正常排放源</w:t>
                  </w:r>
                </w:p>
              </w:tc>
              <w:tc>
                <w:tcPr>
                  <w:tcW w:w="568" w:type="pct"/>
                  <w:tcBorders>
                    <w:top w:val="single" w:color="auto" w:sz="2" w:space="0"/>
                    <w:left w:val="single" w:color="auto" w:sz="6" w:space="0"/>
                    <w:bottom w:val="single" w:color="auto" w:sz="6" w:space="0"/>
                    <w:right w:val="single" w:color="auto" w:sz="6" w:space="0"/>
                  </w:tcBorders>
                  <w:noWrap w:val="0"/>
                  <w:vAlign w:val="center"/>
                </w:tcPr>
                <w:p w14:paraId="381A4A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非正常排放原因</w:t>
                  </w:r>
                </w:p>
              </w:tc>
              <w:tc>
                <w:tcPr>
                  <w:tcW w:w="508" w:type="pct"/>
                  <w:tcBorders>
                    <w:top w:val="single" w:color="auto" w:sz="2" w:space="0"/>
                    <w:left w:val="single" w:color="auto" w:sz="6" w:space="0"/>
                    <w:bottom w:val="single" w:color="auto" w:sz="6" w:space="0"/>
                    <w:right w:val="single" w:color="auto" w:sz="6" w:space="0"/>
                  </w:tcBorders>
                  <w:noWrap w:val="0"/>
                  <w:vAlign w:val="center"/>
                </w:tcPr>
                <w:p w14:paraId="49CC2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污染物</w:t>
                  </w:r>
                </w:p>
              </w:tc>
              <w:tc>
                <w:tcPr>
                  <w:tcW w:w="799" w:type="pct"/>
                  <w:tcBorders>
                    <w:top w:val="single" w:color="auto" w:sz="2" w:space="0"/>
                    <w:left w:val="single" w:color="auto" w:sz="6" w:space="0"/>
                    <w:bottom w:val="single" w:color="auto" w:sz="6" w:space="0"/>
                    <w:right w:val="single" w:color="auto" w:sz="6" w:space="0"/>
                  </w:tcBorders>
                  <w:noWrap w:val="0"/>
                  <w:vAlign w:val="center"/>
                </w:tcPr>
                <w:p w14:paraId="6F553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非正常排放浓度/（mg/m</w:t>
                  </w:r>
                  <w:r>
                    <w:rPr>
                      <w:rFonts w:hint="default" w:ascii="Times New Roman" w:hAnsi="Times New Roman" w:eastAsia="宋体" w:cs="Times New Roman"/>
                      <w:b/>
                      <w:bCs/>
                      <w:color w:val="auto"/>
                      <w:kern w:val="2"/>
                      <w:sz w:val="21"/>
                      <w:szCs w:val="21"/>
                      <w:vertAlign w:val="superscript"/>
                      <w:lang w:val="en-US" w:eastAsia="zh-CN" w:bidi="ar"/>
                    </w:rPr>
                    <w:t>3</w:t>
                  </w:r>
                  <w:r>
                    <w:rPr>
                      <w:rFonts w:hint="default" w:ascii="Times New Roman" w:hAnsi="Times New Roman" w:eastAsia="宋体" w:cs="Times New Roman"/>
                      <w:b/>
                      <w:bCs/>
                      <w:color w:val="auto"/>
                      <w:kern w:val="2"/>
                      <w:sz w:val="21"/>
                      <w:szCs w:val="21"/>
                      <w:lang w:val="en-US" w:eastAsia="zh-CN" w:bidi="ar"/>
                    </w:rPr>
                    <w:t>）</w:t>
                  </w:r>
                </w:p>
              </w:tc>
              <w:tc>
                <w:tcPr>
                  <w:tcW w:w="766" w:type="pct"/>
                  <w:tcBorders>
                    <w:top w:val="single" w:color="auto" w:sz="2" w:space="0"/>
                    <w:left w:val="single" w:color="auto" w:sz="6" w:space="0"/>
                    <w:bottom w:val="single" w:color="auto" w:sz="6" w:space="0"/>
                    <w:right w:val="single" w:color="auto" w:sz="6" w:space="0"/>
                  </w:tcBorders>
                  <w:noWrap w:val="0"/>
                  <w:vAlign w:val="center"/>
                </w:tcPr>
                <w:p w14:paraId="719C6A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非正常排放速率/（kg/h）</w:t>
                  </w:r>
                </w:p>
              </w:tc>
              <w:tc>
                <w:tcPr>
                  <w:tcW w:w="573" w:type="pct"/>
                  <w:tcBorders>
                    <w:top w:val="single" w:color="auto" w:sz="2" w:space="0"/>
                    <w:left w:val="single" w:color="auto" w:sz="6" w:space="0"/>
                    <w:bottom w:val="single" w:color="auto" w:sz="6" w:space="0"/>
                    <w:right w:val="single" w:color="auto" w:sz="6" w:space="0"/>
                  </w:tcBorders>
                  <w:noWrap w:val="0"/>
                  <w:vAlign w:val="center"/>
                </w:tcPr>
                <w:p w14:paraId="195D9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单次持续时间/h</w:t>
                  </w:r>
                </w:p>
              </w:tc>
              <w:tc>
                <w:tcPr>
                  <w:tcW w:w="490" w:type="pct"/>
                  <w:tcBorders>
                    <w:top w:val="single" w:color="auto" w:sz="2" w:space="0"/>
                    <w:left w:val="single" w:color="auto" w:sz="6" w:space="0"/>
                    <w:bottom w:val="single" w:color="auto" w:sz="6" w:space="0"/>
                    <w:right w:val="single" w:color="auto" w:sz="6" w:space="0"/>
                  </w:tcBorders>
                  <w:noWrap w:val="0"/>
                  <w:vAlign w:val="center"/>
                </w:tcPr>
                <w:p w14:paraId="614A9C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年发生频次/次</w:t>
                  </w:r>
                </w:p>
              </w:tc>
              <w:tc>
                <w:tcPr>
                  <w:tcW w:w="692" w:type="pct"/>
                  <w:tcBorders>
                    <w:top w:val="single" w:color="auto" w:sz="2" w:space="0"/>
                    <w:left w:val="single" w:color="auto" w:sz="6" w:space="0"/>
                    <w:bottom w:val="single" w:color="auto" w:sz="6" w:space="0"/>
                    <w:right w:val="nil"/>
                  </w:tcBorders>
                  <w:noWrap w:val="0"/>
                  <w:vAlign w:val="center"/>
                </w:tcPr>
                <w:p w14:paraId="3E2AB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应对措施</w:t>
                  </w:r>
                </w:p>
              </w:tc>
            </w:tr>
            <w:tr w14:paraId="7D00482A">
              <w:tblPrEx>
                <w:tblBorders>
                  <w:top w:val="single" w:color="auto" w:sz="2" w:space="0"/>
                  <w:left w:val="none" w:color="auto" w:sz="6" w:space="0"/>
                  <w:bottom w:val="single" w:color="auto" w:sz="2" w:space="0"/>
                  <w:right w:val="non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00" w:type="pct"/>
                  <w:tcBorders>
                    <w:top w:val="single" w:color="auto" w:sz="6" w:space="0"/>
                    <w:left w:val="nil"/>
                    <w:right w:val="single" w:color="auto" w:sz="6" w:space="0"/>
                  </w:tcBorders>
                  <w:noWrap w:val="0"/>
                  <w:vAlign w:val="center"/>
                </w:tcPr>
                <w:p w14:paraId="21DCD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DA00</w:t>
                  </w:r>
                  <w:r>
                    <w:rPr>
                      <w:rFonts w:hint="eastAsia" w:ascii="Times New Roman" w:hAnsi="Times New Roman" w:eastAsia="宋体" w:cs="Times New Roman"/>
                      <w:b w:val="0"/>
                      <w:bCs w:val="0"/>
                      <w:color w:val="auto"/>
                      <w:kern w:val="2"/>
                      <w:sz w:val="21"/>
                      <w:szCs w:val="21"/>
                      <w:highlight w:val="none"/>
                      <w:lang w:val="en-US" w:eastAsia="zh-CN" w:bidi="ar"/>
                    </w:rPr>
                    <w:t>1</w:t>
                  </w:r>
                </w:p>
              </w:tc>
              <w:tc>
                <w:tcPr>
                  <w:tcW w:w="568" w:type="pct"/>
                  <w:tcBorders>
                    <w:top w:val="single" w:color="auto" w:sz="6" w:space="0"/>
                    <w:left w:val="single" w:color="auto" w:sz="6" w:space="0"/>
                    <w:right w:val="single" w:color="auto" w:sz="6" w:space="0"/>
                  </w:tcBorders>
                  <w:noWrap w:val="0"/>
                  <w:vAlign w:val="center"/>
                </w:tcPr>
                <w:p w14:paraId="2D523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废气治理设施故障</w:t>
                  </w:r>
                </w:p>
              </w:tc>
              <w:tc>
                <w:tcPr>
                  <w:tcW w:w="508" w:type="pct"/>
                  <w:tcBorders>
                    <w:top w:val="single" w:color="auto" w:sz="6" w:space="0"/>
                    <w:left w:val="single" w:color="auto" w:sz="6" w:space="0"/>
                    <w:bottom w:val="single" w:color="auto" w:sz="6" w:space="0"/>
                    <w:right w:val="single" w:color="auto" w:sz="6" w:space="0"/>
                  </w:tcBorders>
                  <w:noWrap w:val="0"/>
                  <w:vAlign w:val="center"/>
                </w:tcPr>
                <w:p w14:paraId="7D006A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非甲烷总烃</w:t>
                  </w:r>
                </w:p>
              </w:tc>
              <w:tc>
                <w:tcPr>
                  <w:tcW w:w="799" w:type="pct"/>
                  <w:tcBorders>
                    <w:top w:val="single" w:color="auto" w:sz="6" w:space="0"/>
                    <w:left w:val="single" w:color="auto" w:sz="6" w:space="0"/>
                    <w:bottom w:val="single" w:color="auto" w:sz="6" w:space="0"/>
                    <w:right w:val="single" w:color="auto" w:sz="6" w:space="0"/>
                  </w:tcBorders>
                  <w:noWrap w:val="0"/>
                  <w:vAlign w:val="center"/>
                </w:tcPr>
                <w:p w14:paraId="0372C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lang w:val="en-US" w:eastAsia="zh-CN"/>
                    </w:rPr>
                  </w:pPr>
                  <w:r>
                    <w:rPr>
                      <w:rFonts w:hint="eastAsia" w:cs="Times New Roman"/>
                      <w:b w:val="0"/>
                      <w:bCs w:val="0"/>
                      <w:color w:val="auto"/>
                      <w:kern w:val="2"/>
                      <w:sz w:val="21"/>
                      <w:szCs w:val="21"/>
                      <w:lang w:val="en-US" w:eastAsia="zh-CN"/>
                    </w:rPr>
                    <w:t>67.9</w:t>
                  </w:r>
                </w:p>
              </w:tc>
              <w:tc>
                <w:tcPr>
                  <w:tcW w:w="766" w:type="pct"/>
                  <w:tcBorders>
                    <w:top w:val="single" w:color="auto" w:sz="6" w:space="0"/>
                    <w:left w:val="single" w:color="auto" w:sz="6" w:space="0"/>
                    <w:bottom w:val="single" w:color="auto" w:sz="6" w:space="0"/>
                    <w:right w:val="single" w:color="auto" w:sz="6" w:space="0"/>
                  </w:tcBorders>
                  <w:noWrap w:val="0"/>
                  <w:vAlign w:val="center"/>
                </w:tcPr>
                <w:p w14:paraId="2A467D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2"/>
                      <w:sz w:val="21"/>
                      <w:szCs w:val="21"/>
                      <w:u w:val="none"/>
                      <w:lang w:val="en-US" w:eastAsia="zh-CN" w:bidi="ar-SA"/>
                    </w:rPr>
                    <w:t>1.2899</w:t>
                  </w:r>
                </w:p>
              </w:tc>
              <w:tc>
                <w:tcPr>
                  <w:tcW w:w="573" w:type="pct"/>
                  <w:tcBorders>
                    <w:top w:val="single" w:color="auto" w:sz="6" w:space="0"/>
                    <w:left w:val="single" w:color="auto" w:sz="6" w:space="0"/>
                    <w:right w:val="single" w:color="auto" w:sz="6" w:space="0"/>
                  </w:tcBorders>
                  <w:noWrap w:val="0"/>
                  <w:vAlign w:val="center"/>
                </w:tcPr>
                <w:p w14:paraId="0F956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1</w:t>
                  </w:r>
                </w:p>
              </w:tc>
              <w:tc>
                <w:tcPr>
                  <w:tcW w:w="490" w:type="pct"/>
                  <w:tcBorders>
                    <w:top w:val="single" w:color="auto" w:sz="6" w:space="0"/>
                    <w:left w:val="single" w:color="auto" w:sz="6" w:space="0"/>
                    <w:right w:val="single" w:color="auto" w:sz="6" w:space="0"/>
                  </w:tcBorders>
                  <w:noWrap w:val="0"/>
                  <w:vAlign w:val="center"/>
                </w:tcPr>
                <w:p w14:paraId="087C40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1</w:t>
                  </w:r>
                </w:p>
              </w:tc>
              <w:tc>
                <w:tcPr>
                  <w:tcW w:w="692" w:type="pct"/>
                  <w:tcBorders>
                    <w:top w:val="single" w:color="auto" w:sz="6" w:space="0"/>
                    <w:left w:val="single" w:color="auto" w:sz="6" w:space="0"/>
                    <w:right w:val="nil"/>
                  </w:tcBorders>
                  <w:noWrap w:val="0"/>
                  <w:vAlign w:val="center"/>
                </w:tcPr>
                <w:p w14:paraId="7F4B2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立即停止生产进行检修</w:t>
                  </w:r>
                </w:p>
              </w:tc>
            </w:tr>
          </w:tbl>
          <w:p w14:paraId="5FD391CB">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1.1.</w:t>
            </w:r>
            <w:r>
              <w:rPr>
                <w:rFonts w:hint="eastAsia" w:cs="Times New Roman"/>
                <w:b/>
                <w:bCs w:val="0"/>
                <w:color w:val="auto"/>
                <w:kern w:val="2"/>
                <w:sz w:val="24"/>
                <w:szCs w:val="24"/>
                <w:highlight w:val="none"/>
                <w:u w:val="none" w:color="auto"/>
                <w:lang w:val="en-US" w:eastAsia="zh-CN" w:bidi="ar-SA"/>
              </w:rPr>
              <w:t>6</w:t>
            </w:r>
            <w:r>
              <w:rPr>
                <w:rFonts w:hint="default" w:ascii="Times New Roman" w:hAnsi="Times New Roman" w:eastAsia="宋体" w:cs="Times New Roman"/>
                <w:b/>
                <w:bCs w:val="0"/>
                <w:color w:val="auto"/>
                <w:kern w:val="2"/>
                <w:sz w:val="24"/>
                <w:szCs w:val="24"/>
                <w:highlight w:val="none"/>
                <w:u w:val="none" w:color="auto"/>
                <w:lang w:val="en-US" w:eastAsia="zh-CN" w:bidi="ar-SA"/>
              </w:rPr>
              <w:t>自行监测计划</w:t>
            </w:r>
          </w:p>
          <w:p w14:paraId="2379BC1A">
            <w:pPr>
              <w:keepNext w:val="0"/>
              <w:keepLines w:val="0"/>
              <w:pageBreakBefore w:val="0"/>
              <w:widowControl w:val="0"/>
              <w:suppressLineNumbers w:val="0"/>
              <w:tabs>
                <w:tab w:val="left" w:pos="2994"/>
              </w:tabs>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color w:val="auto"/>
                <w:sz w:val="24"/>
                <w:szCs w:val="24"/>
                <w:highlight w:val="none"/>
              </w:rPr>
              <w:t>根据</w:t>
            </w:r>
            <w:r>
              <w:rPr>
                <w:rFonts w:hint="eastAsia"/>
                <w:color w:val="auto"/>
                <w:sz w:val="24"/>
                <w:szCs w:val="24"/>
                <w:highlight w:val="none"/>
                <w:lang w:eastAsia="zh-CN"/>
              </w:rPr>
              <w:t>《排污许可证申请与核发技术规范</w:t>
            </w:r>
            <w:r>
              <w:rPr>
                <w:rFonts w:hint="eastAsia"/>
                <w:color w:val="auto"/>
                <w:sz w:val="24"/>
                <w:szCs w:val="24"/>
                <w:highlight w:val="none"/>
                <w:lang w:val="en-US" w:eastAsia="zh-CN"/>
              </w:rPr>
              <w:t xml:space="preserve"> </w:t>
            </w:r>
            <w:r>
              <w:rPr>
                <w:rFonts w:hint="eastAsia"/>
                <w:color w:val="auto"/>
                <w:sz w:val="24"/>
                <w:szCs w:val="24"/>
                <w:highlight w:val="none"/>
                <w:lang w:eastAsia="zh-CN"/>
              </w:rPr>
              <w:t>橡胶和塑料制品工业》（HJ</w:t>
            </w:r>
            <w:r>
              <w:rPr>
                <w:rFonts w:hint="eastAsia"/>
                <w:color w:val="auto"/>
                <w:sz w:val="24"/>
                <w:szCs w:val="24"/>
                <w:highlight w:val="none"/>
                <w:lang w:val="en-US" w:eastAsia="zh-CN"/>
              </w:rPr>
              <w:t>1122</w:t>
            </w:r>
            <w:r>
              <w:rPr>
                <w:rFonts w:hint="eastAsia"/>
                <w:color w:val="auto"/>
                <w:sz w:val="24"/>
                <w:szCs w:val="24"/>
                <w:highlight w:val="none"/>
                <w:lang w:eastAsia="zh-CN"/>
              </w:rPr>
              <w:t>-20</w:t>
            </w:r>
            <w:r>
              <w:rPr>
                <w:rFonts w:hint="eastAsia"/>
                <w:color w:val="auto"/>
                <w:sz w:val="24"/>
                <w:szCs w:val="24"/>
                <w:highlight w:val="none"/>
                <w:lang w:val="en-US" w:eastAsia="zh-CN"/>
              </w:rPr>
              <w:t>20</w:t>
            </w:r>
            <w:r>
              <w:rPr>
                <w:rFonts w:hint="eastAsia"/>
                <w:color w:val="auto"/>
                <w:sz w:val="24"/>
                <w:szCs w:val="24"/>
                <w:highlight w:val="none"/>
                <w:lang w:eastAsia="zh-CN"/>
              </w:rPr>
              <w:t>）</w:t>
            </w:r>
            <w:r>
              <w:rPr>
                <w:rFonts w:hint="default"/>
                <w:color w:val="auto"/>
                <w:sz w:val="24"/>
                <w:szCs w:val="24"/>
                <w:highlight w:val="none"/>
              </w:rPr>
              <w:t>的要求，本项目大气污染物需制定自行监测计划，按照</w:t>
            </w:r>
            <w:r>
              <w:rPr>
                <w:rFonts w:hint="eastAsia"/>
                <w:color w:val="auto"/>
                <w:sz w:val="24"/>
                <w:szCs w:val="24"/>
                <w:highlight w:val="none"/>
                <w:lang w:eastAsia="zh-CN"/>
              </w:rPr>
              <w:t>《排污单位自行监测技术指南</w:t>
            </w:r>
            <w:r>
              <w:rPr>
                <w:rFonts w:hint="eastAsia"/>
                <w:color w:val="auto"/>
                <w:sz w:val="24"/>
                <w:szCs w:val="24"/>
                <w:highlight w:val="none"/>
                <w:lang w:val="en-US" w:eastAsia="zh-CN"/>
              </w:rPr>
              <w:t xml:space="preserve"> </w:t>
            </w:r>
            <w:r>
              <w:rPr>
                <w:rFonts w:hint="eastAsia"/>
                <w:color w:val="auto"/>
                <w:sz w:val="24"/>
                <w:szCs w:val="24"/>
                <w:highlight w:val="none"/>
                <w:lang w:eastAsia="zh-CN"/>
              </w:rPr>
              <w:t>橡胶和塑料制品》（HJ12</w:t>
            </w:r>
            <w:r>
              <w:rPr>
                <w:rFonts w:hint="eastAsia"/>
                <w:color w:val="auto"/>
                <w:sz w:val="24"/>
                <w:szCs w:val="24"/>
                <w:highlight w:val="none"/>
                <w:lang w:val="en-US" w:eastAsia="zh-CN"/>
              </w:rPr>
              <w:t>07</w:t>
            </w:r>
            <w:r>
              <w:rPr>
                <w:rFonts w:hint="eastAsia"/>
                <w:color w:val="auto"/>
                <w:sz w:val="24"/>
                <w:szCs w:val="24"/>
                <w:highlight w:val="none"/>
                <w:lang w:eastAsia="zh-CN"/>
              </w:rPr>
              <w:t>-202</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default"/>
                <w:color w:val="auto"/>
                <w:sz w:val="24"/>
                <w:szCs w:val="24"/>
                <w:highlight w:val="none"/>
              </w:rPr>
              <w:t>的要求，本项目自行监测计划见下表。</w:t>
            </w:r>
          </w:p>
          <w:p w14:paraId="41E86BAC">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val="0"/>
                <w:color w:val="auto"/>
                <w:kern w:val="2"/>
                <w:sz w:val="24"/>
                <w:szCs w:val="24"/>
                <w:highlight w:val="none"/>
                <w:u w:val="none" w:color="auto"/>
                <w:lang w:val="en-US" w:eastAsia="zh-CN" w:bidi="ar-SA"/>
              </w:rPr>
            </w:pPr>
            <w:r>
              <w:rPr>
                <w:rFonts w:hint="default" w:ascii="Times New Roman" w:hAnsi="Times New Roman" w:eastAsia="宋体" w:cs="Times New Roman"/>
                <w:b/>
                <w:bCs w:val="0"/>
                <w:color w:val="auto"/>
                <w:kern w:val="2"/>
                <w:sz w:val="24"/>
                <w:szCs w:val="24"/>
                <w:highlight w:val="none"/>
                <w:u w:val="none" w:color="auto"/>
                <w:lang w:val="en-US" w:eastAsia="zh-CN" w:bidi="ar-SA"/>
              </w:rPr>
              <w:t>废气自行监测计划</w:t>
            </w:r>
          </w:p>
          <w:tbl>
            <w:tblPr>
              <w:tblStyle w:val="26"/>
              <w:tblW w:w="4992"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182"/>
              <w:gridCol w:w="1017"/>
              <w:gridCol w:w="5569"/>
            </w:tblGrid>
            <w:tr w14:paraId="13DBA284">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5" w:type="pct"/>
                  <w:tcBorders>
                    <w:top w:val="single" w:color="auto" w:sz="4" w:space="0"/>
                    <w:left w:val="nil"/>
                    <w:bottom w:val="single" w:color="auto" w:sz="4" w:space="0"/>
                    <w:right w:val="single" w:color="auto" w:sz="4" w:space="0"/>
                  </w:tcBorders>
                  <w:noWrap w:val="0"/>
                  <w:vAlign w:val="center"/>
                </w:tcPr>
                <w:p w14:paraId="3B065D68">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监测点位</w:t>
                  </w:r>
                </w:p>
              </w:tc>
              <w:tc>
                <w:tcPr>
                  <w:tcW w:w="673" w:type="pct"/>
                  <w:tcBorders>
                    <w:top w:val="single" w:color="auto" w:sz="4" w:space="0"/>
                    <w:left w:val="nil"/>
                    <w:bottom w:val="single" w:color="auto" w:sz="4" w:space="0"/>
                    <w:right w:val="single" w:color="auto" w:sz="4" w:space="0"/>
                  </w:tcBorders>
                  <w:noWrap w:val="0"/>
                  <w:vAlign w:val="center"/>
                </w:tcPr>
                <w:p w14:paraId="345696E5">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监测因子</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3AFE847">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default" w:ascii="Times New Roman" w:hAnsi="Times New Roman" w:eastAsia="宋体" w:cs="Times New Roman"/>
                      <w:b/>
                      <w:bCs w:val="0"/>
                      <w:color w:val="auto"/>
                      <w:kern w:val="2"/>
                      <w:sz w:val="21"/>
                      <w:szCs w:val="21"/>
                      <w:lang w:val="en-US" w:eastAsia="zh-CN" w:bidi="ar"/>
                    </w:rPr>
                  </w:pPr>
                  <w:r>
                    <w:rPr>
                      <w:rFonts w:hint="default"/>
                      <w:b/>
                      <w:bCs/>
                      <w:color w:val="auto"/>
                    </w:rPr>
                    <w:t>监测频次</w:t>
                  </w:r>
                </w:p>
              </w:tc>
              <w:tc>
                <w:tcPr>
                  <w:tcW w:w="3172" w:type="pct"/>
                  <w:tcBorders>
                    <w:top w:val="single" w:color="auto" w:sz="4" w:space="0"/>
                    <w:left w:val="single" w:color="auto" w:sz="4" w:space="0"/>
                    <w:bottom w:val="single" w:color="auto" w:sz="4" w:space="0"/>
                    <w:right w:val="nil"/>
                  </w:tcBorders>
                  <w:noWrap w:val="0"/>
                  <w:vAlign w:val="center"/>
                </w:tcPr>
                <w:p w14:paraId="57E288E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执行标准</w:t>
                  </w:r>
                </w:p>
              </w:tc>
            </w:tr>
            <w:tr w14:paraId="34BA4F4B">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575" w:type="pct"/>
                  <w:tcBorders>
                    <w:top w:val="single" w:color="auto" w:sz="4" w:space="0"/>
                    <w:left w:val="nil"/>
                    <w:right w:val="single" w:color="auto" w:sz="4" w:space="0"/>
                  </w:tcBorders>
                  <w:noWrap w:val="0"/>
                  <w:vAlign w:val="center"/>
                </w:tcPr>
                <w:p w14:paraId="6503ABA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yellow"/>
                      <w:lang w:val="en-US" w:eastAsia="zh-CN" w:bidi="ar"/>
                    </w:rPr>
                  </w:pPr>
                  <w:r>
                    <w:rPr>
                      <w:rFonts w:hint="default" w:ascii="Times New Roman" w:hAnsi="Times New Roman" w:eastAsia="宋体" w:cs="Times New Roman"/>
                      <w:color w:val="auto"/>
                      <w:kern w:val="2"/>
                      <w:sz w:val="21"/>
                      <w:szCs w:val="21"/>
                      <w:highlight w:val="none"/>
                      <w:lang w:val="en-US" w:eastAsia="zh-CN" w:bidi="ar"/>
                    </w:rPr>
                    <w:t>DA00</w:t>
                  </w:r>
                  <w:r>
                    <w:rPr>
                      <w:rFonts w:hint="eastAsia" w:ascii="Times New Roman" w:hAnsi="Times New Roman" w:eastAsia="宋体" w:cs="Times New Roman"/>
                      <w:color w:val="auto"/>
                      <w:kern w:val="2"/>
                      <w:sz w:val="21"/>
                      <w:szCs w:val="21"/>
                      <w:highlight w:val="none"/>
                      <w:lang w:val="en-US" w:eastAsia="zh-CN" w:bidi="ar"/>
                    </w:rPr>
                    <w:t>1</w:t>
                  </w:r>
                </w:p>
              </w:tc>
              <w:tc>
                <w:tcPr>
                  <w:tcW w:w="673" w:type="pct"/>
                  <w:tcBorders>
                    <w:top w:val="single" w:color="auto" w:sz="4" w:space="0"/>
                    <w:left w:val="nil"/>
                    <w:bottom w:val="single" w:color="auto" w:sz="4" w:space="0"/>
                    <w:right w:val="single" w:color="auto" w:sz="4" w:space="0"/>
                  </w:tcBorders>
                  <w:noWrap w:val="0"/>
                  <w:vAlign w:val="center"/>
                </w:tcPr>
                <w:p w14:paraId="43811DEA">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lang w:val="en-US" w:eastAsia="zh-CN" w:bidi="ar"/>
                    </w:rPr>
                  </w:pPr>
                  <w:r>
                    <w:rPr>
                      <w:rFonts w:hint="eastAsia" w:cs="Times New Roman"/>
                      <w:b w:val="0"/>
                      <w:bCs/>
                      <w:color w:val="auto"/>
                      <w:kern w:val="2"/>
                      <w:sz w:val="21"/>
                      <w:szCs w:val="21"/>
                      <w:highlight w:val="none"/>
                      <w:lang w:val="en-US" w:eastAsia="zh-CN" w:bidi="ar"/>
                    </w:rPr>
                    <w:t>非甲烷总烃</w:t>
                  </w:r>
                </w:p>
              </w:tc>
              <w:tc>
                <w:tcPr>
                  <w:tcW w:w="579" w:type="pct"/>
                  <w:tcBorders>
                    <w:left w:val="single" w:color="auto" w:sz="4" w:space="0"/>
                    <w:bottom w:val="single" w:color="auto" w:sz="4" w:space="0"/>
                    <w:right w:val="single" w:color="auto" w:sz="4" w:space="0"/>
                  </w:tcBorders>
                  <w:noWrap w:val="0"/>
                  <w:vAlign w:val="center"/>
                </w:tcPr>
                <w:p w14:paraId="776BFC04">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eastAsia" w:cs="Times New Roman"/>
                      <w:b w:val="0"/>
                      <w:bCs/>
                      <w:color w:val="auto"/>
                      <w:kern w:val="2"/>
                      <w:sz w:val="21"/>
                      <w:szCs w:val="21"/>
                      <w:highlight w:val="none"/>
                      <w:lang w:val="en-US" w:eastAsia="zh-CN" w:bidi="ar"/>
                    </w:rPr>
                  </w:pPr>
                  <w:r>
                    <w:rPr>
                      <w:rFonts w:hint="default"/>
                      <w:color w:val="auto"/>
                    </w:rPr>
                    <w:t>1次/</w:t>
                  </w:r>
                  <w:r>
                    <w:rPr>
                      <w:rFonts w:hint="eastAsia"/>
                      <w:color w:val="auto"/>
                      <w:lang w:eastAsia="zh-CN"/>
                    </w:rPr>
                    <w:t>半</w:t>
                  </w:r>
                  <w:r>
                    <w:rPr>
                      <w:rFonts w:hint="default"/>
                      <w:color w:val="auto"/>
                    </w:rPr>
                    <w:t>年</w:t>
                  </w:r>
                </w:p>
              </w:tc>
              <w:tc>
                <w:tcPr>
                  <w:tcW w:w="3172" w:type="pct"/>
                  <w:tcBorders>
                    <w:left w:val="single" w:color="auto" w:sz="4" w:space="0"/>
                    <w:bottom w:val="single" w:color="auto" w:sz="4" w:space="0"/>
                    <w:right w:val="nil"/>
                  </w:tcBorders>
                  <w:noWrap w:val="0"/>
                  <w:vAlign w:val="center"/>
                </w:tcPr>
                <w:p w14:paraId="79A6BCD6">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lang w:val="en-US" w:eastAsia="zh-CN" w:bidi="ar"/>
                    </w:rPr>
                    <w:t>《合成树脂工业污染物排放标准（GB31572</w:t>
                  </w:r>
                </w:p>
                <w:p w14:paraId="64474ACB">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-2015）</w:t>
                  </w:r>
                  <w:r>
                    <w:rPr>
                      <w:rFonts w:hint="eastAsia" w:cs="Times New Roman"/>
                      <w:b w:val="0"/>
                      <w:bCs/>
                      <w:color w:val="auto"/>
                      <w:kern w:val="2"/>
                      <w:sz w:val="21"/>
                      <w:szCs w:val="21"/>
                      <w:lang w:val="en-US" w:eastAsia="zh-CN" w:bidi="ar"/>
                    </w:rPr>
                    <w:t>（</w:t>
                  </w:r>
                  <w:r>
                    <w:rPr>
                      <w:rFonts w:hint="default" w:ascii="Times New Roman" w:hAnsi="Times New Roman" w:eastAsia="宋体" w:cs="Times New Roman"/>
                      <w:b w:val="0"/>
                      <w:bCs/>
                      <w:color w:val="auto"/>
                      <w:kern w:val="2"/>
                      <w:sz w:val="21"/>
                      <w:szCs w:val="21"/>
                      <w:lang w:val="en-US" w:eastAsia="zh-CN" w:bidi="ar"/>
                    </w:rPr>
                    <w:t>含2024年修改单版本</w:t>
                  </w:r>
                  <w:r>
                    <w:rPr>
                      <w:rFonts w:hint="eastAsia" w:cs="Times New Roman"/>
                      <w:b w:val="0"/>
                      <w:bCs/>
                      <w:color w:val="auto"/>
                      <w:kern w:val="2"/>
                      <w:sz w:val="21"/>
                      <w:szCs w:val="21"/>
                      <w:lang w:val="en-US" w:eastAsia="zh-CN" w:bidi="ar"/>
                    </w:rPr>
                    <w:t>）</w:t>
                  </w:r>
                  <w:r>
                    <w:rPr>
                      <w:rFonts w:hint="default" w:ascii="Times New Roman" w:hAnsi="Times New Roman" w:eastAsia="宋体" w:cs="Times New Roman"/>
                      <w:b w:val="0"/>
                      <w:bCs/>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、《河南省重污染天气重点行业应急减排措施制定技术指南（2024年版）》</w:t>
                  </w:r>
                </w:p>
              </w:tc>
            </w:tr>
            <w:tr w14:paraId="0DE85601">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75" w:type="pct"/>
                  <w:tcBorders>
                    <w:top w:val="nil"/>
                    <w:left w:val="nil"/>
                    <w:right w:val="single" w:color="auto" w:sz="4" w:space="0"/>
                  </w:tcBorders>
                  <w:noWrap w:val="0"/>
                  <w:vAlign w:val="center"/>
                </w:tcPr>
                <w:p w14:paraId="2CC1617F">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厂界</w:t>
                  </w:r>
                </w:p>
              </w:tc>
              <w:tc>
                <w:tcPr>
                  <w:tcW w:w="673" w:type="pct"/>
                  <w:tcBorders>
                    <w:top w:val="single" w:color="auto" w:sz="4" w:space="0"/>
                    <w:left w:val="nil"/>
                    <w:bottom w:val="single" w:color="auto" w:sz="4" w:space="0"/>
                    <w:right w:val="single" w:color="auto" w:sz="4" w:space="0"/>
                  </w:tcBorders>
                  <w:noWrap w:val="0"/>
                  <w:vAlign w:val="center"/>
                </w:tcPr>
                <w:p w14:paraId="26D935D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eastAsia" w:cs="Times New Roman"/>
                      <w:b w:val="0"/>
                      <w:bCs/>
                      <w:color w:val="auto"/>
                      <w:kern w:val="2"/>
                      <w:sz w:val="21"/>
                      <w:szCs w:val="21"/>
                      <w:highlight w:val="none"/>
                      <w:u w:val="none"/>
                      <w:lang w:val="en-US" w:eastAsia="zh-CN" w:bidi="ar"/>
                    </w:rPr>
                    <w:t>非甲烷总烃</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34617CAF">
                  <w:pPr>
                    <w:pStyle w:val="78"/>
                    <w:keepNext w:val="0"/>
                    <w:keepLines w:val="0"/>
                    <w:suppressLineNumbers w:val="0"/>
                    <w:tabs>
                      <w:tab w:val="right" w:leader="dot" w:pos="8296"/>
                    </w:tabs>
                    <w:bidi w:val="0"/>
                    <w:spacing w:before="0" w:beforeAutospacing="0" w:after="0" w:afterAutospacing="0"/>
                    <w:ind w:left="0" w:leftChars="0" w:right="0" w:firstLine="0" w:firstLineChars="0"/>
                    <w:rPr>
                      <w:rFonts w:hint="default" w:ascii="Times New Roman" w:hAnsi="Times New Roman" w:eastAsia="宋体" w:cs="Times New Roman"/>
                      <w:b w:val="0"/>
                      <w:bCs/>
                      <w:color w:val="auto"/>
                      <w:kern w:val="2"/>
                      <w:sz w:val="21"/>
                      <w:szCs w:val="21"/>
                      <w:u w:val="none"/>
                      <w:lang w:val="en-US" w:eastAsia="zh-CN" w:bidi="ar"/>
                    </w:rPr>
                  </w:pPr>
                  <w:r>
                    <w:rPr>
                      <w:rFonts w:hint="eastAsia"/>
                      <w:b w:val="0"/>
                      <w:bCs/>
                      <w:color w:val="auto"/>
                      <w:sz w:val="21"/>
                      <w:szCs w:val="21"/>
                      <w:u w:val="none"/>
                    </w:rPr>
                    <w:t>1次/年</w:t>
                  </w:r>
                </w:p>
              </w:tc>
              <w:tc>
                <w:tcPr>
                  <w:tcW w:w="3172" w:type="pct"/>
                  <w:tcBorders>
                    <w:top w:val="single" w:color="auto" w:sz="4" w:space="0"/>
                    <w:left w:val="single" w:color="auto" w:sz="4" w:space="0"/>
                    <w:bottom w:val="single" w:color="auto" w:sz="4" w:space="0"/>
                    <w:right w:val="nil"/>
                  </w:tcBorders>
                  <w:noWrap w:val="0"/>
                  <w:vAlign w:val="center"/>
                </w:tcPr>
                <w:p w14:paraId="53C98CF4">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lang w:val="en-US" w:eastAsia="zh-CN" w:bidi="ar"/>
                    </w:rPr>
                    <w:t>《合成树脂工业污染物排放标准（GB31572</w:t>
                  </w:r>
                </w:p>
                <w:p w14:paraId="47CBE8B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u w:val="none"/>
                    </w:rPr>
                  </w:pPr>
                  <w:r>
                    <w:rPr>
                      <w:rFonts w:hint="default" w:ascii="Times New Roman" w:hAnsi="Times New Roman" w:eastAsia="宋体" w:cs="Times New Roman"/>
                      <w:b w:val="0"/>
                      <w:bCs/>
                      <w:color w:val="auto"/>
                      <w:kern w:val="2"/>
                      <w:sz w:val="21"/>
                      <w:szCs w:val="21"/>
                      <w:lang w:val="en-US" w:eastAsia="zh-CN" w:bidi="ar"/>
                    </w:rPr>
                    <w:t>-2015）</w:t>
                  </w:r>
                  <w:r>
                    <w:rPr>
                      <w:rFonts w:hint="eastAsia" w:cs="Times New Roman"/>
                      <w:b w:val="0"/>
                      <w:bCs/>
                      <w:color w:val="auto"/>
                      <w:kern w:val="2"/>
                      <w:sz w:val="21"/>
                      <w:szCs w:val="21"/>
                      <w:lang w:val="en-US" w:eastAsia="zh-CN" w:bidi="ar"/>
                    </w:rPr>
                    <w:t>（</w:t>
                  </w:r>
                  <w:r>
                    <w:rPr>
                      <w:rFonts w:hint="default" w:ascii="Times New Roman" w:hAnsi="Times New Roman" w:eastAsia="宋体" w:cs="Times New Roman"/>
                      <w:b w:val="0"/>
                      <w:bCs/>
                      <w:color w:val="auto"/>
                      <w:kern w:val="2"/>
                      <w:sz w:val="21"/>
                      <w:szCs w:val="21"/>
                      <w:lang w:val="en-US" w:eastAsia="zh-CN" w:bidi="ar"/>
                    </w:rPr>
                    <w:t>含2024年修改单版本</w:t>
                  </w:r>
                  <w:r>
                    <w:rPr>
                      <w:rFonts w:hint="eastAsia" w:cs="Times New Roman"/>
                      <w:b w:val="0"/>
                      <w:bCs/>
                      <w:color w:val="auto"/>
                      <w:kern w:val="2"/>
                      <w:sz w:val="21"/>
                      <w:szCs w:val="21"/>
                      <w:lang w:val="en-US" w:eastAsia="zh-CN" w:bidi="ar"/>
                    </w:rPr>
                    <w:t>）</w:t>
                  </w:r>
                  <w:r>
                    <w:rPr>
                      <w:rFonts w:hint="default" w:ascii="Times New Roman" w:hAnsi="Times New Roman" w:eastAsia="宋体" w:cs="Times New Roman"/>
                      <w:b w:val="0"/>
                      <w:bCs/>
                      <w:color w:val="auto"/>
                      <w:kern w:val="2"/>
                      <w:sz w:val="21"/>
                      <w:szCs w:val="21"/>
                      <w:lang w:val="en-US" w:eastAsia="zh-CN" w:bidi="ar"/>
                    </w:rPr>
                    <w:t>》</w:t>
                  </w:r>
                  <w:r>
                    <w:rPr>
                      <w:rFonts w:hint="eastAsia" w:cs="Times New Roman"/>
                      <w:b w:val="0"/>
                      <w:bCs/>
                      <w:color w:val="auto"/>
                      <w:kern w:val="2"/>
                      <w:sz w:val="21"/>
                      <w:szCs w:val="21"/>
                      <w:u w:val="none"/>
                      <w:lang w:val="en-US" w:eastAsia="zh-CN" w:bidi="ar"/>
                    </w:rPr>
                    <w:t>、</w:t>
                  </w:r>
                  <w:r>
                    <w:rPr>
                      <w:rFonts w:hint="default" w:ascii="Times New Roman" w:hAnsi="Times New Roman" w:eastAsia="宋体" w:cs="Times New Roman"/>
                      <w:b w:val="0"/>
                      <w:bCs/>
                      <w:color w:val="auto"/>
                      <w:kern w:val="2"/>
                      <w:sz w:val="21"/>
                      <w:szCs w:val="21"/>
                      <w:u w:val="none"/>
                      <w:lang w:val="en-US" w:eastAsia="zh-CN" w:bidi="ar"/>
                    </w:rPr>
                    <w:t>《河南省重污染天气重点行业应急减排措施制定技术指南（2024年版）》</w:t>
                  </w:r>
                </w:p>
              </w:tc>
            </w:tr>
          </w:tbl>
          <w:p w14:paraId="22B2D1A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val="0"/>
                <w:bCs/>
                <w:color w:val="auto"/>
                <w:sz w:val="24"/>
                <w:highlight w:val="none"/>
                <w:lang w:val="en-US" w:eastAsia="zh-CN"/>
              </w:rPr>
            </w:pPr>
            <w:r>
              <w:rPr>
                <w:rFonts w:hint="eastAsia" w:asciiTheme="majorEastAsia" w:hAnsiTheme="majorEastAsia" w:eastAsiaTheme="majorEastAsia" w:cstheme="majorEastAsia"/>
                <w:b w:val="0"/>
                <w:bCs/>
                <w:color w:val="auto"/>
                <w:sz w:val="24"/>
                <w:highlight w:val="none"/>
                <w:lang w:val="en-US" w:eastAsia="zh-CN"/>
              </w:rPr>
              <w:t>综上所述，本项目营运期产生的大气污染物</w:t>
            </w:r>
            <w:r>
              <w:rPr>
                <w:rFonts w:hint="eastAsia" w:asciiTheme="minorEastAsia" w:hAnsiTheme="minorEastAsia" w:eastAsiaTheme="minorEastAsia" w:cstheme="minorEastAsia"/>
                <w:b w:val="0"/>
                <w:bCs/>
                <w:color w:val="auto"/>
                <w:sz w:val="24"/>
                <w:highlight w:val="none"/>
                <w:lang w:val="en-US" w:eastAsia="zh-CN"/>
              </w:rPr>
              <w:t>经合理</w:t>
            </w:r>
            <w:r>
              <w:rPr>
                <w:rFonts w:hint="eastAsia" w:asciiTheme="majorEastAsia" w:hAnsiTheme="majorEastAsia" w:eastAsiaTheme="majorEastAsia" w:cstheme="majorEastAsia"/>
                <w:b w:val="0"/>
                <w:bCs/>
                <w:color w:val="auto"/>
                <w:sz w:val="24"/>
                <w:highlight w:val="none"/>
                <w:lang w:val="en-US" w:eastAsia="zh-CN"/>
              </w:rPr>
              <w:t>治理后，达标排放，项目对周围大气环境影响较小</w:t>
            </w:r>
            <w:r>
              <w:rPr>
                <w:rFonts w:hint="default" w:ascii="Times New Roman" w:hAnsi="Times New Roman" w:eastAsia="Times New Roman" w:cs="Times New Roman"/>
                <w:b w:val="0"/>
                <w:bCs/>
                <w:color w:val="auto"/>
                <w:sz w:val="24"/>
                <w:highlight w:val="none"/>
                <w:lang w:val="en-US" w:eastAsia="zh-CN"/>
              </w:rPr>
              <w:t>。</w:t>
            </w:r>
          </w:p>
          <w:p w14:paraId="635B753C">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2.废水</w:t>
            </w:r>
          </w:p>
          <w:p w14:paraId="67AA8926">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）挤出（吹膜）、高频复合冷却水</w:t>
            </w:r>
          </w:p>
          <w:p w14:paraId="2B5C2D6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sz w:val="24"/>
              </w:rPr>
            </w:pPr>
            <w:r>
              <w:rPr>
                <w:rFonts w:hint="eastAsia"/>
                <w:color w:val="auto"/>
                <w:sz w:val="24"/>
              </w:rPr>
              <w:t>本项目使用</w:t>
            </w:r>
            <w:r>
              <w:rPr>
                <w:rFonts w:hint="eastAsia"/>
                <w:color w:val="auto"/>
                <w:sz w:val="24"/>
                <w:lang w:val="en-US" w:eastAsia="zh-CN"/>
              </w:rPr>
              <w:t>6</w:t>
            </w:r>
            <w:r>
              <w:rPr>
                <w:rFonts w:hint="eastAsia"/>
                <w:color w:val="auto"/>
                <w:sz w:val="24"/>
              </w:rPr>
              <w:t>台</w:t>
            </w:r>
            <w:r>
              <w:rPr>
                <w:rFonts w:hint="eastAsia"/>
                <w:color w:val="auto"/>
                <w:sz w:val="24"/>
                <w:lang w:eastAsia="zh-CN"/>
              </w:rPr>
              <w:t>挤出（吹膜）</w:t>
            </w:r>
            <w:r>
              <w:rPr>
                <w:rFonts w:hint="eastAsia"/>
                <w:color w:val="auto"/>
                <w:sz w:val="24"/>
              </w:rPr>
              <w:t>机</w:t>
            </w:r>
            <w:r>
              <w:rPr>
                <w:rFonts w:hint="eastAsia"/>
                <w:color w:val="auto"/>
                <w:sz w:val="24"/>
                <w:lang w:eastAsia="zh-CN"/>
              </w:rPr>
              <w:t>（</w:t>
            </w:r>
            <w:r>
              <w:rPr>
                <w:rFonts w:hint="eastAsia"/>
                <w:color w:val="auto"/>
                <w:sz w:val="24"/>
                <w:lang w:val="en-US" w:eastAsia="zh-CN"/>
              </w:rPr>
              <w:t>5用1备</w:t>
            </w:r>
            <w:r>
              <w:rPr>
                <w:rFonts w:hint="eastAsia"/>
                <w:color w:val="auto"/>
                <w:sz w:val="24"/>
                <w:lang w:eastAsia="zh-CN"/>
              </w:rPr>
              <w:t>）</w:t>
            </w:r>
            <w:r>
              <w:rPr>
                <w:rFonts w:hint="eastAsia"/>
                <w:color w:val="auto"/>
                <w:sz w:val="24"/>
              </w:rPr>
              <w:t>，</w:t>
            </w:r>
            <w:r>
              <w:rPr>
                <w:rFonts w:hint="eastAsia"/>
                <w:color w:val="auto"/>
                <w:sz w:val="24"/>
                <w:lang w:eastAsia="zh-CN"/>
              </w:rPr>
              <w:t>项目原料</w:t>
            </w:r>
            <w:r>
              <w:rPr>
                <w:rFonts w:hint="eastAsia"/>
                <w:color w:val="auto"/>
                <w:sz w:val="24"/>
              </w:rPr>
              <w:t>经过吹膜工序成型后需用水冷却，每台吹膜机配套一条冷却水槽，单条冷却水槽有效容积为0.4m</w:t>
            </w:r>
            <w:r>
              <w:rPr>
                <w:rFonts w:hint="eastAsia"/>
                <w:color w:val="auto"/>
                <w:sz w:val="24"/>
                <w:vertAlign w:val="superscript"/>
              </w:rPr>
              <w:t>3</w:t>
            </w:r>
            <w:r>
              <w:rPr>
                <w:rFonts w:hint="eastAsia"/>
                <w:color w:val="auto"/>
                <w:sz w:val="24"/>
              </w:rPr>
              <w:t>，冷却水槽水质清洁，且对冷却水水质无特定要求，冷却水不外排，定期补充蒸发损失水量，每天补充约0.</w:t>
            </w:r>
            <w:r>
              <w:rPr>
                <w:rFonts w:hint="eastAsia"/>
                <w:color w:val="auto"/>
                <w:sz w:val="24"/>
                <w:lang w:val="en-US" w:eastAsia="zh-CN"/>
              </w:rPr>
              <w:t>3</w:t>
            </w:r>
            <w:r>
              <w:rPr>
                <w:rFonts w:hint="eastAsia"/>
                <w:color w:val="auto"/>
                <w:sz w:val="24"/>
              </w:rPr>
              <w:t>m</w:t>
            </w:r>
            <w:r>
              <w:rPr>
                <w:rFonts w:hint="eastAsia"/>
                <w:color w:val="auto"/>
                <w:sz w:val="24"/>
                <w:vertAlign w:val="superscript"/>
              </w:rPr>
              <w:t>3</w:t>
            </w:r>
            <w:r>
              <w:rPr>
                <w:rFonts w:hint="eastAsia"/>
                <w:color w:val="auto"/>
                <w:sz w:val="24"/>
              </w:rPr>
              <w:t>/d，合计用水</w:t>
            </w:r>
            <w:r>
              <w:rPr>
                <w:rFonts w:hint="eastAsia"/>
                <w:color w:val="auto"/>
                <w:sz w:val="24"/>
                <w:lang w:val="en-US" w:eastAsia="zh-CN"/>
              </w:rPr>
              <w:t>90</w:t>
            </w:r>
            <w:r>
              <w:rPr>
                <w:rFonts w:hint="eastAsia"/>
                <w:color w:val="auto"/>
                <w:sz w:val="24"/>
              </w:rPr>
              <w:t>m</w:t>
            </w:r>
            <w:r>
              <w:rPr>
                <w:rFonts w:hint="eastAsia"/>
                <w:color w:val="auto"/>
                <w:sz w:val="24"/>
                <w:vertAlign w:val="superscript"/>
              </w:rPr>
              <w:t>3</w:t>
            </w:r>
            <w:r>
              <w:rPr>
                <w:rFonts w:hint="eastAsia"/>
                <w:color w:val="auto"/>
                <w:sz w:val="24"/>
              </w:rPr>
              <w:t>/a。</w:t>
            </w:r>
          </w:p>
          <w:p w14:paraId="34AAB655">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olor w:val="auto"/>
                <w:sz w:val="24"/>
              </w:rPr>
            </w:pPr>
            <w:r>
              <w:rPr>
                <w:rFonts w:hint="eastAsia"/>
                <w:color w:val="auto"/>
                <w:sz w:val="24"/>
              </w:rPr>
              <w:t>项目复合工序采取高频水加热复合，该工序用水循环使用，定期补充，补充水量约为0.</w:t>
            </w:r>
            <w:r>
              <w:rPr>
                <w:rFonts w:hint="eastAsia"/>
                <w:color w:val="auto"/>
                <w:sz w:val="24"/>
                <w:lang w:val="en-US" w:eastAsia="zh-CN"/>
              </w:rPr>
              <w:t>5</w:t>
            </w:r>
            <w:r>
              <w:rPr>
                <w:rFonts w:hint="eastAsia"/>
                <w:color w:val="auto"/>
                <w:sz w:val="24"/>
              </w:rPr>
              <w:t>m</w:t>
            </w:r>
            <w:r>
              <w:rPr>
                <w:rFonts w:hint="eastAsia"/>
                <w:color w:val="auto"/>
                <w:sz w:val="24"/>
                <w:vertAlign w:val="superscript"/>
              </w:rPr>
              <w:t>3</w:t>
            </w:r>
            <w:r>
              <w:rPr>
                <w:rFonts w:hint="eastAsia"/>
                <w:color w:val="auto"/>
                <w:sz w:val="24"/>
              </w:rPr>
              <w:t>/d，合计用水量</w:t>
            </w:r>
            <w:r>
              <w:rPr>
                <w:rFonts w:hint="eastAsia"/>
                <w:color w:val="auto"/>
                <w:sz w:val="24"/>
                <w:lang w:val="en-US" w:eastAsia="zh-CN"/>
              </w:rPr>
              <w:t>150</w:t>
            </w:r>
            <w:r>
              <w:rPr>
                <w:rFonts w:hint="eastAsia"/>
                <w:color w:val="auto"/>
                <w:sz w:val="24"/>
              </w:rPr>
              <w:t>m</w:t>
            </w:r>
            <w:r>
              <w:rPr>
                <w:rFonts w:hint="eastAsia"/>
                <w:color w:val="auto"/>
                <w:sz w:val="24"/>
                <w:vertAlign w:val="superscript"/>
              </w:rPr>
              <w:t>3</w:t>
            </w:r>
            <w:r>
              <w:rPr>
                <w:rFonts w:hint="eastAsia"/>
                <w:color w:val="auto"/>
                <w:sz w:val="24"/>
              </w:rPr>
              <w:t>/a。</w:t>
            </w:r>
          </w:p>
          <w:p w14:paraId="5D75B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参考《工业循环冷却水处理设计规范》（GB_T50050-2017）“5补充水处理”蒸发水量公式为：Q</w:t>
            </w:r>
            <w:r>
              <w:rPr>
                <w:rFonts w:hint="eastAsia"/>
                <w:color w:val="auto"/>
                <w:sz w:val="24"/>
                <w:szCs w:val="24"/>
                <w:vertAlign w:val="subscript"/>
                <w:lang w:val="en-US" w:eastAsia="zh-CN"/>
              </w:rPr>
              <w:t>e</w:t>
            </w:r>
            <w:r>
              <w:rPr>
                <w:rFonts w:hint="eastAsia"/>
                <w:color w:val="auto"/>
                <w:sz w:val="24"/>
                <w:szCs w:val="24"/>
                <w:lang w:val="en-US" w:eastAsia="zh-CN"/>
              </w:rPr>
              <w:t>=k×Δt×Q</w:t>
            </w:r>
            <w:r>
              <w:rPr>
                <w:rFonts w:hint="eastAsia"/>
                <w:color w:val="auto"/>
                <w:sz w:val="24"/>
                <w:szCs w:val="24"/>
                <w:vertAlign w:val="subscript"/>
                <w:lang w:val="en-US" w:eastAsia="zh-CN"/>
              </w:rPr>
              <w:t>r</w:t>
            </w:r>
          </w:p>
          <w:p w14:paraId="5667D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其中：</w:t>
            </w:r>
          </w:p>
          <w:p w14:paraId="232FE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e</w:t>
            </w:r>
            <w:r>
              <w:rPr>
                <w:rFonts w:hint="eastAsia"/>
                <w:color w:val="auto"/>
                <w:sz w:val="24"/>
                <w:szCs w:val="24"/>
                <w:lang w:val="en-US" w:eastAsia="zh-CN"/>
              </w:rPr>
              <w:t>为蒸发水量（m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1D051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k为蒸发损失系数（1/℃），按照下表进行取值；</w:t>
            </w:r>
          </w:p>
          <w:p w14:paraId="1356E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Q</w:t>
            </w:r>
            <w:r>
              <w:rPr>
                <w:rFonts w:hint="eastAsia"/>
                <w:color w:val="auto"/>
                <w:sz w:val="24"/>
                <w:szCs w:val="24"/>
                <w:vertAlign w:val="subscript"/>
                <w:lang w:val="en-US" w:eastAsia="zh-CN"/>
              </w:rPr>
              <w:t>r</w:t>
            </w:r>
            <w:r>
              <w:rPr>
                <w:rFonts w:hint="eastAsia"/>
                <w:color w:val="auto"/>
                <w:sz w:val="24"/>
                <w:szCs w:val="24"/>
                <w:lang w:val="en-US" w:eastAsia="zh-CN"/>
              </w:rPr>
              <w:t>为循环冷却水量（m</w:t>
            </w:r>
            <w:r>
              <w:rPr>
                <w:rFonts w:hint="eastAsia"/>
                <w:color w:val="auto"/>
                <w:sz w:val="24"/>
                <w:szCs w:val="24"/>
                <w:vertAlign w:val="superscript"/>
                <w:lang w:val="en-US" w:eastAsia="zh-CN"/>
              </w:rPr>
              <w:t>3</w:t>
            </w:r>
            <w:r>
              <w:rPr>
                <w:rFonts w:hint="eastAsia"/>
                <w:color w:val="auto"/>
                <w:sz w:val="24"/>
                <w:szCs w:val="24"/>
                <w:lang w:val="en-US" w:eastAsia="zh-CN"/>
              </w:rPr>
              <w:t>/a）；</w:t>
            </w:r>
          </w:p>
          <w:p w14:paraId="29385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Δt为循环冷却水进出塔温度（℃），取20℃</w:t>
            </w:r>
          </w:p>
          <w:p w14:paraId="60436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则该企业循环水量Q</w:t>
            </w:r>
            <w:r>
              <w:rPr>
                <w:rFonts w:hint="eastAsia"/>
                <w:color w:val="auto"/>
                <w:sz w:val="24"/>
                <w:szCs w:val="24"/>
                <w:vertAlign w:val="subscript"/>
                <w:lang w:val="en-US" w:eastAsia="zh-CN"/>
              </w:rPr>
              <w:t>r</w:t>
            </w:r>
            <w:r>
              <w:rPr>
                <w:rFonts w:hint="eastAsia"/>
                <w:color w:val="auto"/>
                <w:sz w:val="24"/>
                <w:szCs w:val="24"/>
                <w:vertAlign w:val="baseline"/>
                <w:lang w:val="en-US" w:eastAsia="zh-CN"/>
              </w:rPr>
              <w:t>=264/0.0014/20=9428.5714m</w:t>
            </w:r>
            <w:r>
              <w:rPr>
                <w:rFonts w:hint="eastAsia"/>
                <w:color w:val="auto"/>
                <w:sz w:val="24"/>
                <w:szCs w:val="24"/>
                <w:vertAlign w:val="superscript"/>
                <w:lang w:val="en-US" w:eastAsia="zh-CN"/>
              </w:rPr>
              <w:t>3</w:t>
            </w:r>
            <w:r>
              <w:rPr>
                <w:rFonts w:hint="eastAsia"/>
                <w:color w:val="auto"/>
                <w:sz w:val="24"/>
                <w:szCs w:val="24"/>
                <w:vertAlign w:val="baseline"/>
                <w:lang w:val="en-US" w:eastAsia="zh-CN"/>
              </w:rPr>
              <w:t>/a</w:t>
            </w:r>
          </w:p>
          <w:p w14:paraId="575E217A">
            <w:pPr>
              <w:pStyle w:val="3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b/>
                <w:bCs w:val="0"/>
                <w:color w:val="auto"/>
                <w:lang w:val="en-US" w:eastAsia="zh-CN"/>
              </w:rPr>
            </w:pPr>
            <w:r>
              <w:rPr>
                <w:rFonts w:hint="eastAsia"/>
                <w:b/>
                <w:bCs w:val="0"/>
                <w:color w:val="auto"/>
                <w:sz w:val="24"/>
                <w:szCs w:val="24"/>
                <w:lang w:val="en-US" w:eastAsia="zh-CN"/>
              </w:rPr>
              <w:t>蒸发损失系数k</w:t>
            </w:r>
          </w:p>
          <w:tbl>
            <w:tblPr>
              <w:tblStyle w:val="27"/>
              <w:tblW w:w="4991"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076"/>
              <w:gridCol w:w="1049"/>
              <w:gridCol w:w="1236"/>
              <w:gridCol w:w="1151"/>
              <w:gridCol w:w="1292"/>
              <w:gridCol w:w="1323"/>
            </w:tblGrid>
            <w:tr w14:paraId="47BBE9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5F824C0F">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进塔大气温度</w:t>
                  </w:r>
                </w:p>
              </w:tc>
              <w:tc>
                <w:tcPr>
                  <w:tcW w:w="613" w:type="pct"/>
                </w:tcPr>
                <w:p w14:paraId="086CE96F">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598" w:type="pct"/>
                </w:tcPr>
                <w:p w14:paraId="441455E1">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w:t>
                  </w:r>
                </w:p>
              </w:tc>
              <w:tc>
                <w:tcPr>
                  <w:tcW w:w="704" w:type="pct"/>
                </w:tcPr>
                <w:p w14:paraId="1E1E150C">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10</w:t>
                  </w:r>
                </w:p>
              </w:tc>
              <w:tc>
                <w:tcPr>
                  <w:tcW w:w="656" w:type="pct"/>
                </w:tcPr>
                <w:p w14:paraId="7B49E251">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20</w:t>
                  </w:r>
                </w:p>
              </w:tc>
              <w:tc>
                <w:tcPr>
                  <w:tcW w:w="736" w:type="pct"/>
                </w:tcPr>
                <w:p w14:paraId="25D1735E">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30</w:t>
                  </w:r>
                </w:p>
              </w:tc>
              <w:tc>
                <w:tcPr>
                  <w:tcW w:w="752" w:type="pct"/>
                </w:tcPr>
                <w:p w14:paraId="5C70C59E">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40</w:t>
                  </w:r>
                </w:p>
              </w:tc>
            </w:tr>
            <w:tr w14:paraId="54500E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39" w:type="pct"/>
                </w:tcPr>
                <w:p w14:paraId="6A23B263">
                  <w:pPr>
                    <w:keepNext w:val="0"/>
                    <w:keepLines w:val="0"/>
                    <w:suppressLineNumbers w:val="0"/>
                    <w:bidi w:val="0"/>
                    <w:spacing w:before="0" w:beforeAutospacing="0" w:after="0" w:afterAutospacing="0"/>
                    <w:ind w:left="0" w:right="0"/>
                    <w:jc w:val="center"/>
                    <w:rPr>
                      <w:rFonts w:hint="eastAsia"/>
                      <w:color w:val="auto"/>
                      <w:vertAlign w:val="baseline"/>
                      <w:lang w:val="en-US" w:eastAsia="zh-CN"/>
                    </w:rPr>
                  </w:pPr>
                  <w:r>
                    <w:rPr>
                      <w:rFonts w:hint="eastAsia"/>
                      <w:color w:val="auto"/>
                      <w:vertAlign w:val="baseline"/>
                      <w:lang w:val="en-US" w:eastAsia="zh-CN"/>
                    </w:rPr>
                    <w:t>k（1</w:t>
                  </w:r>
                  <w:r>
                    <w:rPr>
                      <w:rFonts w:hint="eastAsia"/>
                      <w:color w:val="auto"/>
                      <w:sz w:val="21"/>
                      <w:szCs w:val="21"/>
                      <w:vertAlign w:val="baseline"/>
                      <w:lang w:val="en-US" w:eastAsia="zh-CN"/>
                    </w:rPr>
                    <w:t>/</w:t>
                  </w:r>
                  <w:r>
                    <w:rPr>
                      <w:rFonts w:hint="eastAsia"/>
                      <w:color w:val="auto"/>
                      <w:sz w:val="21"/>
                      <w:szCs w:val="21"/>
                      <w:lang w:val="en-US" w:eastAsia="zh-CN"/>
                    </w:rPr>
                    <w:t>℃</w:t>
                  </w:r>
                  <w:r>
                    <w:rPr>
                      <w:rFonts w:hint="eastAsia"/>
                      <w:color w:val="auto"/>
                      <w:vertAlign w:val="baseline"/>
                      <w:lang w:val="en-US" w:eastAsia="zh-CN"/>
                    </w:rPr>
                    <w:t>）</w:t>
                  </w:r>
                </w:p>
              </w:tc>
              <w:tc>
                <w:tcPr>
                  <w:tcW w:w="613" w:type="pct"/>
                </w:tcPr>
                <w:p w14:paraId="0B05DA73">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0.0008</w:t>
                  </w:r>
                </w:p>
              </w:tc>
              <w:tc>
                <w:tcPr>
                  <w:tcW w:w="598" w:type="pct"/>
                </w:tcPr>
                <w:p w14:paraId="635CDC10">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0.0010</w:t>
                  </w:r>
                </w:p>
              </w:tc>
              <w:tc>
                <w:tcPr>
                  <w:tcW w:w="704" w:type="pct"/>
                </w:tcPr>
                <w:p w14:paraId="32BA9EC3">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0.0012</w:t>
                  </w:r>
                </w:p>
              </w:tc>
              <w:tc>
                <w:tcPr>
                  <w:tcW w:w="656" w:type="pct"/>
                </w:tcPr>
                <w:p w14:paraId="777BCA70">
                  <w:pPr>
                    <w:keepNext w:val="0"/>
                    <w:keepLines w:val="0"/>
                    <w:suppressLineNumbers w:val="0"/>
                    <w:bidi w:val="0"/>
                    <w:spacing w:before="0" w:beforeAutospacing="0" w:after="0" w:afterAutospacing="0"/>
                    <w:ind w:left="0" w:right="0"/>
                    <w:jc w:val="center"/>
                    <w:rPr>
                      <w:rFonts w:hint="default"/>
                      <w:color w:val="auto"/>
                      <w:lang w:val="en-US" w:eastAsia="zh-CN"/>
                    </w:rPr>
                  </w:pPr>
                  <w:r>
                    <w:rPr>
                      <w:rFonts w:hint="eastAsia"/>
                      <w:color w:val="auto"/>
                      <w:vertAlign w:val="baseline"/>
                      <w:lang w:val="en-US" w:eastAsia="zh-CN"/>
                    </w:rPr>
                    <w:t>0.0014</w:t>
                  </w:r>
                </w:p>
              </w:tc>
              <w:tc>
                <w:tcPr>
                  <w:tcW w:w="736" w:type="pct"/>
                </w:tcPr>
                <w:p w14:paraId="64B147EB">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0.0015</w:t>
                  </w:r>
                </w:p>
              </w:tc>
              <w:tc>
                <w:tcPr>
                  <w:tcW w:w="752" w:type="pct"/>
                </w:tcPr>
                <w:p w14:paraId="00D9AC85">
                  <w:pPr>
                    <w:keepNext w:val="0"/>
                    <w:keepLines w:val="0"/>
                    <w:suppressLineNumbers w:val="0"/>
                    <w:bidi w:val="0"/>
                    <w:spacing w:before="0" w:beforeAutospacing="0" w:after="0" w:afterAutospacing="0"/>
                    <w:ind w:left="0" w:right="0"/>
                    <w:jc w:val="center"/>
                    <w:rPr>
                      <w:rFonts w:hint="default"/>
                      <w:color w:val="auto"/>
                      <w:vertAlign w:val="baseline"/>
                      <w:lang w:val="en-US" w:eastAsia="zh-CN"/>
                    </w:rPr>
                  </w:pPr>
                  <w:r>
                    <w:rPr>
                      <w:rFonts w:hint="eastAsia"/>
                      <w:color w:val="auto"/>
                      <w:vertAlign w:val="baseline"/>
                      <w:lang w:val="en-US" w:eastAsia="zh-CN"/>
                    </w:rPr>
                    <w:t>0.0016</w:t>
                  </w:r>
                </w:p>
              </w:tc>
            </w:tr>
            <w:tr w14:paraId="043915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7"/>
                </w:tcPr>
                <w:p w14:paraId="214F968C">
                  <w:pPr>
                    <w:keepNext w:val="0"/>
                    <w:keepLines w:val="0"/>
                    <w:suppressLineNumbers w:val="0"/>
                    <w:bidi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注：表中进塔大气温度指冷却塔设计干球温度</w:t>
                  </w:r>
                </w:p>
              </w:tc>
            </w:tr>
          </w:tbl>
          <w:p w14:paraId="15A7921A">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）职工生活污水</w:t>
            </w:r>
          </w:p>
          <w:p w14:paraId="3D06FEE8">
            <w:pPr>
              <w:keepNext w:val="0"/>
              <w:keepLines w:val="0"/>
              <w:pageBreakBefore w:val="0"/>
              <w:widowControl w:val="0"/>
              <w:suppressLineNumbers w:val="0"/>
              <w:kinsoku/>
              <w:wordWrap/>
              <w:topLinePunct w:val="0"/>
              <w:autoSpaceDE w:val="0"/>
              <w:autoSpaceDN/>
              <w:bidi w:val="0"/>
              <w:adjustRightInd w:val="0"/>
              <w:snapToGrid w:val="0"/>
              <w:spacing w:before="0" w:beforeAutospacing="0" w:after="0" w:afterAutospacing="0" w:line="360" w:lineRule="auto"/>
              <w:ind w:left="0" w:leftChars="0" w:right="0" w:firstLine="480" w:firstLineChars="200"/>
              <w:jc w:val="both"/>
              <w:rPr>
                <w:rFonts w:hint="default" w:ascii="Times New Roman" w:hAnsi="Times New Roman" w:eastAsia="宋体" w:cs="Times New Roman"/>
                <w:b w:val="0"/>
                <w:bCs/>
                <w:color w:val="auto"/>
                <w:kern w:val="2"/>
                <w:sz w:val="24"/>
                <w:szCs w:val="24"/>
                <w:lang w:val="en-US" w:eastAsia="zh-CN"/>
              </w:rPr>
            </w:pPr>
            <w:r>
              <w:rPr>
                <w:rFonts w:hint="eastAsia"/>
                <w:color w:val="auto"/>
                <w:sz w:val="24"/>
              </w:rPr>
              <w:t>本项目废水主要是生活污水，</w:t>
            </w:r>
            <w:r>
              <w:rPr>
                <w:rFonts w:hint="eastAsia"/>
                <w:color w:val="auto"/>
                <w:sz w:val="24"/>
                <w:lang w:eastAsia="zh-CN"/>
              </w:rPr>
              <w:t>项目劳动定员</w:t>
            </w:r>
            <w:r>
              <w:rPr>
                <w:rFonts w:hint="eastAsia"/>
                <w:color w:val="auto"/>
                <w:sz w:val="24"/>
                <w:lang w:val="en-US" w:eastAsia="zh-CN"/>
              </w:rPr>
              <w:t>20人</w:t>
            </w:r>
            <w:r>
              <w:rPr>
                <w:rFonts w:hint="eastAsia"/>
                <w:color w:val="auto"/>
                <w:sz w:val="24"/>
                <w:lang w:val="en-US" w:eastAsia="zh-CN"/>
              </w:rPr>
              <w:t>，年工作300天，</w:t>
            </w:r>
            <w:r>
              <w:rPr>
                <w:rFonts w:hint="eastAsia"/>
                <w:color w:val="auto"/>
                <w:sz w:val="24"/>
              </w:rPr>
              <w:t>均</w:t>
            </w:r>
            <w:r>
              <w:rPr>
                <w:rFonts w:hint="eastAsia"/>
                <w:color w:val="auto"/>
                <w:sz w:val="24"/>
              </w:rPr>
              <w:t>来自周边村庄，不在厂区内食宿，</w:t>
            </w:r>
            <w:r>
              <w:rPr>
                <w:rFonts w:hint="eastAsia"/>
                <w:color w:val="auto"/>
                <w:sz w:val="24"/>
                <w:szCs w:val="24"/>
                <w:lang w:val="en-US" w:eastAsia="zh-CN"/>
              </w:rPr>
              <w:t>参考《工业与城镇生活用水定额》（DB41/T 385-2020），员工生活用水量按城镇居民生活用水定额，以90L/人·d计</w:t>
            </w:r>
            <w:r>
              <w:rPr>
                <w:rFonts w:hint="eastAsia"/>
                <w:color w:val="auto"/>
                <w:sz w:val="24"/>
              </w:rPr>
              <w:t>，则生活用水量</w:t>
            </w:r>
            <w:r>
              <w:rPr>
                <w:rFonts w:hint="eastAsia"/>
                <w:color w:val="auto"/>
                <w:sz w:val="24"/>
                <w:lang w:eastAsia="zh-CN"/>
              </w:rPr>
              <w:t>为（</w:t>
            </w:r>
            <w:r>
              <w:rPr>
                <w:rFonts w:hint="eastAsia"/>
                <w:color w:val="auto"/>
                <w:sz w:val="24"/>
                <w:lang w:val="en-US" w:eastAsia="zh-CN"/>
              </w:rPr>
              <w:t>1.8</w:t>
            </w:r>
            <w:r>
              <w:rPr>
                <w:rFonts w:hint="eastAsia"/>
                <w:color w:val="auto"/>
                <w:sz w:val="24"/>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lang w:eastAsia="zh-CN"/>
              </w:rPr>
              <w:t>）</w:t>
            </w:r>
            <w:r>
              <w:rPr>
                <w:rFonts w:hint="eastAsia"/>
                <w:color w:val="auto"/>
                <w:sz w:val="24"/>
                <w:lang w:val="en-US" w:eastAsia="zh-CN"/>
              </w:rPr>
              <w:t>540</w:t>
            </w:r>
            <w:r>
              <w:rPr>
                <w:rFonts w:hint="eastAsia"/>
                <w:color w:val="auto"/>
                <w:sz w:val="24"/>
              </w:rPr>
              <w:t>m</w:t>
            </w:r>
            <w:r>
              <w:rPr>
                <w:rFonts w:hint="eastAsia"/>
                <w:color w:val="auto"/>
                <w:sz w:val="24"/>
                <w:vertAlign w:val="superscript"/>
                <w:lang w:val="en-US" w:eastAsia="zh-CN"/>
              </w:rPr>
              <w:t>3</w:t>
            </w:r>
            <w:r>
              <w:rPr>
                <w:rFonts w:hint="eastAsia"/>
                <w:color w:val="auto"/>
                <w:sz w:val="24"/>
              </w:rPr>
              <w:t>/a，生活污水产生量按用水量80%计，则生活污水量约为</w:t>
            </w:r>
            <w:r>
              <w:rPr>
                <w:rFonts w:hint="eastAsia"/>
                <w:color w:val="auto"/>
                <w:sz w:val="24"/>
                <w:lang w:val="en-US" w:eastAsia="zh-CN"/>
              </w:rPr>
              <w:t>1.44</w:t>
            </w:r>
            <w:r>
              <w:rPr>
                <w:rFonts w:hint="eastAsia"/>
                <w:color w:val="auto"/>
                <w:sz w:val="24"/>
              </w:rPr>
              <w:t>m</w:t>
            </w:r>
            <w:r>
              <w:rPr>
                <w:rFonts w:hint="eastAsia"/>
                <w:color w:val="auto"/>
                <w:sz w:val="24"/>
                <w:vertAlign w:val="superscript"/>
                <w:lang w:val="en-US" w:eastAsia="zh-CN"/>
              </w:rPr>
              <w:t>3</w:t>
            </w:r>
            <w:r>
              <w:rPr>
                <w:rFonts w:hint="eastAsia"/>
                <w:color w:val="auto"/>
                <w:sz w:val="24"/>
              </w:rPr>
              <w:t>/</w:t>
            </w:r>
            <w:r>
              <w:rPr>
                <w:rFonts w:hint="eastAsia"/>
                <w:color w:val="auto"/>
                <w:sz w:val="24"/>
                <w:lang w:val="en-US" w:eastAsia="zh-CN"/>
              </w:rPr>
              <w:t>d</w:t>
            </w:r>
            <w:r>
              <w:rPr>
                <w:rFonts w:hint="eastAsia"/>
                <w:color w:val="auto"/>
                <w:sz w:val="24"/>
              </w:rPr>
              <w:t>（</w:t>
            </w:r>
            <w:r>
              <w:rPr>
                <w:rFonts w:hint="eastAsia"/>
                <w:color w:val="auto"/>
                <w:sz w:val="24"/>
                <w:lang w:val="en-US" w:eastAsia="zh-CN"/>
              </w:rPr>
              <w:t>432</w:t>
            </w:r>
            <w:r>
              <w:rPr>
                <w:rFonts w:hint="eastAsia"/>
                <w:color w:val="auto"/>
                <w:sz w:val="24"/>
              </w:rPr>
              <w:t>m</w:t>
            </w:r>
            <w:r>
              <w:rPr>
                <w:rFonts w:hint="eastAsia"/>
                <w:color w:val="auto"/>
                <w:sz w:val="24"/>
                <w:vertAlign w:val="superscript"/>
                <w:lang w:val="en-US" w:eastAsia="zh-CN"/>
              </w:rPr>
              <w:t>3</w:t>
            </w:r>
            <w:r>
              <w:rPr>
                <w:rFonts w:hint="eastAsia"/>
                <w:color w:val="auto"/>
                <w:sz w:val="24"/>
              </w:rPr>
              <w:t>/a）</w:t>
            </w:r>
            <w:r>
              <w:rPr>
                <w:rFonts w:hint="eastAsia"/>
                <w:color w:val="auto"/>
                <w:sz w:val="24"/>
                <w:lang w:eastAsia="zh-CN"/>
              </w:rPr>
              <w:t>，生活污水经</w:t>
            </w:r>
            <w:r>
              <w:rPr>
                <w:rFonts w:hint="eastAsia"/>
                <w:color w:val="auto"/>
                <w:sz w:val="24"/>
                <w:lang w:val="en-US" w:eastAsia="zh-CN"/>
              </w:rPr>
              <w:t>化粪池（10m</w:t>
            </w:r>
            <w:r>
              <w:rPr>
                <w:rFonts w:hint="eastAsia"/>
                <w:color w:val="auto"/>
                <w:sz w:val="24"/>
                <w:vertAlign w:val="superscript"/>
                <w:lang w:val="en-US" w:eastAsia="zh-CN"/>
              </w:rPr>
              <w:t>3</w:t>
            </w:r>
            <w:r>
              <w:rPr>
                <w:rFonts w:hint="eastAsia"/>
                <w:color w:val="auto"/>
                <w:sz w:val="24"/>
                <w:lang w:val="en-US" w:eastAsia="zh-CN"/>
              </w:rPr>
              <w:t>）预处理后排入汤阴固现污水处理有限公司</w:t>
            </w:r>
            <w:r>
              <w:rPr>
                <w:rFonts w:hint="eastAsia"/>
                <w:color w:val="auto"/>
                <w:sz w:val="24"/>
              </w:rPr>
              <w:t>。</w:t>
            </w:r>
            <w:r>
              <w:rPr>
                <w:rFonts w:hint="eastAsia"/>
                <w:color w:val="auto"/>
                <w:sz w:val="24"/>
                <w:lang w:eastAsia="zh-CN"/>
              </w:rPr>
              <w:t>根据现有项目检测报告，</w:t>
            </w:r>
            <w:r>
              <w:rPr>
                <w:rFonts w:hint="eastAsia" w:ascii="Times New Roman" w:hAnsi="Times New Roman" w:eastAsia="宋体" w:cs="Times New Roman"/>
                <w:b w:val="0"/>
                <w:bCs w:val="0"/>
                <w:color w:val="auto"/>
                <w:kern w:val="2"/>
                <w:sz w:val="24"/>
                <w:szCs w:val="24"/>
                <w:highlight w:val="none"/>
                <w:u w:val="none" w:color="auto"/>
                <w:lang w:val="en-US" w:eastAsia="zh-CN" w:bidi="ar-SA"/>
              </w:rPr>
              <w:t>项目废水总排口废水中pH测定值为7.4-7.5、COD176-180mgL，BOD</w:t>
            </w:r>
            <w:r>
              <w:rPr>
                <w:rFonts w:hint="eastAsia" w:ascii="Times New Roman" w:hAnsi="Times New Roman" w:eastAsia="宋体" w:cs="Times New Roman"/>
                <w:b w:val="0"/>
                <w:bCs w:val="0"/>
                <w:color w:val="auto"/>
                <w:kern w:val="2"/>
                <w:sz w:val="24"/>
                <w:szCs w:val="24"/>
                <w:highlight w:val="none"/>
                <w:u w:val="none" w:color="auto"/>
                <w:vertAlign w:val="subscript"/>
                <w:lang w:val="en-US" w:eastAsia="zh-CN" w:bidi="ar-SA"/>
              </w:rPr>
              <w:t>5</w:t>
            </w:r>
            <w:r>
              <w:rPr>
                <w:rFonts w:hint="eastAsia" w:ascii="Times New Roman" w:hAnsi="Times New Roman" w:eastAsia="宋体" w:cs="Times New Roman"/>
                <w:b w:val="0"/>
                <w:bCs w:val="0"/>
                <w:color w:val="auto"/>
                <w:kern w:val="2"/>
                <w:sz w:val="24"/>
                <w:szCs w:val="24"/>
                <w:highlight w:val="none"/>
                <w:u w:val="none" w:color="auto"/>
                <w:lang w:val="en-US" w:eastAsia="zh-CN" w:bidi="ar-SA"/>
              </w:rPr>
              <w:t>34.9-38.6mgL、氨氮15.9-19.0mgL、悬浮物为79-83mgL，</w:t>
            </w:r>
            <w:r>
              <w:rPr>
                <w:rFonts w:hint="eastAsia" w:eastAsia="Times New Roman" w:cs="Times New Roman"/>
                <w:b w:val="0"/>
                <w:bCs/>
                <w:color w:val="auto"/>
                <w:sz w:val="24"/>
                <w:highlight w:val="none"/>
                <w:u w:val="none"/>
                <w:lang w:eastAsia="zh-CN"/>
              </w:rPr>
              <w:t>参考</w:t>
            </w:r>
            <w:r>
              <w:rPr>
                <w:rFonts w:hint="default" w:ascii="Times New Roman" w:hAnsi="Times New Roman" w:eastAsia="Times New Roman" w:cs="Times New Roman"/>
                <w:b w:val="0"/>
                <w:bCs/>
                <w:color w:val="auto"/>
                <w:sz w:val="24"/>
                <w:highlight w:val="none"/>
                <w:u w:val="none"/>
                <w:lang w:eastAsia="zh-CN"/>
              </w:rPr>
              <w:t>《</w:t>
            </w:r>
            <w:r>
              <w:rPr>
                <w:rFonts w:hint="default" w:ascii="Times New Roman" w:hAnsi="Times New Roman" w:eastAsia="Times New Roman" w:cs="Times New Roman"/>
                <w:b w:val="0"/>
                <w:bCs/>
                <w:color w:val="auto"/>
                <w:sz w:val="24"/>
                <w:highlight w:val="none"/>
                <w:lang w:eastAsia="zh-CN"/>
              </w:rPr>
              <w:t>排放源统计调查产排污核算方法和系数手册》（即二污普）中&lt;</w:t>
            </w:r>
            <w:r>
              <w:rPr>
                <w:rFonts w:hint="default" w:ascii="宋体" w:hAnsi="宋体" w:eastAsia="宋体" w:cs="宋体"/>
                <w:color w:val="auto"/>
                <w:sz w:val="24"/>
                <w:szCs w:val="24"/>
              </w:rPr>
              <w:t>生活污染源产排污系数手册</w:t>
            </w:r>
            <w:r>
              <w:rPr>
                <w:rFonts w:hint="default" w:ascii="Times New Roman" w:hAnsi="Times New Roman" w:eastAsia="Times New Roman" w:cs="Times New Roman"/>
                <w:b w:val="0"/>
                <w:bCs/>
                <w:color w:val="auto"/>
                <w:sz w:val="24"/>
                <w:highlight w:val="none"/>
                <w:lang w:eastAsia="zh-CN"/>
              </w:rPr>
              <w:t>&gt;</w:t>
            </w:r>
            <w:r>
              <w:rPr>
                <w:rFonts w:hint="eastAsia" w:ascii="Times New Roman" w:hAnsi="Times New Roman" w:eastAsia="Times New Roman" w:cs="Times New Roman"/>
                <w:b w:val="0"/>
                <w:bCs/>
                <w:color w:val="auto"/>
                <w:sz w:val="24"/>
                <w:highlight w:val="none"/>
                <w:lang w:eastAsia="zh-CN"/>
              </w:rPr>
              <w:t>城镇</w:t>
            </w:r>
            <w:r>
              <w:rPr>
                <w:rFonts w:hint="default" w:ascii="宋体" w:hAnsi="宋体" w:eastAsia="宋体" w:cs="宋体"/>
                <w:color w:val="auto"/>
                <w:sz w:val="24"/>
                <w:szCs w:val="24"/>
              </w:rPr>
              <w:t>生活源水污染物产生系数</w:t>
            </w:r>
            <w:r>
              <w:rPr>
                <w:rFonts w:hint="eastAsia" w:ascii="宋体" w:hAnsi="宋体" w:eastAsia="宋体" w:cs="宋体"/>
                <w:color w:val="auto"/>
                <w:sz w:val="24"/>
                <w:szCs w:val="24"/>
                <w:lang w:eastAsia="zh-CN"/>
              </w:rPr>
              <w:t>，总磷的产生量为</w:t>
            </w:r>
            <w:r>
              <w:rPr>
                <w:rFonts w:hint="default" w:ascii="Times New Roman" w:hAnsi="Times New Roman" w:eastAsia="宋体" w:cs="Times New Roman"/>
                <w:color w:val="auto"/>
                <w:sz w:val="24"/>
                <w:szCs w:val="24"/>
                <w:lang w:val="en-US" w:eastAsia="zh-CN"/>
              </w:rPr>
              <w:t>5.76mg/L</w:t>
            </w:r>
            <w:r>
              <w:rPr>
                <w:rFonts w:hint="eastAsia" w:ascii="Times New Roman" w:hAnsi="Times New Roman" w:eastAsia="宋体" w:cs="Times New Roman"/>
                <w:color w:val="auto"/>
                <w:sz w:val="24"/>
                <w:szCs w:val="24"/>
                <w:lang w:val="en-US" w:eastAsia="zh-CN"/>
              </w:rPr>
              <w:t>，参考《化粪池污水处理能力研究及其评价》（兰州交通大学学报），化粪池对总磷的</w:t>
            </w:r>
            <w:r>
              <w:rPr>
                <w:rFonts w:hint="eastAsia" w:cs="Times New Roman"/>
                <w:color w:val="auto"/>
                <w:sz w:val="24"/>
                <w:szCs w:val="24"/>
                <w:lang w:val="en-US" w:eastAsia="zh-CN"/>
              </w:rPr>
              <w:t>去除</w:t>
            </w:r>
            <w:r>
              <w:rPr>
                <w:rFonts w:hint="eastAsia" w:ascii="Times New Roman" w:hAnsi="Times New Roman" w:eastAsia="宋体" w:cs="Times New Roman"/>
                <w:color w:val="auto"/>
                <w:sz w:val="24"/>
                <w:szCs w:val="24"/>
                <w:lang w:val="en-US" w:eastAsia="zh-CN"/>
              </w:rPr>
              <w:t>效率以68.2%计，则总磷的排放浓度为1.8</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mg/L</w:t>
            </w:r>
            <w:r>
              <w:rPr>
                <w:rFonts w:hint="eastAsia" w:ascii="Times New Roman" w:hAnsi="Times New Roman" w:eastAsia="宋体" w:cs="Times New Roman"/>
                <w:color w:val="auto"/>
                <w:sz w:val="24"/>
                <w:szCs w:val="24"/>
                <w:lang w:val="en-US" w:eastAsia="zh-CN"/>
              </w:rPr>
              <w:t>。项目生活污水排放情况见下表。</w:t>
            </w:r>
          </w:p>
          <w:p w14:paraId="55D1CC7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lang w:val="en-US" w:eastAsia="zh-CN" w:bidi="ar"/>
              </w:rPr>
              <w:t>生活污水主要污染物产生及排放情况一览表</w:t>
            </w:r>
          </w:p>
          <w:tbl>
            <w:tblPr>
              <w:tblStyle w:val="26"/>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57" w:type="dxa"/>
                <w:left w:w="28" w:type="dxa"/>
                <w:bottom w:w="28" w:type="dxa"/>
                <w:right w:w="28" w:type="dxa"/>
              </w:tblCellMar>
            </w:tblPr>
            <w:tblGrid>
              <w:gridCol w:w="1133"/>
              <w:gridCol w:w="1334"/>
              <w:gridCol w:w="1002"/>
              <w:gridCol w:w="1372"/>
              <w:gridCol w:w="1334"/>
              <w:gridCol w:w="1341"/>
              <w:gridCol w:w="1270"/>
            </w:tblGrid>
            <w:tr w14:paraId="5BF8A1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389" w:hRule="atLeast"/>
                <w:jc w:val="center"/>
              </w:trPr>
              <w:tc>
                <w:tcPr>
                  <w:tcW w:w="645" w:type="pct"/>
                  <w:vMerge w:val="restart"/>
                  <w:tcBorders>
                    <w:tl2br w:val="nil"/>
                    <w:tr2bl w:val="nil"/>
                  </w:tcBorders>
                  <w:noWrap w:val="0"/>
                  <w:vAlign w:val="center"/>
                </w:tcPr>
                <w:p w14:paraId="5ECCE5EB">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名  称</w:t>
                  </w:r>
                </w:p>
              </w:tc>
              <w:tc>
                <w:tcPr>
                  <w:tcW w:w="1329" w:type="pct"/>
                  <w:gridSpan w:val="2"/>
                  <w:tcBorders>
                    <w:tl2br w:val="nil"/>
                    <w:tr2bl w:val="nil"/>
                  </w:tcBorders>
                  <w:noWrap w:val="0"/>
                  <w:vAlign w:val="center"/>
                </w:tcPr>
                <w:p w14:paraId="2CEAD299">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cs="Times New Roman"/>
                      <w:b/>
                      <w:bCs w:val="0"/>
                      <w:color w:val="auto"/>
                      <w:kern w:val="2"/>
                      <w:sz w:val="21"/>
                      <w:szCs w:val="21"/>
                      <w:lang w:val="en-US" w:eastAsia="zh-CN" w:bidi="ar"/>
                    </w:rPr>
                    <w:t>化粪池预处理</w:t>
                  </w:r>
                  <w:r>
                    <w:rPr>
                      <w:rFonts w:hint="default" w:ascii="Times New Roman" w:hAnsi="Times New Roman" w:eastAsia="宋体" w:cs="Times New Roman"/>
                      <w:b/>
                      <w:bCs w:val="0"/>
                      <w:color w:val="auto"/>
                      <w:kern w:val="2"/>
                      <w:sz w:val="21"/>
                      <w:szCs w:val="21"/>
                      <w:lang w:val="en-US" w:eastAsia="zh-CN" w:bidi="ar"/>
                    </w:rPr>
                    <w:t>后</w:t>
                  </w:r>
                </w:p>
              </w:tc>
              <w:tc>
                <w:tcPr>
                  <w:tcW w:w="781" w:type="pct"/>
                  <w:vMerge w:val="restart"/>
                  <w:tcBorders>
                    <w:tl2br w:val="nil"/>
                    <w:tr2bl w:val="nil"/>
                  </w:tcBorders>
                  <w:noWrap w:val="0"/>
                  <w:vAlign w:val="center"/>
                </w:tcPr>
                <w:p w14:paraId="187305F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rPr>
                    <w:t>污水综合排放标准》</w:t>
                  </w:r>
                  <w:r>
                    <w:rPr>
                      <w:rFonts w:hint="eastAsia" w:cs="Times New Roman"/>
                      <w:b/>
                      <w:bCs w:val="0"/>
                      <w:color w:val="auto"/>
                      <w:kern w:val="2"/>
                      <w:sz w:val="21"/>
                      <w:szCs w:val="21"/>
                      <w:lang w:val="en-US" w:eastAsia="zh-CN"/>
                    </w:rPr>
                    <w:t>（</w:t>
                  </w:r>
                  <w:r>
                    <w:rPr>
                      <w:rFonts w:hint="default" w:ascii="Times New Roman" w:hAnsi="Times New Roman" w:eastAsia="宋体" w:cs="Times New Roman"/>
                      <w:b/>
                      <w:bCs w:val="0"/>
                      <w:color w:val="auto"/>
                      <w:kern w:val="2"/>
                      <w:sz w:val="21"/>
                      <w:szCs w:val="21"/>
                      <w:lang w:val="en-US" w:eastAsia="zh-CN"/>
                    </w:rPr>
                    <w:t>GB8978-1996</w:t>
                  </w:r>
                  <w:r>
                    <w:rPr>
                      <w:rFonts w:hint="eastAsia" w:cs="Times New Roman"/>
                      <w:b/>
                      <w:bCs w:val="0"/>
                      <w:color w:val="auto"/>
                      <w:kern w:val="2"/>
                      <w:sz w:val="21"/>
                      <w:szCs w:val="21"/>
                      <w:lang w:val="en-US" w:eastAsia="zh-CN"/>
                    </w:rPr>
                    <w:t>）</w:t>
                  </w:r>
                  <w:r>
                    <w:rPr>
                      <w:rFonts w:hint="default" w:ascii="Times New Roman" w:hAnsi="Times New Roman" w:eastAsia="宋体" w:cs="Times New Roman"/>
                      <w:b/>
                      <w:bCs w:val="0"/>
                      <w:color w:val="auto"/>
                      <w:kern w:val="2"/>
                      <w:sz w:val="21"/>
                      <w:szCs w:val="21"/>
                      <w:lang w:val="en-US" w:eastAsia="zh-CN"/>
                    </w:rPr>
                    <w:t>中的三级标准</w:t>
                  </w:r>
                </w:p>
              </w:tc>
              <w:tc>
                <w:tcPr>
                  <w:tcW w:w="1522" w:type="pct"/>
                  <w:gridSpan w:val="2"/>
                  <w:tcBorders>
                    <w:tl2br w:val="nil"/>
                    <w:tr2bl w:val="nil"/>
                  </w:tcBorders>
                  <w:noWrap w:val="0"/>
                  <w:vAlign w:val="center"/>
                </w:tcPr>
                <w:p w14:paraId="7C1D15EF">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污水处理厂设计</w:t>
                  </w:r>
                </w:p>
              </w:tc>
              <w:tc>
                <w:tcPr>
                  <w:tcW w:w="721" w:type="pct"/>
                  <w:vMerge w:val="restart"/>
                  <w:tcBorders>
                    <w:tl2br w:val="nil"/>
                    <w:tr2bl w:val="nil"/>
                  </w:tcBorders>
                  <w:noWrap w:val="0"/>
                  <w:vAlign w:val="center"/>
                </w:tcPr>
                <w:p w14:paraId="3FA3DE1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污水厂处理后排放量（t/a）</w:t>
                  </w:r>
                </w:p>
              </w:tc>
            </w:tr>
            <w:tr w14:paraId="2464C8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313" w:hRule="atLeast"/>
                <w:jc w:val="center"/>
              </w:trPr>
              <w:tc>
                <w:tcPr>
                  <w:tcW w:w="645" w:type="pct"/>
                  <w:vMerge w:val="continue"/>
                  <w:tcBorders>
                    <w:tl2br w:val="nil"/>
                    <w:tr2bl w:val="nil"/>
                  </w:tcBorders>
                  <w:noWrap w:val="0"/>
                  <w:vAlign w:val="center"/>
                </w:tcPr>
                <w:p w14:paraId="6346FD79">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759" w:type="pct"/>
                  <w:tcBorders>
                    <w:tl2br w:val="nil"/>
                    <w:tr2bl w:val="nil"/>
                  </w:tcBorders>
                  <w:noWrap w:val="0"/>
                  <w:vAlign w:val="center"/>
                </w:tcPr>
                <w:p w14:paraId="3BD6AD64">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lang w:val="en-US"/>
                    </w:rPr>
                  </w:pPr>
                  <w:r>
                    <w:rPr>
                      <w:rFonts w:hint="default" w:ascii="Times New Roman" w:hAnsi="Times New Roman" w:eastAsia="宋体" w:cs="Times New Roman"/>
                      <w:b/>
                      <w:bCs w:val="0"/>
                      <w:color w:val="auto"/>
                      <w:kern w:val="2"/>
                      <w:sz w:val="21"/>
                      <w:szCs w:val="21"/>
                      <w:lang w:val="en-US" w:eastAsia="zh-CN" w:bidi="ar"/>
                    </w:rPr>
                    <w:t>出水浓度（mg/L）</w:t>
                  </w:r>
                  <w:r>
                    <w:rPr>
                      <w:rFonts w:hint="eastAsia" w:cs="Times New Roman"/>
                      <w:b/>
                      <w:bCs w:val="0"/>
                      <w:color w:val="auto"/>
                      <w:kern w:val="2"/>
                      <w:sz w:val="21"/>
                      <w:szCs w:val="21"/>
                      <w:lang w:val="en-US" w:eastAsia="zh-CN" w:bidi="ar"/>
                    </w:rPr>
                    <w:t>*</w:t>
                  </w:r>
                </w:p>
              </w:tc>
              <w:tc>
                <w:tcPr>
                  <w:tcW w:w="570" w:type="pct"/>
                  <w:tcBorders>
                    <w:tl2br w:val="nil"/>
                    <w:tr2bl w:val="nil"/>
                  </w:tcBorders>
                  <w:noWrap w:val="0"/>
                  <w:vAlign w:val="center"/>
                </w:tcPr>
                <w:p w14:paraId="0927E48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排放量（t/a）</w:t>
                  </w:r>
                </w:p>
              </w:tc>
              <w:tc>
                <w:tcPr>
                  <w:tcW w:w="781" w:type="pct"/>
                  <w:vMerge w:val="continue"/>
                  <w:tcBorders>
                    <w:tl2br w:val="nil"/>
                    <w:tr2bl w:val="nil"/>
                  </w:tcBorders>
                  <w:noWrap w:val="0"/>
                  <w:vAlign w:val="center"/>
                </w:tcPr>
                <w:p w14:paraId="69028C36">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color w:val="auto"/>
                      <w:sz w:val="20"/>
                      <w:szCs w:val="20"/>
                    </w:rPr>
                  </w:pPr>
                </w:p>
              </w:tc>
              <w:tc>
                <w:tcPr>
                  <w:tcW w:w="759" w:type="pct"/>
                  <w:tcBorders>
                    <w:tl2br w:val="nil"/>
                    <w:tr2bl w:val="nil"/>
                  </w:tcBorders>
                  <w:noWrap w:val="0"/>
                  <w:vAlign w:val="center"/>
                </w:tcPr>
                <w:p w14:paraId="01CF58F8">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进水标准（mg/L）</w:t>
                  </w:r>
                </w:p>
              </w:tc>
              <w:tc>
                <w:tcPr>
                  <w:tcW w:w="763" w:type="pct"/>
                  <w:tcBorders>
                    <w:tl2br w:val="nil"/>
                    <w:tr2bl w:val="nil"/>
                  </w:tcBorders>
                  <w:noWrap w:val="0"/>
                  <w:vAlign w:val="center"/>
                </w:tcPr>
                <w:p w14:paraId="0E5E10A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出水标准（mg/L）</w:t>
                  </w:r>
                </w:p>
              </w:tc>
              <w:tc>
                <w:tcPr>
                  <w:tcW w:w="721" w:type="pct"/>
                  <w:vMerge w:val="continue"/>
                  <w:tcBorders>
                    <w:tl2br w:val="nil"/>
                    <w:tr2bl w:val="nil"/>
                  </w:tcBorders>
                  <w:noWrap w:val="0"/>
                  <w:vAlign w:val="center"/>
                </w:tcPr>
                <w:p w14:paraId="0B93E35C">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color w:val="auto"/>
                      <w:sz w:val="20"/>
                      <w:szCs w:val="20"/>
                    </w:rPr>
                  </w:pPr>
                </w:p>
              </w:tc>
            </w:tr>
            <w:tr w14:paraId="7CF18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5" w:type="pct"/>
                  <w:tcBorders>
                    <w:tl2br w:val="nil"/>
                    <w:tr2bl w:val="nil"/>
                  </w:tcBorders>
                  <w:noWrap w:val="0"/>
                  <w:tcMar>
                    <w:left w:w="57" w:type="dxa"/>
                    <w:right w:w="57" w:type="dxa"/>
                  </w:tcMar>
                  <w:vAlign w:val="center"/>
                </w:tcPr>
                <w:p w14:paraId="6AF738F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污水量</w:t>
                  </w:r>
                </w:p>
              </w:tc>
              <w:tc>
                <w:tcPr>
                  <w:tcW w:w="759" w:type="pct"/>
                  <w:tcBorders>
                    <w:tl2br w:val="nil"/>
                    <w:tr2bl w:val="nil"/>
                  </w:tcBorders>
                  <w:noWrap w:val="0"/>
                  <w:vAlign w:val="center"/>
                </w:tcPr>
                <w:p w14:paraId="226352A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570" w:type="pct"/>
                  <w:tcBorders>
                    <w:tl2br w:val="nil"/>
                    <w:tr2bl w:val="nil"/>
                  </w:tcBorders>
                  <w:noWrap w:val="0"/>
                  <w:vAlign w:val="center"/>
                </w:tcPr>
                <w:p w14:paraId="6EA5A4A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432</w:t>
                  </w:r>
                </w:p>
              </w:tc>
              <w:tc>
                <w:tcPr>
                  <w:tcW w:w="781" w:type="pct"/>
                  <w:tcBorders>
                    <w:tl2br w:val="nil"/>
                    <w:tr2bl w:val="nil"/>
                  </w:tcBorders>
                  <w:noWrap w:val="0"/>
                  <w:vAlign w:val="center"/>
                </w:tcPr>
                <w:p w14:paraId="471321C1">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6533D71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w:t>
                  </w:r>
                </w:p>
              </w:tc>
              <w:tc>
                <w:tcPr>
                  <w:tcW w:w="763" w:type="pct"/>
                  <w:tcBorders>
                    <w:tl2br w:val="nil"/>
                    <w:tr2bl w:val="nil"/>
                  </w:tcBorders>
                  <w:noWrap w:val="0"/>
                  <w:vAlign w:val="center"/>
                </w:tcPr>
                <w:p w14:paraId="535CD931">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w:t>
                  </w:r>
                </w:p>
              </w:tc>
              <w:tc>
                <w:tcPr>
                  <w:tcW w:w="721" w:type="pct"/>
                  <w:tcBorders>
                    <w:tl2br w:val="nil"/>
                    <w:tr2bl w:val="nil"/>
                  </w:tcBorders>
                  <w:noWrap w:val="0"/>
                  <w:vAlign w:val="center"/>
                </w:tcPr>
                <w:p w14:paraId="24C95FB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432</w:t>
                  </w:r>
                </w:p>
              </w:tc>
            </w:tr>
            <w:tr w14:paraId="62780D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326" w:hRule="atLeast"/>
                <w:jc w:val="center"/>
              </w:trPr>
              <w:tc>
                <w:tcPr>
                  <w:tcW w:w="645" w:type="pct"/>
                  <w:tcBorders>
                    <w:tl2br w:val="nil"/>
                    <w:tr2bl w:val="nil"/>
                  </w:tcBorders>
                  <w:noWrap w:val="0"/>
                  <w:vAlign w:val="center"/>
                </w:tcPr>
                <w:p w14:paraId="7225687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COD</w:t>
                  </w:r>
                </w:p>
              </w:tc>
              <w:tc>
                <w:tcPr>
                  <w:tcW w:w="759" w:type="pct"/>
                  <w:tcBorders>
                    <w:tl2br w:val="nil"/>
                    <w:tr2bl w:val="nil"/>
                  </w:tcBorders>
                  <w:noWrap w:val="0"/>
                  <w:vAlign w:val="center"/>
                </w:tcPr>
                <w:p w14:paraId="20B1F0BF">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rPr>
                  </w:pPr>
                  <w:r>
                    <w:rPr>
                      <w:rFonts w:hint="eastAsia" w:cs="Times New Roman"/>
                      <w:color w:val="auto"/>
                      <w:kern w:val="2"/>
                      <w:sz w:val="21"/>
                      <w:szCs w:val="21"/>
                      <w:highlight w:val="none"/>
                      <w:lang w:val="en-US" w:eastAsia="zh-CN"/>
                    </w:rPr>
                    <w:t>178</w:t>
                  </w:r>
                </w:p>
              </w:tc>
              <w:tc>
                <w:tcPr>
                  <w:tcW w:w="570" w:type="pct"/>
                  <w:tcBorders>
                    <w:tl2br w:val="nil"/>
                    <w:tr2bl w:val="nil"/>
                  </w:tcBorders>
                  <w:noWrap w:val="0"/>
                  <w:vAlign w:val="center"/>
                </w:tcPr>
                <w:p w14:paraId="623E92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i w:val="0"/>
                      <w:iCs w:val="0"/>
                      <w:color w:val="auto"/>
                      <w:kern w:val="0"/>
                      <w:sz w:val="21"/>
                      <w:szCs w:val="21"/>
                      <w:u w:val="none"/>
                      <w:lang w:val="en-US" w:eastAsia="zh-CN" w:bidi="ar"/>
                    </w:rPr>
                    <w:t>0.0769</w:t>
                  </w:r>
                </w:p>
              </w:tc>
              <w:tc>
                <w:tcPr>
                  <w:tcW w:w="781" w:type="pct"/>
                  <w:tcBorders>
                    <w:tl2br w:val="nil"/>
                    <w:tr2bl w:val="nil"/>
                  </w:tcBorders>
                  <w:noWrap w:val="0"/>
                  <w:vAlign w:val="center"/>
                </w:tcPr>
                <w:p w14:paraId="2AC88E6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647E95A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390</w:t>
                  </w:r>
                </w:p>
              </w:tc>
              <w:tc>
                <w:tcPr>
                  <w:tcW w:w="763" w:type="pct"/>
                  <w:tcBorders>
                    <w:tl2br w:val="nil"/>
                    <w:tr2bl w:val="nil"/>
                  </w:tcBorders>
                  <w:noWrap w:val="0"/>
                  <w:vAlign w:val="center"/>
                </w:tcPr>
                <w:p w14:paraId="4240CAB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50</w:t>
                  </w:r>
                </w:p>
              </w:tc>
              <w:tc>
                <w:tcPr>
                  <w:tcW w:w="721" w:type="pct"/>
                  <w:tcBorders>
                    <w:tl2br w:val="nil"/>
                    <w:tr2bl w:val="nil"/>
                  </w:tcBorders>
                  <w:noWrap w:val="0"/>
                  <w:vAlign w:val="center"/>
                </w:tcPr>
                <w:p w14:paraId="5D04E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i w:val="0"/>
                      <w:iCs w:val="0"/>
                      <w:color w:val="auto"/>
                      <w:kern w:val="0"/>
                      <w:sz w:val="21"/>
                      <w:szCs w:val="21"/>
                      <w:u w:val="none"/>
                      <w:lang w:val="en-US" w:eastAsia="zh-CN" w:bidi="ar"/>
                    </w:rPr>
                    <w:t>0.0216</w:t>
                  </w:r>
                </w:p>
              </w:tc>
            </w:tr>
            <w:tr w14:paraId="063BAD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5" w:type="pct"/>
                  <w:tcBorders>
                    <w:tl2br w:val="nil"/>
                    <w:tr2bl w:val="nil"/>
                  </w:tcBorders>
                  <w:noWrap w:val="0"/>
                  <w:vAlign w:val="center"/>
                </w:tcPr>
                <w:p w14:paraId="21D8F9B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bidi="ar"/>
                    </w:rPr>
                    <w:t>NH</w:t>
                  </w:r>
                  <w:r>
                    <w:rPr>
                      <w:rFonts w:hint="default" w:ascii="Times New Roman" w:hAnsi="Times New Roman" w:eastAsia="宋体" w:cs="Times New Roman"/>
                      <w:color w:val="auto"/>
                      <w:kern w:val="2"/>
                      <w:sz w:val="21"/>
                      <w:szCs w:val="21"/>
                      <w:highlight w:val="none"/>
                      <w:vertAlign w:val="subscript"/>
                      <w:lang w:val="en-US" w:eastAsia="zh-CN" w:bidi="ar"/>
                    </w:rPr>
                    <w:t>3</w:t>
                  </w:r>
                  <w:r>
                    <w:rPr>
                      <w:rFonts w:hint="default" w:ascii="Times New Roman" w:hAnsi="Times New Roman" w:eastAsia="宋体" w:cs="Times New Roman"/>
                      <w:color w:val="auto"/>
                      <w:kern w:val="2"/>
                      <w:sz w:val="21"/>
                      <w:szCs w:val="21"/>
                      <w:highlight w:val="none"/>
                      <w:lang w:val="en-US" w:eastAsia="zh-CN" w:bidi="ar"/>
                    </w:rPr>
                    <w:t>-N</w:t>
                  </w:r>
                </w:p>
              </w:tc>
              <w:tc>
                <w:tcPr>
                  <w:tcW w:w="759" w:type="pct"/>
                  <w:tcBorders>
                    <w:tl2br w:val="nil"/>
                    <w:tr2bl w:val="nil"/>
                  </w:tcBorders>
                  <w:noWrap w:val="0"/>
                  <w:vAlign w:val="center"/>
                </w:tcPr>
                <w:p w14:paraId="6401F6D3">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17.5</w:t>
                  </w:r>
                </w:p>
              </w:tc>
              <w:tc>
                <w:tcPr>
                  <w:tcW w:w="570" w:type="pct"/>
                  <w:tcBorders>
                    <w:tl2br w:val="nil"/>
                    <w:tr2bl w:val="nil"/>
                  </w:tcBorders>
                  <w:noWrap w:val="0"/>
                  <w:vAlign w:val="center"/>
                </w:tcPr>
                <w:p w14:paraId="1B8F59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i w:val="0"/>
                      <w:iCs w:val="0"/>
                      <w:color w:val="auto"/>
                      <w:kern w:val="0"/>
                      <w:sz w:val="21"/>
                      <w:szCs w:val="21"/>
                      <w:u w:val="none"/>
                      <w:lang w:val="en-US" w:eastAsia="zh-CN" w:bidi="ar"/>
                    </w:rPr>
                    <w:t>0.0076</w:t>
                  </w:r>
                </w:p>
              </w:tc>
              <w:tc>
                <w:tcPr>
                  <w:tcW w:w="781" w:type="pct"/>
                  <w:tcBorders>
                    <w:tl2br w:val="nil"/>
                    <w:tr2bl w:val="nil"/>
                  </w:tcBorders>
                  <w:noWrap w:val="0"/>
                  <w:vAlign w:val="center"/>
                </w:tcPr>
                <w:p w14:paraId="797C2DF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75A69564">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35</w:t>
                  </w:r>
                </w:p>
              </w:tc>
              <w:tc>
                <w:tcPr>
                  <w:tcW w:w="763" w:type="pct"/>
                  <w:tcBorders>
                    <w:tl2br w:val="nil"/>
                    <w:tr2bl w:val="nil"/>
                  </w:tcBorders>
                  <w:noWrap w:val="0"/>
                  <w:vAlign w:val="center"/>
                </w:tcPr>
                <w:p w14:paraId="44926A86">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5</w:t>
                  </w:r>
                </w:p>
              </w:tc>
              <w:tc>
                <w:tcPr>
                  <w:tcW w:w="721" w:type="pct"/>
                  <w:tcBorders>
                    <w:tl2br w:val="nil"/>
                    <w:tr2bl w:val="nil"/>
                  </w:tcBorders>
                  <w:noWrap w:val="0"/>
                  <w:vAlign w:val="center"/>
                </w:tcPr>
                <w:p w14:paraId="1E5B9A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0.0022</w:t>
                  </w:r>
                </w:p>
              </w:tc>
            </w:tr>
            <w:tr w14:paraId="2468AD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trHeight w:val="90" w:hRule="atLeast"/>
                <w:jc w:val="center"/>
              </w:trPr>
              <w:tc>
                <w:tcPr>
                  <w:tcW w:w="645" w:type="pct"/>
                  <w:tcBorders>
                    <w:tl2br w:val="nil"/>
                    <w:tr2bl w:val="nil"/>
                  </w:tcBorders>
                  <w:noWrap w:val="0"/>
                  <w:vAlign w:val="center"/>
                </w:tcPr>
                <w:p w14:paraId="1F620BE5">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BOD</w:t>
                  </w:r>
                  <w:r>
                    <w:rPr>
                      <w:rFonts w:hint="default" w:ascii="Times New Roman" w:hAnsi="Times New Roman" w:eastAsia="宋体" w:cs="Times New Roman"/>
                      <w:color w:val="auto"/>
                      <w:kern w:val="2"/>
                      <w:sz w:val="21"/>
                      <w:szCs w:val="21"/>
                      <w:highlight w:val="none"/>
                      <w:vertAlign w:val="subscript"/>
                      <w:lang w:val="en-US" w:eastAsia="zh-CN" w:bidi="ar"/>
                    </w:rPr>
                    <w:t>5</w:t>
                  </w:r>
                </w:p>
              </w:tc>
              <w:tc>
                <w:tcPr>
                  <w:tcW w:w="759" w:type="pct"/>
                  <w:tcBorders>
                    <w:tl2br w:val="nil"/>
                    <w:tr2bl w:val="nil"/>
                  </w:tcBorders>
                  <w:noWrap w:val="0"/>
                  <w:vAlign w:val="center"/>
                </w:tcPr>
                <w:p w14:paraId="68D1752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rPr>
                  </w:pPr>
                  <w:r>
                    <w:rPr>
                      <w:rFonts w:hint="eastAsia" w:cs="Times New Roman"/>
                      <w:color w:val="auto"/>
                      <w:kern w:val="2"/>
                      <w:sz w:val="21"/>
                      <w:szCs w:val="21"/>
                      <w:highlight w:val="none"/>
                      <w:lang w:val="en-US" w:eastAsia="zh-CN"/>
                    </w:rPr>
                    <w:t>36.8</w:t>
                  </w:r>
                </w:p>
              </w:tc>
              <w:tc>
                <w:tcPr>
                  <w:tcW w:w="570" w:type="pct"/>
                  <w:tcBorders>
                    <w:tl2br w:val="nil"/>
                    <w:tr2bl w:val="nil"/>
                  </w:tcBorders>
                  <w:noWrap w:val="0"/>
                  <w:vAlign w:val="center"/>
                </w:tcPr>
                <w:p w14:paraId="5B94D1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i w:val="0"/>
                      <w:iCs w:val="0"/>
                      <w:color w:val="auto"/>
                      <w:kern w:val="0"/>
                      <w:sz w:val="21"/>
                      <w:szCs w:val="21"/>
                      <w:u w:val="none"/>
                      <w:lang w:val="en-US" w:eastAsia="zh-CN" w:bidi="ar"/>
                    </w:rPr>
                    <w:t>0.0159</w:t>
                  </w:r>
                </w:p>
              </w:tc>
              <w:tc>
                <w:tcPr>
                  <w:tcW w:w="781" w:type="pct"/>
                  <w:tcBorders>
                    <w:tl2br w:val="nil"/>
                    <w:tr2bl w:val="nil"/>
                  </w:tcBorders>
                  <w:noWrap w:val="0"/>
                  <w:vAlign w:val="center"/>
                </w:tcPr>
                <w:p w14:paraId="4199A510">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76826FB9">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190</w:t>
                  </w:r>
                </w:p>
              </w:tc>
              <w:tc>
                <w:tcPr>
                  <w:tcW w:w="763" w:type="pct"/>
                  <w:tcBorders>
                    <w:tl2br w:val="nil"/>
                    <w:tr2bl w:val="nil"/>
                  </w:tcBorders>
                  <w:noWrap w:val="0"/>
                  <w:vAlign w:val="center"/>
                </w:tcPr>
                <w:p w14:paraId="389DF61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10</w:t>
                  </w:r>
                </w:p>
              </w:tc>
              <w:tc>
                <w:tcPr>
                  <w:tcW w:w="721" w:type="pct"/>
                  <w:tcBorders>
                    <w:tl2br w:val="nil"/>
                    <w:tr2bl w:val="nil"/>
                  </w:tcBorders>
                  <w:noWrap w:val="0"/>
                  <w:vAlign w:val="center"/>
                </w:tcPr>
                <w:p w14:paraId="669781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0.0043</w:t>
                  </w:r>
                </w:p>
              </w:tc>
            </w:tr>
            <w:tr w14:paraId="5983A8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5" w:type="pct"/>
                  <w:tcBorders>
                    <w:tl2br w:val="nil"/>
                    <w:tr2bl w:val="nil"/>
                  </w:tcBorders>
                  <w:noWrap w:val="0"/>
                  <w:vAlign w:val="center"/>
                </w:tcPr>
                <w:p w14:paraId="068CB3C8">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SS</w:t>
                  </w:r>
                </w:p>
              </w:tc>
              <w:tc>
                <w:tcPr>
                  <w:tcW w:w="759" w:type="pct"/>
                  <w:tcBorders>
                    <w:tl2br w:val="nil"/>
                    <w:tr2bl w:val="nil"/>
                  </w:tcBorders>
                  <w:noWrap w:val="0"/>
                  <w:vAlign w:val="center"/>
                </w:tcPr>
                <w:p w14:paraId="15119495">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81</w:t>
                  </w:r>
                </w:p>
              </w:tc>
              <w:tc>
                <w:tcPr>
                  <w:tcW w:w="570" w:type="pct"/>
                  <w:tcBorders>
                    <w:tl2br w:val="nil"/>
                    <w:tr2bl w:val="nil"/>
                  </w:tcBorders>
                  <w:noWrap w:val="0"/>
                  <w:vAlign w:val="center"/>
                </w:tcPr>
                <w:p w14:paraId="5E1E18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i w:val="0"/>
                      <w:iCs w:val="0"/>
                      <w:color w:val="auto"/>
                      <w:kern w:val="0"/>
                      <w:sz w:val="21"/>
                      <w:szCs w:val="21"/>
                      <w:u w:val="none"/>
                      <w:lang w:val="en-US" w:eastAsia="zh-CN" w:bidi="ar"/>
                    </w:rPr>
                    <w:t>0.035</w:t>
                  </w:r>
                </w:p>
              </w:tc>
              <w:tc>
                <w:tcPr>
                  <w:tcW w:w="781" w:type="pct"/>
                  <w:tcBorders>
                    <w:tl2br w:val="nil"/>
                    <w:tr2bl w:val="nil"/>
                  </w:tcBorders>
                  <w:noWrap w:val="0"/>
                  <w:vAlign w:val="center"/>
                </w:tcPr>
                <w:p w14:paraId="6EDA3B00">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p>
              </w:tc>
              <w:tc>
                <w:tcPr>
                  <w:tcW w:w="759" w:type="pct"/>
                  <w:tcBorders>
                    <w:tl2br w:val="nil"/>
                    <w:tr2bl w:val="nil"/>
                  </w:tcBorders>
                  <w:noWrap w:val="0"/>
                  <w:vAlign w:val="center"/>
                </w:tcPr>
                <w:p w14:paraId="2620ADC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rPr>
                  </w:pPr>
                  <w:r>
                    <w:rPr>
                      <w:rFonts w:hint="eastAsia" w:cs="Times New Roman"/>
                      <w:color w:val="auto"/>
                      <w:kern w:val="2"/>
                      <w:sz w:val="21"/>
                      <w:szCs w:val="21"/>
                      <w:highlight w:val="none"/>
                      <w:lang w:val="en-US" w:eastAsia="zh-CN" w:bidi="ar"/>
                    </w:rPr>
                    <w:t>280</w:t>
                  </w:r>
                </w:p>
              </w:tc>
              <w:tc>
                <w:tcPr>
                  <w:tcW w:w="763" w:type="pct"/>
                  <w:tcBorders>
                    <w:tl2br w:val="nil"/>
                    <w:tr2bl w:val="nil"/>
                  </w:tcBorders>
                  <w:noWrap w:val="0"/>
                  <w:vAlign w:val="center"/>
                </w:tcPr>
                <w:p w14:paraId="5C064DFF">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10</w:t>
                  </w:r>
                </w:p>
              </w:tc>
              <w:tc>
                <w:tcPr>
                  <w:tcW w:w="721" w:type="pct"/>
                  <w:tcBorders>
                    <w:tl2br w:val="nil"/>
                    <w:tr2bl w:val="nil"/>
                  </w:tcBorders>
                  <w:noWrap w:val="0"/>
                  <w:vAlign w:val="center"/>
                </w:tcPr>
                <w:p w14:paraId="24B3CD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0.0043</w:t>
                  </w:r>
                </w:p>
              </w:tc>
            </w:tr>
            <w:tr w14:paraId="7DECF2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5" w:type="pct"/>
                  <w:tcBorders>
                    <w:tl2br w:val="nil"/>
                    <w:tr2bl w:val="nil"/>
                  </w:tcBorders>
                  <w:noWrap w:val="0"/>
                  <w:vAlign w:val="center"/>
                </w:tcPr>
                <w:p w14:paraId="41AF8BB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TP</w:t>
                  </w:r>
                </w:p>
              </w:tc>
              <w:tc>
                <w:tcPr>
                  <w:tcW w:w="759" w:type="pct"/>
                  <w:tcBorders>
                    <w:tl2br w:val="nil"/>
                    <w:tr2bl w:val="nil"/>
                  </w:tcBorders>
                  <w:noWrap w:val="0"/>
                  <w:vAlign w:val="center"/>
                </w:tcPr>
                <w:p w14:paraId="104C98B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1.83</w:t>
                  </w:r>
                </w:p>
              </w:tc>
              <w:tc>
                <w:tcPr>
                  <w:tcW w:w="570" w:type="pct"/>
                  <w:tcBorders>
                    <w:tl2br w:val="nil"/>
                    <w:tr2bl w:val="nil"/>
                  </w:tcBorders>
                  <w:noWrap w:val="0"/>
                  <w:vAlign w:val="center"/>
                </w:tcPr>
                <w:p w14:paraId="625E82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0.0008</w:t>
                  </w:r>
                </w:p>
              </w:tc>
              <w:tc>
                <w:tcPr>
                  <w:tcW w:w="781" w:type="pct"/>
                  <w:tcBorders>
                    <w:tl2br w:val="nil"/>
                    <w:tr2bl w:val="nil"/>
                  </w:tcBorders>
                  <w:noWrap w:val="0"/>
                  <w:vAlign w:val="center"/>
                </w:tcPr>
                <w:p w14:paraId="3909130A">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w:t>
                  </w:r>
                </w:p>
              </w:tc>
              <w:tc>
                <w:tcPr>
                  <w:tcW w:w="759" w:type="pct"/>
                  <w:tcBorders>
                    <w:tl2br w:val="nil"/>
                    <w:tr2bl w:val="nil"/>
                  </w:tcBorders>
                  <w:noWrap w:val="0"/>
                  <w:vAlign w:val="center"/>
                </w:tcPr>
                <w:p w14:paraId="5C466D9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5</w:t>
                  </w:r>
                </w:p>
              </w:tc>
              <w:tc>
                <w:tcPr>
                  <w:tcW w:w="763" w:type="pct"/>
                  <w:tcBorders>
                    <w:tl2br w:val="nil"/>
                    <w:tr2bl w:val="nil"/>
                  </w:tcBorders>
                  <w:noWrap w:val="0"/>
                  <w:vAlign w:val="center"/>
                </w:tcPr>
                <w:p w14:paraId="4D3DD4ED">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0.5</w:t>
                  </w:r>
                </w:p>
              </w:tc>
              <w:tc>
                <w:tcPr>
                  <w:tcW w:w="721" w:type="pct"/>
                  <w:tcBorders>
                    <w:tl2br w:val="nil"/>
                    <w:tr2bl w:val="nil"/>
                  </w:tcBorders>
                  <w:noWrap w:val="0"/>
                  <w:vAlign w:val="center"/>
                </w:tcPr>
                <w:p w14:paraId="3AFE5E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2"/>
                      <w:szCs w:val="22"/>
                      <w:u w:val="none"/>
                      <w:lang w:val="en-US" w:eastAsia="zh-CN" w:bidi="ar"/>
                    </w:rPr>
                  </w:pPr>
                  <w:r>
                    <w:rPr>
                      <w:rFonts w:hint="eastAsia" w:cs="Times New Roman"/>
                      <w:b w:val="0"/>
                      <w:bCs w:val="0"/>
                      <w:i w:val="0"/>
                      <w:iCs w:val="0"/>
                      <w:color w:val="auto"/>
                      <w:kern w:val="0"/>
                      <w:sz w:val="22"/>
                      <w:szCs w:val="22"/>
                      <w:u w:val="none"/>
                      <w:lang w:val="en-US" w:eastAsia="zh-CN" w:bidi="ar"/>
                    </w:rPr>
                    <w:t>0.0002</w:t>
                  </w:r>
                </w:p>
              </w:tc>
            </w:tr>
            <w:tr w14:paraId="5308BB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645" w:type="pct"/>
                  <w:tcBorders>
                    <w:tl2br w:val="nil"/>
                    <w:tr2bl w:val="nil"/>
                  </w:tcBorders>
                  <w:noWrap w:val="0"/>
                  <w:vAlign w:val="center"/>
                </w:tcPr>
                <w:p w14:paraId="4F478D4C">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cs="Times New Roman"/>
                      <w:b w:val="0"/>
                      <w:bCs w:val="0"/>
                      <w:color w:val="auto"/>
                      <w:kern w:val="2"/>
                      <w:sz w:val="21"/>
                      <w:szCs w:val="21"/>
                      <w:highlight w:val="none"/>
                      <w:u w:val="none"/>
                      <w:lang w:val="en-US" w:eastAsia="zh-CN" w:bidi="ar"/>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pH</w:t>
                  </w:r>
                </w:p>
              </w:tc>
              <w:tc>
                <w:tcPr>
                  <w:tcW w:w="759" w:type="pct"/>
                  <w:tcBorders>
                    <w:tl2br w:val="nil"/>
                    <w:tr2bl w:val="nil"/>
                  </w:tcBorders>
                  <w:noWrap w:val="0"/>
                  <w:vAlign w:val="center"/>
                </w:tcPr>
                <w:p w14:paraId="12CFF054">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leftChars="0" w:right="0" w:rightChars="0"/>
                    <w:jc w:val="center"/>
                    <w:rPr>
                      <w:rFonts w:hint="default"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7.5（无量纲）</w:t>
                  </w:r>
                </w:p>
              </w:tc>
              <w:tc>
                <w:tcPr>
                  <w:tcW w:w="570" w:type="pct"/>
                  <w:tcBorders>
                    <w:tl2br w:val="nil"/>
                    <w:tr2bl w:val="nil"/>
                  </w:tcBorders>
                  <w:noWrap w:val="0"/>
                  <w:vAlign w:val="center"/>
                </w:tcPr>
                <w:p w14:paraId="2F1DE11C">
                  <w:pPr>
                    <w:keepNext w:val="0"/>
                    <w:keepLines w:val="0"/>
                    <w:widowControl/>
                    <w:suppressLineNumbers w:val="0"/>
                    <w:spacing w:before="0" w:beforeAutospacing="0" w:after="0" w:afterAutospacing="0"/>
                    <w:ind w:left="0" w:right="0"/>
                    <w:jc w:val="center"/>
                    <w:textAlignment w:val="center"/>
                    <w:rPr>
                      <w:rFonts w:hint="default" w:cs="Times New Roman"/>
                      <w:b w:val="0"/>
                      <w:bCs w:val="0"/>
                      <w:i w:val="0"/>
                      <w:iCs w:val="0"/>
                      <w:color w:val="auto"/>
                      <w:kern w:val="0"/>
                      <w:sz w:val="22"/>
                      <w:szCs w:val="22"/>
                      <w:u w:val="none"/>
                      <w:lang w:val="en-US" w:eastAsia="zh-CN" w:bidi="ar"/>
                    </w:rPr>
                  </w:pPr>
                  <w:r>
                    <w:rPr>
                      <w:rFonts w:hint="eastAsia" w:cs="Times New Roman"/>
                      <w:color w:val="auto"/>
                      <w:kern w:val="2"/>
                      <w:sz w:val="21"/>
                      <w:szCs w:val="21"/>
                      <w:highlight w:val="none"/>
                      <w:lang w:val="en-US" w:eastAsia="zh-CN"/>
                    </w:rPr>
                    <w:t>-</w:t>
                  </w:r>
                </w:p>
              </w:tc>
              <w:tc>
                <w:tcPr>
                  <w:tcW w:w="781" w:type="pct"/>
                  <w:tcBorders>
                    <w:tl2br w:val="nil"/>
                    <w:tr2bl w:val="nil"/>
                  </w:tcBorders>
                  <w:noWrap w:val="0"/>
                  <w:vAlign w:val="center"/>
                </w:tcPr>
                <w:p w14:paraId="140643AE">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6-9</w:t>
                  </w:r>
                </w:p>
              </w:tc>
              <w:tc>
                <w:tcPr>
                  <w:tcW w:w="759" w:type="pct"/>
                  <w:tcBorders>
                    <w:tl2br w:val="nil"/>
                    <w:tr2bl w:val="nil"/>
                  </w:tcBorders>
                  <w:noWrap w:val="0"/>
                  <w:vAlign w:val="center"/>
                </w:tcPr>
                <w:p w14:paraId="769902B5">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w:t>
                  </w:r>
                </w:p>
              </w:tc>
              <w:tc>
                <w:tcPr>
                  <w:tcW w:w="763" w:type="pct"/>
                  <w:tcBorders>
                    <w:tl2br w:val="nil"/>
                    <w:tr2bl w:val="nil"/>
                  </w:tcBorders>
                  <w:noWrap w:val="0"/>
                  <w:vAlign w:val="center"/>
                </w:tcPr>
                <w:p w14:paraId="2713A5D2">
                  <w:pPr>
                    <w:keepNext w:val="0"/>
                    <w:keepLines w:val="0"/>
                    <w:pageBreakBefore w:val="0"/>
                    <w:widowControl/>
                    <w:suppressLineNumbers w:val="0"/>
                    <w:kinsoku/>
                    <w:wordWrap/>
                    <w:topLinePunct w:val="0"/>
                    <w:autoSpaceDE w:val="0"/>
                    <w:autoSpaceDN w:val="0"/>
                    <w:bidi w:val="0"/>
                    <w:adjustRightInd w:val="0"/>
                    <w:snapToGrid w:val="0"/>
                    <w:spacing w:before="0" w:beforeAutospacing="0" w:after="0" w:afterAutospacing="0"/>
                    <w:ind w:left="0" w:right="0"/>
                    <w:jc w:val="center"/>
                    <w:rPr>
                      <w:rFonts w:hint="eastAsia" w:cs="Times New Roman"/>
                      <w:b w:val="0"/>
                      <w:bCs w:val="0"/>
                      <w:color w:val="auto"/>
                      <w:kern w:val="2"/>
                      <w:sz w:val="21"/>
                      <w:szCs w:val="21"/>
                      <w:highlight w:val="none"/>
                      <w:u w:val="none"/>
                      <w:lang w:val="en-US" w:eastAsia="zh-CN" w:bidi="ar"/>
                    </w:rPr>
                  </w:pPr>
                  <w:r>
                    <w:rPr>
                      <w:rFonts w:hint="eastAsia" w:cs="Times New Roman"/>
                      <w:b w:val="0"/>
                      <w:bCs w:val="0"/>
                      <w:color w:val="auto"/>
                      <w:kern w:val="2"/>
                      <w:sz w:val="21"/>
                      <w:szCs w:val="21"/>
                      <w:highlight w:val="none"/>
                      <w:u w:val="none"/>
                      <w:lang w:val="en-US" w:eastAsia="zh-CN" w:bidi="ar"/>
                    </w:rPr>
                    <w:t>6-9</w:t>
                  </w:r>
                </w:p>
              </w:tc>
              <w:tc>
                <w:tcPr>
                  <w:tcW w:w="721" w:type="pct"/>
                  <w:tcBorders>
                    <w:tl2br w:val="nil"/>
                    <w:tr2bl w:val="nil"/>
                  </w:tcBorders>
                  <w:noWrap w:val="0"/>
                  <w:vAlign w:val="center"/>
                </w:tcPr>
                <w:p w14:paraId="3B067586">
                  <w:pPr>
                    <w:keepNext w:val="0"/>
                    <w:keepLines w:val="0"/>
                    <w:widowControl/>
                    <w:suppressLineNumbers w:val="0"/>
                    <w:spacing w:before="0" w:beforeAutospacing="0" w:after="0" w:afterAutospacing="0"/>
                    <w:ind w:left="0" w:right="0"/>
                    <w:jc w:val="center"/>
                    <w:textAlignment w:val="center"/>
                    <w:rPr>
                      <w:rFonts w:hint="default" w:cs="Times New Roman"/>
                      <w:b w:val="0"/>
                      <w:bCs w:val="0"/>
                      <w:i w:val="0"/>
                      <w:iCs w:val="0"/>
                      <w:color w:val="auto"/>
                      <w:kern w:val="0"/>
                      <w:sz w:val="22"/>
                      <w:szCs w:val="22"/>
                      <w:u w:val="none"/>
                      <w:lang w:val="en-US" w:eastAsia="zh-CN" w:bidi="ar"/>
                    </w:rPr>
                  </w:pPr>
                  <w:r>
                    <w:rPr>
                      <w:rFonts w:hint="eastAsia" w:cs="Times New Roman"/>
                      <w:b w:val="0"/>
                      <w:bCs w:val="0"/>
                      <w:i w:val="0"/>
                      <w:iCs w:val="0"/>
                      <w:color w:val="auto"/>
                      <w:kern w:val="0"/>
                      <w:sz w:val="22"/>
                      <w:szCs w:val="22"/>
                      <w:u w:val="none"/>
                      <w:lang w:val="en-US" w:eastAsia="zh-CN" w:bidi="ar"/>
                    </w:rPr>
                    <w:t>/</w:t>
                  </w:r>
                </w:p>
              </w:tc>
            </w:tr>
            <w:tr w14:paraId="2C23BC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28" w:type="dxa"/>
                  <w:bottom w:w="28" w:type="dxa"/>
                  <w:right w:w="28" w:type="dxa"/>
                </w:tblCellMar>
              </w:tblPrEx>
              <w:trPr>
                <w:jc w:val="center"/>
              </w:trPr>
              <w:tc>
                <w:tcPr>
                  <w:tcW w:w="5000" w:type="pct"/>
                  <w:gridSpan w:val="7"/>
                  <w:tcBorders>
                    <w:tl2br w:val="nil"/>
                    <w:tr2bl w:val="nil"/>
                  </w:tcBorders>
                  <w:noWrap w:val="0"/>
                  <w:vAlign w:val="center"/>
                </w:tcPr>
                <w:p w14:paraId="1EB06C0C">
                  <w:pPr>
                    <w:keepNext w:val="0"/>
                    <w:keepLines w:val="0"/>
                    <w:widowControl/>
                    <w:suppressLineNumbers w:val="0"/>
                    <w:spacing w:before="0" w:beforeAutospacing="0" w:after="0" w:afterAutospacing="0"/>
                    <w:ind w:left="0" w:right="0"/>
                    <w:jc w:val="both"/>
                    <w:textAlignment w:val="center"/>
                    <w:rPr>
                      <w:rFonts w:hint="default" w:cs="Times New Roman"/>
                      <w:b w:val="0"/>
                      <w:bCs w:val="0"/>
                      <w:i w:val="0"/>
                      <w:iCs w:val="0"/>
                      <w:color w:val="auto"/>
                      <w:kern w:val="0"/>
                      <w:sz w:val="22"/>
                      <w:szCs w:val="22"/>
                      <w:u w:val="none"/>
                      <w:lang w:val="en-US" w:eastAsia="zh-CN" w:bidi="ar"/>
                    </w:rPr>
                  </w:pPr>
                  <w:r>
                    <w:rPr>
                      <w:rFonts w:hint="eastAsia" w:cs="Times New Roman"/>
                      <w:b w:val="0"/>
                      <w:bCs w:val="0"/>
                      <w:i w:val="0"/>
                      <w:iCs w:val="0"/>
                      <w:color w:val="auto"/>
                      <w:kern w:val="0"/>
                      <w:sz w:val="22"/>
                      <w:szCs w:val="22"/>
                      <w:u w:val="none"/>
                      <w:lang w:val="en-US" w:eastAsia="zh-CN" w:bidi="ar"/>
                    </w:rPr>
                    <w:t>注*：污染物出水浓度取检测数据平均值</w:t>
                  </w:r>
                </w:p>
              </w:tc>
            </w:tr>
          </w:tbl>
          <w:p w14:paraId="416ECC9C">
            <w:pPr>
              <w:keepNext w:val="0"/>
              <w:keepLines w:val="0"/>
              <w:suppressLineNumbers w:val="0"/>
              <w:autoSpaceDE w:val="0"/>
              <w:autoSpaceDN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color w:val="auto"/>
                <w:kern w:val="2"/>
                <w:sz w:val="24"/>
                <w:szCs w:val="24"/>
                <w:highlight w:val="none"/>
                <w:u w:val="none" w:color="auto"/>
                <w:lang w:val="en-US" w:eastAsia="zh-CN" w:bidi="ar-SA"/>
              </w:rPr>
              <w:t>根据《固定污染源排污许可分类管理名录》（2019年版），项目属于第二十四项“橡胶和塑料制品业29”中第62条“塑料制品业292”，属于“其他”，为排污许可登记管理。根据《排污单位自行监测技术指南 总则》（HJ 819-2017）中频次要求每年监测一次。</w:t>
            </w:r>
          </w:p>
          <w:p w14:paraId="2926B76B">
            <w:pPr>
              <w:pStyle w:val="83"/>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Lines="0" w:afterAutospacing="0" w:line="240" w:lineRule="auto"/>
              <w:ind w:right="0"/>
              <w:jc w:val="center"/>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rPr>
              <w:t>运营期废水监测计划一览表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2455"/>
              <w:gridCol w:w="1483"/>
              <w:gridCol w:w="979"/>
              <w:gridCol w:w="2257"/>
            </w:tblGrid>
            <w:tr w14:paraId="5F523B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18" w:type="pct"/>
                  <w:tcBorders>
                    <w:tl2br w:val="nil"/>
                    <w:tr2bl w:val="nil"/>
                  </w:tcBorders>
                  <w:noWrap w:val="0"/>
                  <w:vAlign w:val="center"/>
                </w:tcPr>
                <w:p w14:paraId="349E30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监测点位</w:t>
                  </w:r>
                </w:p>
              </w:tc>
              <w:tc>
                <w:tcPr>
                  <w:tcW w:w="1397" w:type="pct"/>
                  <w:tcBorders>
                    <w:tl2br w:val="nil"/>
                    <w:tr2bl w:val="nil"/>
                  </w:tcBorders>
                  <w:noWrap w:val="0"/>
                  <w:vAlign w:val="center"/>
                </w:tcPr>
                <w:p w14:paraId="3F0E1297">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kern w:val="2"/>
                      <w:sz w:val="21"/>
                      <w:szCs w:val="21"/>
                      <w:u w:val="none" w:color="auto"/>
                      <w:lang w:val="en-US" w:eastAsia="zh-CN" w:bidi="ar"/>
                    </w:rPr>
                  </w:pPr>
                  <w:r>
                    <w:rPr>
                      <w:rFonts w:hint="default" w:ascii="Times New Roman" w:hAnsi="Times New Roman" w:eastAsia="宋体" w:cs="Times New Roman"/>
                      <w:b/>
                      <w:bCs/>
                      <w:color w:val="auto"/>
                      <w:kern w:val="2"/>
                      <w:sz w:val="21"/>
                      <w:szCs w:val="21"/>
                      <w:u w:val="none" w:color="auto"/>
                      <w:lang w:val="en-US" w:eastAsia="zh-CN" w:bidi="ar"/>
                    </w:rPr>
                    <w:t>排放口地理坐标</w:t>
                  </w:r>
                </w:p>
              </w:tc>
              <w:tc>
                <w:tcPr>
                  <w:tcW w:w="844" w:type="pct"/>
                  <w:tcBorders>
                    <w:tl2br w:val="nil"/>
                    <w:tr2bl w:val="nil"/>
                  </w:tcBorders>
                  <w:noWrap w:val="0"/>
                  <w:vAlign w:val="center"/>
                </w:tcPr>
                <w:p w14:paraId="3C85FC0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监测指标</w:t>
                  </w:r>
                </w:p>
              </w:tc>
              <w:tc>
                <w:tcPr>
                  <w:tcW w:w="557" w:type="pct"/>
                  <w:tcBorders>
                    <w:tl2br w:val="nil"/>
                    <w:tr2bl w:val="nil"/>
                  </w:tcBorders>
                  <w:noWrap w:val="0"/>
                  <w:vAlign w:val="center"/>
                </w:tcPr>
                <w:p w14:paraId="14B8FD7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监测频次</w:t>
                  </w:r>
                </w:p>
              </w:tc>
              <w:tc>
                <w:tcPr>
                  <w:tcW w:w="1282" w:type="pct"/>
                  <w:tcBorders>
                    <w:tl2br w:val="nil"/>
                    <w:tr2bl w:val="nil"/>
                  </w:tcBorders>
                  <w:noWrap w:val="0"/>
                  <w:vAlign w:val="center"/>
                </w:tcPr>
                <w:p w14:paraId="7C67F1F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u w:val="none" w:color="auto"/>
                      <w:lang w:val="en-US" w:eastAsia="zh-CN"/>
                    </w:rPr>
                  </w:pPr>
                  <w:r>
                    <w:rPr>
                      <w:rFonts w:hint="eastAsia" w:ascii="Times New Roman" w:hAnsi="Times New Roman" w:eastAsia="宋体" w:cs="Times New Roman"/>
                      <w:b/>
                      <w:bCs/>
                      <w:color w:val="auto"/>
                      <w:kern w:val="2"/>
                      <w:sz w:val="21"/>
                      <w:szCs w:val="21"/>
                      <w:u w:val="none" w:color="auto"/>
                      <w:lang w:val="en-US" w:eastAsia="zh-CN" w:bidi="ar"/>
                    </w:rPr>
                    <w:t>执行标准</w:t>
                  </w:r>
                </w:p>
              </w:tc>
            </w:tr>
            <w:tr w14:paraId="5D523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918" w:type="pct"/>
                  <w:tcBorders>
                    <w:tl2br w:val="nil"/>
                    <w:tr2bl w:val="nil"/>
                  </w:tcBorders>
                  <w:noWrap w:val="0"/>
                  <w:vAlign w:val="center"/>
                </w:tcPr>
                <w:p w14:paraId="64C9D5A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rPr>
                  </w:pPr>
                  <w:r>
                    <w:rPr>
                      <w:rFonts w:hint="eastAsia" w:ascii="Times New Roman" w:hAnsi="Times New Roman" w:eastAsia="宋体" w:cs="Times New Roman"/>
                      <w:b w:val="0"/>
                      <w:bCs w:val="0"/>
                      <w:color w:val="auto"/>
                      <w:kern w:val="2"/>
                      <w:sz w:val="21"/>
                      <w:szCs w:val="21"/>
                      <w:u w:val="none" w:color="auto"/>
                      <w:lang w:val="en-US" w:eastAsia="zh-CN" w:bidi="ar"/>
                    </w:rPr>
                    <w:t>废水总排口DW001</w:t>
                  </w:r>
                </w:p>
              </w:tc>
              <w:tc>
                <w:tcPr>
                  <w:tcW w:w="1397" w:type="pct"/>
                  <w:tcBorders>
                    <w:tl2br w:val="nil"/>
                    <w:tr2bl w:val="nil"/>
                  </w:tcBorders>
                  <w:noWrap w:val="0"/>
                  <w:vAlign w:val="center"/>
                </w:tcPr>
                <w:p w14:paraId="46D435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bidi="ar"/>
                    </w:rPr>
                  </w:pPr>
                  <w:r>
                    <w:rPr>
                      <w:rFonts w:hint="eastAsia" w:ascii="Times New Roman" w:hAnsi="Times New Roman" w:eastAsia="宋体" w:cs="Times New Roman"/>
                      <w:b w:val="0"/>
                      <w:bCs w:val="0"/>
                      <w:color w:val="auto"/>
                      <w:kern w:val="2"/>
                      <w:sz w:val="21"/>
                      <w:szCs w:val="21"/>
                      <w:u w:val="none" w:color="auto"/>
                      <w:lang w:val="en-US" w:eastAsia="zh-CN" w:bidi="ar"/>
                    </w:rPr>
                    <w:t>E</w:t>
                  </w:r>
                  <w:r>
                    <w:rPr>
                      <w:rFonts w:hint="default" w:ascii="Times New Roman" w:hAnsi="Times New Roman" w:eastAsia="宋体" w:cs="Times New Roman"/>
                      <w:b w:val="0"/>
                      <w:bCs w:val="0"/>
                      <w:color w:val="auto"/>
                      <w:kern w:val="2"/>
                      <w:sz w:val="21"/>
                      <w:szCs w:val="21"/>
                      <w:u w:val="none" w:color="auto"/>
                      <w:lang w:val="en-US" w:eastAsia="zh-CN" w:bidi="ar"/>
                    </w:rPr>
                    <w:t>114°27′0.20</w:t>
                  </w:r>
                  <w:r>
                    <w:rPr>
                      <w:rFonts w:hint="eastAsia" w:cs="Times New Roman"/>
                      <w:b w:val="0"/>
                      <w:bCs w:val="0"/>
                      <w:color w:val="auto"/>
                      <w:kern w:val="2"/>
                      <w:sz w:val="21"/>
                      <w:szCs w:val="21"/>
                      <w:u w:val="none" w:color="auto"/>
                      <w:lang w:val="en-US" w:eastAsia="zh-CN" w:bidi="ar"/>
                    </w:rPr>
                    <w:t>9</w:t>
                  </w:r>
                  <w:r>
                    <w:rPr>
                      <w:rFonts w:hint="default" w:ascii="Times New Roman" w:hAnsi="Times New Roman" w:eastAsia="宋体" w:cs="Times New Roman"/>
                      <w:b w:val="0"/>
                      <w:bCs w:val="0"/>
                      <w:color w:val="auto"/>
                      <w:kern w:val="2"/>
                      <w:sz w:val="21"/>
                      <w:szCs w:val="21"/>
                      <w:u w:val="none" w:color="auto"/>
                      <w:lang w:val="en-US" w:eastAsia="zh-CN" w:bidi="ar"/>
                    </w:rPr>
                    <w:t>″</w:t>
                  </w:r>
                  <w:r>
                    <w:rPr>
                      <w:rFonts w:hint="eastAsia" w:cs="Times New Roman"/>
                      <w:b w:val="0"/>
                      <w:bCs w:val="0"/>
                      <w:color w:val="auto"/>
                      <w:kern w:val="2"/>
                      <w:sz w:val="21"/>
                      <w:szCs w:val="21"/>
                      <w:u w:val="none" w:color="auto"/>
                      <w:lang w:val="en-US" w:eastAsia="zh-CN" w:bidi="ar"/>
                    </w:rPr>
                    <w:t xml:space="preserve"> </w:t>
                  </w:r>
                  <w:r>
                    <w:rPr>
                      <w:rFonts w:hint="eastAsia" w:ascii="Times New Roman" w:hAnsi="Times New Roman" w:cs="Times New Roman"/>
                      <w:b w:val="0"/>
                      <w:bCs w:val="0"/>
                      <w:color w:val="auto"/>
                      <w:kern w:val="2"/>
                      <w:sz w:val="21"/>
                      <w:szCs w:val="21"/>
                      <w:u w:val="none" w:color="auto"/>
                      <w:lang w:val="en-US" w:eastAsia="zh-CN" w:bidi="ar"/>
                    </w:rPr>
                    <w:t>N</w:t>
                  </w:r>
                  <w:r>
                    <w:rPr>
                      <w:rFonts w:hint="default" w:ascii="Times New Roman" w:hAnsi="Times New Roman" w:eastAsia="宋体" w:cs="Times New Roman"/>
                      <w:b w:val="0"/>
                      <w:bCs w:val="0"/>
                      <w:color w:val="auto"/>
                      <w:kern w:val="2"/>
                      <w:sz w:val="21"/>
                      <w:szCs w:val="21"/>
                      <w:u w:val="none" w:color="auto"/>
                      <w:lang w:val="en-US" w:eastAsia="zh-CN" w:bidi="ar"/>
                    </w:rPr>
                    <w:t>35°56′21.549″</w:t>
                  </w:r>
                </w:p>
              </w:tc>
              <w:tc>
                <w:tcPr>
                  <w:tcW w:w="844" w:type="pct"/>
                  <w:tcBorders>
                    <w:tl2br w:val="nil"/>
                    <w:tr2bl w:val="nil"/>
                  </w:tcBorders>
                  <w:noWrap w:val="0"/>
                  <w:vAlign w:val="center"/>
                </w:tcPr>
                <w:p w14:paraId="61F694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bidi="ar"/>
                    </w:rPr>
                    <w:t>流量、pH 值、化学需氧量、悬浮物、五日生化需氧量、氨氮、总磷</w:t>
                  </w:r>
                </w:p>
              </w:tc>
              <w:tc>
                <w:tcPr>
                  <w:tcW w:w="557" w:type="pct"/>
                  <w:tcBorders>
                    <w:tl2br w:val="nil"/>
                    <w:tr2bl w:val="nil"/>
                  </w:tcBorders>
                  <w:noWrap w:val="0"/>
                  <w:vAlign w:val="center"/>
                </w:tcPr>
                <w:p w14:paraId="0A5317F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u w:val="none" w:color="auto"/>
                      <w:lang w:val="en-US" w:eastAsia="zh-CN"/>
                    </w:rPr>
                  </w:pPr>
                  <w:r>
                    <w:rPr>
                      <w:rFonts w:hint="default" w:ascii="Times New Roman" w:hAnsi="Times New Roman" w:eastAsia="宋体" w:cs="Times New Roman"/>
                      <w:b w:val="0"/>
                      <w:bCs w:val="0"/>
                      <w:color w:val="auto"/>
                      <w:kern w:val="2"/>
                      <w:sz w:val="21"/>
                      <w:szCs w:val="21"/>
                      <w:u w:val="none" w:color="auto"/>
                      <w:lang w:val="en-US" w:eastAsia="zh-CN"/>
                    </w:rPr>
                    <w:t>1次/年</w:t>
                  </w:r>
                </w:p>
              </w:tc>
              <w:tc>
                <w:tcPr>
                  <w:tcW w:w="1282" w:type="pct"/>
                  <w:tcBorders>
                    <w:tl2br w:val="nil"/>
                    <w:tr2bl w:val="nil"/>
                  </w:tcBorders>
                  <w:noWrap w:val="0"/>
                  <w:vAlign w:val="center"/>
                </w:tcPr>
                <w:p w14:paraId="2E7A8E5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rPr>
                  </w:pPr>
                  <w:r>
                    <w:rPr>
                      <w:rFonts w:hint="eastAsia" w:ascii="Times New Roman" w:hAnsi="Times New Roman" w:eastAsia="宋体" w:cs="Times New Roman"/>
                      <w:b w:val="0"/>
                      <w:bCs w:val="0"/>
                      <w:color w:val="auto"/>
                      <w:kern w:val="2"/>
                      <w:sz w:val="21"/>
                      <w:szCs w:val="21"/>
                      <w:u w:val="none" w:color="auto"/>
                      <w:lang w:val="en-US" w:eastAsia="zh-CN" w:bidi="ar"/>
                    </w:rPr>
                    <w:t>污水综合排放标准》GB8978-1996中的三级标准</w:t>
                  </w:r>
                  <w:r>
                    <w:rPr>
                      <w:rFonts w:hint="eastAsia" w:cs="Times New Roman"/>
                      <w:b w:val="0"/>
                      <w:bCs w:val="0"/>
                      <w:color w:val="auto"/>
                      <w:kern w:val="2"/>
                      <w:sz w:val="21"/>
                      <w:szCs w:val="21"/>
                      <w:u w:val="none" w:color="auto"/>
                      <w:lang w:val="en-US" w:eastAsia="zh-CN" w:bidi="ar"/>
                    </w:rPr>
                    <w:t>，同时满足</w:t>
                  </w:r>
                  <w:r>
                    <w:rPr>
                      <w:rFonts w:hint="eastAsia" w:ascii="Times New Roman" w:hAnsi="Times New Roman" w:eastAsia="宋体" w:cs="Times New Roman"/>
                      <w:b w:val="0"/>
                      <w:bCs w:val="0"/>
                      <w:color w:val="auto"/>
                      <w:kern w:val="2"/>
                      <w:sz w:val="21"/>
                      <w:szCs w:val="21"/>
                      <w:u w:val="none" w:color="auto"/>
                      <w:lang w:val="en-US" w:eastAsia="zh-CN" w:bidi="ar"/>
                    </w:rPr>
                    <w:t>汤阴固现污水处理有限公司</w:t>
                  </w:r>
                  <w:r>
                    <w:rPr>
                      <w:rFonts w:hint="default" w:ascii="Times New Roman" w:hAnsi="Times New Roman" w:eastAsia="宋体" w:cs="Times New Roman"/>
                      <w:b w:val="0"/>
                      <w:bCs w:val="0"/>
                      <w:color w:val="auto"/>
                      <w:kern w:val="2"/>
                      <w:sz w:val="21"/>
                      <w:szCs w:val="21"/>
                      <w:u w:val="none" w:color="auto"/>
                      <w:lang w:val="en-US" w:eastAsia="zh-CN" w:bidi="ar"/>
                    </w:rPr>
                    <w:t>进水水质要求</w:t>
                  </w:r>
                </w:p>
              </w:tc>
            </w:tr>
            <w:tr w14:paraId="204B6B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5"/>
                  <w:tcBorders>
                    <w:tl2br w:val="nil"/>
                    <w:tr2bl w:val="nil"/>
                  </w:tcBorders>
                  <w:noWrap w:val="0"/>
                  <w:vAlign w:val="center"/>
                </w:tcPr>
                <w:p w14:paraId="29A26130">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val="0"/>
                      <w:bCs w:val="0"/>
                      <w:color w:val="auto"/>
                      <w:kern w:val="2"/>
                      <w:sz w:val="21"/>
                      <w:szCs w:val="21"/>
                      <w:u w:val="none" w:color="auto"/>
                      <w:lang w:val="en-US" w:eastAsia="zh-CN" w:bidi="ar"/>
                    </w:rPr>
                  </w:pPr>
                  <w:r>
                    <w:rPr>
                      <w:rFonts w:hint="eastAsia" w:ascii="Times New Roman" w:hAnsi="Times New Roman" w:eastAsia="宋体" w:cs="Times New Roman"/>
                      <w:b w:val="0"/>
                      <w:bCs w:val="0"/>
                      <w:color w:val="auto"/>
                      <w:kern w:val="2"/>
                      <w:sz w:val="21"/>
                      <w:szCs w:val="21"/>
                      <w:u w:val="none" w:color="auto"/>
                      <w:lang w:val="en-US" w:eastAsia="zh-CN" w:bidi="ar"/>
                    </w:rPr>
                    <w:t>注：监测指标参考《排污单位自行监测技术指南 橡胶和塑料制品》（HJ1207-2021）及企业实际情况确定。</w:t>
                  </w:r>
                </w:p>
              </w:tc>
            </w:tr>
          </w:tbl>
          <w:p w14:paraId="2A438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2.</w:t>
            </w:r>
            <w:r>
              <w:rPr>
                <w:rFonts w:hint="eastAsia" w:eastAsia="Times New Roman" w:cs="Times New Roman"/>
                <w:b/>
                <w:color w:val="auto"/>
                <w:sz w:val="24"/>
                <w:highlight w:val="none"/>
                <w:lang w:val="en-US" w:eastAsia="zh-CN"/>
              </w:rPr>
              <w:t>2</w:t>
            </w:r>
            <w:r>
              <w:rPr>
                <w:rFonts w:hint="default" w:ascii="Times New Roman" w:hAnsi="Times New Roman" w:eastAsia="Times New Roman" w:cs="Times New Roman"/>
                <w:b/>
                <w:color w:val="auto"/>
                <w:sz w:val="24"/>
                <w:highlight w:val="none"/>
                <w:lang w:val="en-US" w:eastAsia="zh-CN"/>
              </w:rPr>
              <w:t>依托集中污水处理厂可行性分析</w:t>
            </w:r>
          </w:p>
          <w:p w14:paraId="0B0BE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bCs w:val="0"/>
                <w:color w:val="auto"/>
                <w:sz w:val="24"/>
                <w:highlight w:val="none"/>
              </w:rPr>
            </w:pPr>
            <w:r>
              <w:rPr>
                <w:rFonts w:hint="default" w:ascii="Times New Roman" w:hAnsi="Times New Roman" w:eastAsia="Times New Roman" w:cs="Times New Roman"/>
                <w:b/>
                <w:bCs w:val="0"/>
                <w:color w:val="auto"/>
                <w:sz w:val="24"/>
                <w:highlight w:val="none"/>
                <w:lang w:val="en-US" w:eastAsia="zh-CN"/>
              </w:rPr>
              <w:t>2.</w:t>
            </w:r>
            <w:r>
              <w:rPr>
                <w:rFonts w:hint="eastAsia" w:eastAsia="Times New Roman" w:cs="Times New Roman"/>
                <w:b/>
                <w:bCs w:val="0"/>
                <w:color w:val="auto"/>
                <w:sz w:val="24"/>
                <w:highlight w:val="none"/>
                <w:lang w:val="en-US" w:eastAsia="zh-CN"/>
              </w:rPr>
              <w:t>2</w:t>
            </w:r>
            <w:r>
              <w:rPr>
                <w:rFonts w:hint="default" w:ascii="Times New Roman" w:hAnsi="Times New Roman" w:eastAsia="Times New Roman" w:cs="Times New Roman"/>
                <w:b/>
                <w:bCs w:val="0"/>
                <w:color w:val="auto"/>
                <w:sz w:val="24"/>
                <w:highlight w:val="none"/>
                <w:lang w:val="en-US" w:eastAsia="zh-CN"/>
              </w:rPr>
              <w:t>.1</w:t>
            </w:r>
            <w:r>
              <w:rPr>
                <w:rFonts w:hint="default" w:ascii="Times New Roman" w:hAnsi="Times New Roman" w:eastAsia="Times New Roman" w:cs="Times New Roman"/>
                <w:b/>
                <w:bCs w:val="0"/>
                <w:color w:val="auto"/>
                <w:sz w:val="24"/>
                <w:highlight w:val="none"/>
              </w:rPr>
              <w:t>收水范围</w:t>
            </w:r>
          </w:p>
          <w:p w14:paraId="7EEC8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汤阴固现污水处理有限公司于2018年建设，收水范围为</w:t>
            </w:r>
            <w:r>
              <w:rPr>
                <w:rFonts w:hint="eastAsia" w:cs="Times New Roman"/>
                <w:color w:val="auto"/>
                <w:kern w:val="2"/>
                <w:sz w:val="24"/>
                <w:szCs w:val="24"/>
                <w:highlight w:val="none"/>
                <w:lang w:val="en-US" w:eastAsia="zh-CN" w:bidi="ar"/>
              </w:rPr>
              <w:t>古贤镇</w:t>
            </w:r>
            <w:r>
              <w:rPr>
                <w:rFonts w:hint="default" w:ascii="Times New Roman" w:hAnsi="Times New Roman" w:eastAsia="宋体" w:cs="Times New Roman"/>
                <w:color w:val="auto"/>
                <w:kern w:val="2"/>
                <w:sz w:val="24"/>
                <w:szCs w:val="24"/>
                <w:highlight w:val="none"/>
                <w:lang w:val="en-US" w:eastAsia="zh-CN" w:bidi="ar"/>
              </w:rPr>
              <w:t>、白营镇区生活用水及</w:t>
            </w:r>
            <w:r>
              <w:rPr>
                <w:rFonts w:hint="eastAsia" w:cs="Times New Roman"/>
                <w:color w:val="auto"/>
                <w:kern w:val="2"/>
                <w:sz w:val="24"/>
                <w:szCs w:val="24"/>
                <w:highlight w:val="none"/>
                <w:lang w:val="en-US" w:eastAsia="zh-CN" w:bidi="ar"/>
              </w:rPr>
              <w:t>古贤镇</w:t>
            </w:r>
            <w:r>
              <w:rPr>
                <w:rFonts w:hint="default" w:ascii="Times New Roman" w:hAnsi="Times New Roman" w:eastAsia="宋体" w:cs="Times New Roman"/>
                <w:color w:val="auto"/>
                <w:kern w:val="2"/>
                <w:sz w:val="24"/>
                <w:szCs w:val="24"/>
                <w:highlight w:val="none"/>
                <w:lang w:val="en-US" w:eastAsia="zh-CN" w:bidi="ar"/>
              </w:rPr>
              <w:t>工业园区一般生产污水，目前污水管网已全面铺设到位，本项目位于</w:t>
            </w:r>
            <w:r>
              <w:rPr>
                <w:rFonts w:hint="eastAsia" w:cs="Times New Roman"/>
                <w:color w:val="auto"/>
                <w:kern w:val="2"/>
                <w:sz w:val="24"/>
                <w:szCs w:val="24"/>
                <w:highlight w:val="none"/>
                <w:lang w:val="en-US" w:eastAsia="zh-CN" w:bidi="ar"/>
              </w:rPr>
              <w:t>古贤镇</w:t>
            </w:r>
            <w:r>
              <w:rPr>
                <w:rFonts w:hint="default" w:ascii="Times New Roman" w:hAnsi="Times New Roman" w:eastAsia="宋体" w:cs="Times New Roman"/>
                <w:color w:val="auto"/>
                <w:kern w:val="2"/>
                <w:sz w:val="24"/>
                <w:szCs w:val="24"/>
                <w:highlight w:val="none"/>
                <w:lang w:val="en-US" w:eastAsia="zh-CN" w:bidi="ar"/>
              </w:rPr>
              <w:t>新型材料产业园区，在该污水处理厂收水范围内。</w:t>
            </w:r>
          </w:p>
          <w:p w14:paraId="54BD2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bCs w:val="0"/>
                <w:color w:val="auto"/>
                <w:sz w:val="24"/>
                <w:highlight w:val="none"/>
                <w:lang w:val="en-US" w:eastAsia="zh-CN"/>
              </w:rPr>
            </w:pPr>
            <w:r>
              <w:rPr>
                <w:rFonts w:hint="default" w:ascii="Times New Roman" w:hAnsi="Times New Roman" w:eastAsia="Times New Roman" w:cs="Times New Roman"/>
                <w:b/>
                <w:bCs w:val="0"/>
                <w:color w:val="auto"/>
                <w:sz w:val="24"/>
                <w:highlight w:val="none"/>
                <w:lang w:val="en-US" w:eastAsia="zh-CN"/>
              </w:rPr>
              <w:t>2.</w:t>
            </w:r>
            <w:r>
              <w:rPr>
                <w:rFonts w:hint="eastAsia" w:eastAsia="Times New Roman" w:cs="Times New Roman"/>
                <w:b/>
                <w:bCs w:val="0"/>
                <w:color w:val="auto"/>
                <w:sz w:val="24"/>
                <w:highlight w:val="none"/>
                <w:lang w:val="en-US" w:eastAsia="zh-CN"/>
              </w:rPr>
              <w:t>2</w:t>
            </w:r>
            <w:r>
              <w:rPr>
                <w:rFonts w:hint="default" w:ascii="Times New Roman" w:hAnsi="Times New Roman" w:eastAsia="Times New Roman" w:cs="Times New Roman"/>
                <w:b/>
                <w:bCs w:val="0"/>
                <w:color w:val="auto"/>
                <w:sz w:val="24"/>
                <w:highlight w:val="none"/>
                <w:lang w:val="en-US" w:eastAsia="zh-CN"/>
              </w:rPr>
              <w:t>.2处理能力及工艺</w:t>
            </w:r>
          </w:p>
          <w:p w14:paraId="0AF67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目前该污水处理厂正常运行，</w:t>
            </w:r>
            <w:r>
              <w:rPr>
                <w:rFonts w:hint="eastAsia" w:cs="Times New Roman"/>
                <w:color w:val="auto"/>
                <w:kern w:val="2"/>
                <w:sz w:val="24"/>
                <w:szCs w:val="24"/>
                <w:highlight w:val="none"/>
                <w:lang w:val="en-US" w:eastAsia="zh-CN" w:bidi="ar"/>
              </w:rPr>
              <w:t>远期规划</w:t>
            </w:r>
            <w:r>
              <w:rPr>
                <w:rFonts w:hint="default" w:ascii="Times New Roman" w:hAnsi="Times New Roman" w:eastAsia="宋体" w:cs="Times New Roman"/>
                <w:color w:val="auto"/>
                <w:kern w:val="2"/>
                <w:sz w:val="24"/>
                <w:szCs w:val="24"/>
                <w:highlight w:val="none"/>
                <w:lang w:val="en-US" w:eastAsia="zh-CN" w:bidi="ar"/>
              </w:rPr>
              <w:t>设计处理能力为1万m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/d，目前实际建设处理规模为0.5万m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/d，经咨询，目前该污水处理厂收水量为2000m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/d，剩余处理量为3000m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/d，采用“旋流沉砂池+水解酸化</w:t>
            </w:r>
            <w:r>
              <w:rPr>
                <w:rFonts w:hint="default" w:ascii="Times New Roman" w:hAnsi="Times New Roman" w:eastAsia="宋体" w:cs="Times New Roman"/>
                <w:color w:val="auto"/>
                <w:kern w:val="2"/>
                <w:sz w:val="24"/>
                <w:szCs w:val="24"/>
                <w:highlight w:val="none"/>
                <w:lang w:val="en-US" w:eastAsia="zh-CN" w:bidi="ar"/>
              </w:rPr>
              <w:t>池+混合反应沉淀池+纤维转盘滤池+紫外线处理”的工艺处理技术。本项目废水排放量为</w:t>
            </w:r>
            <w:r>
              <w:rPr>
                <w:rFonts w:hint="eastAsia" w:cs="Times New Roman"/>
                <w:color w:val="auto"/>
                <w:kern w:val="2"/>
                <w:sz w:val="24"/>
                <w:szCs w:val="24"/>
                <w:highlight w:val="none"/>
                <w:lang w:val="en-US" w:eastAsia="zh-CN" w:bidi="ar"/>
              </w:rPr>
              <w:t>1.44</w:t>
            </w:r>
            <w:r>
              <w:rPr>
                <w:rFonts w:hint="default" w:ascii="Times New Roman" w:hAnsi="Times New Roman" w:eastAsia="宋体" w:cs="Times New Roman"/>
                <w:color w:val="auto"/>
                <w:kern w:val="2"/>
                <w:sz w:val="24"/>
                <w:szCs w:val="24"/>
                <w:highlight w:val="none"/>
                <w:lang w:val="en-US" w:eastAsia="zh-CN" w:bidi="ar"/>
              </w:rPr>
              <w:t>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/d，远远小于该污水处理厂剩余处理规模3000m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/d，污水处理厂的剩余处理能力可满足项目需求。</w:t>
            </w:r>
          </w:p>
          <w:p w14:paraId="494A42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sz w:val="24"/>
                <w:highlight w:val="none"/>
              </w:rPr>
            </w:pPr>
            <w:r>
              <w:rPr>
                <w:rFonts w:hint="default" w:ascii="Times New Roman" w:hAnsi="Times New Roman" w:eastAsia="Times New Roman" w:cs="Times New Roman"/>
                <w:b/>
                <w:bCs w:val="0"/>
                <w:color w:val="auto"/>
                <w:sz w:val="24"/>
                <w:highlight w:val="none"/>
                <w:lang w:val="en-US" w:eastAsia="zh-CN"/>
              </w:rPr>
              <w:t>2.</w:t>
            </w:r>
            <w:r>
              <w:rPr>
                <w:rFonts w:hint="eastAsia" w:eastAsia="Times New Roman" w:cs="Times New Roman"/>
                <w:b/>
                <w:bCs w:val="0"/>
                <w:color w:val="auto"/>
                <w:sz w:val="24"/>
                <w:highlight w:val="none"/>
                <w:lang w:val="en-US" w:eastAsia="zh-CN"/>
              </w:rPr>
              <w:t>2</w:t>
            </w:r>
            <w:r>
              <w:rPr>
                <w:rFonts w:hint="eastAsia" w:ascii="Times New Roman" w:hAnsi="Times New Roman" w:eastAsia="Times New Roman" w:cs="Times New Roman"/>
                <w:b/>
                <w:bCs w:val="0"/>
                <w:color w:val="auto"/>
                <w:sz w:val="24"/>
                <w:highlight w:val="none"/>
                <w:lang w:val="en-US" w:eastAsia="zh-CN"/>
              </w:rPr>
              <w:t>.</w:t>
            </w:r>
            <w:r>
              <w:rPr>
                <w:rFonts w:hint="eastAsia" w:ascii="Times New Roman" w:hAnsi="Times New Roman" w:eastAsia="宋体" w:cs="Times New Roman"/>
                <w:b/>
                <w:bCs w:val="0"/>
                <w:color w:val="auto"/>
                <w:sz w:val="24"/>
                <w:highlight w:val="none"/>
                <w:lang w:val="en-US" w:eastAsia="zh-CN"/>
              </w:rPr>
              <w:t>3</w:t>
            </w:r>
            <w:r>
              <w:rPr>
                <w:rFonts w:hint="default" w:ascii="Times New Roman" w:hAnsi="Times New Roman" w:eastAsia="宋体" w:cs="Times New Roman"/>
                <w:b/>
                <w:bCs w:val="0"/>
                <w:color w:val="auto"/>
                <w:sz w:val="24"/>
                <w:highlight w:val="none"/>
                <w:lang w:val="en-US" w:eastAsia="zh-CN"/>
              </w:rPr>
              <w:t>设计进、出水水质</w:t>
            </w:r>
          </w:p>
          <w:p w14:paraId="77D03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sz w:val="24"/>
                <w:highlight w:val="none"/>
              </w:rPr>
            </w:pPr>
            <w:r>
              <w:rPr>
                <w:rFonts w:hint="default" w:ascii="Times New Roman" w:hAnsi="Times New Roman" w:eastAsia="Times New Roman" w:cs="Times New Roman"/>
                <w:b w:val="0"/>
                <w:bCs/>
                <w:color w:val="auto"/>
                <w:sz w:val="24"/>
                <w:highlight w:val="none"/>
              </w:rPr>
              <w:t>汤阴固现污水处理有限公司设计进水水质</w:t>
            </w:r>
            <w:r>
              <w:rPr>
                <w:rFonts w:hint="eastAsia" w:eastAsia="宋体" w:cs="Times New Roman"/>
                <w:b w:val="0"/>
                <w:bCs/>
                <w:color w:val="auto"/>
                <w:sz w:val="24"/>
                <w:highlight w:val="none"/>
                <w:lang w:eastAsia="zh-CN"/>
              </w:rPr>
              <w:t>要求</w:t>
            </w:r>
            <w:r>
              <w:rPr>
                <w:rFonts w:hint="default" w:ascii="Times New Roman" w:hAnsi="Times New Roman" w:eastAsia="Times New Roman" w:cs="Times New Roman"/>
                <w:b w:val="0"/>
                <w:bCs/>
                <w:color w:val="auto"/>
                <w:sz w:val="24"/>
                <w:highlight w:val="none"/>
              </w:rPr>
              <w:t>为COD≤390mg/L、BOD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≤190mg/L、NH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-N≤35mg/L、SS≤280mg/L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ascii="Times New Roman" w:hAnsi="Times New Roman" w:eastAsia="宋体" w:cs="Times New Roman"/>
                <w:b w:val="0"/>
                <w:bCs/>
                <w:color w:val="auto"/>
                <w:sz w:val="24"/>
                <w:highlight w:val="none"/>
                <w:lang w:val="en-US" w:eastAsia="zh-CN"/>
              </w:rPr>
              <w:t>5</w:t>
            </w:r>
            <w:r>
              <w:rPr>
                <w:rFonts w:hint="default" w:ascii="Times New Roman" w:hAnsi="Times New Roman" w:eastAsia="Times New Roman" w:cs="Times New Roman"/>
                <w:b w:val="0"/>
                <w:bCs/>
                <w:color w:val="auto"/>
                <w:sz w:val="24"/>
                <w:highlight w:val="none"/>
              </w:rPr>
              <w:t>mg/L</w:t>
            </w:r>
            <w:r>
              <w:rPr>
                <w:rFonts w:hint="eastAsia" w:eastAsia="宋体" w:cs="Times New Roman"/>
                <w:b w:val="0"/>
                <w:bCs/>
                <w:color w:val="auto"/>
                <w:sz w:val="24"/>
                <w:highlight w:val="none"/>
                <w:lang w:eastAsia="zh-CN"/>
              </w:rPr>
              <w:t>，</w:t>
            </w:r>
            <w:r>
              <w:rPr>
                <w:rFonts w:hint="default" w:ascii="Times New Roman" w:hAnsi="Times New Roman" w:eastAsia="Times New Roman" w:cs="Times New Roman"/>
                <w:b w:val="0"/>
                <w:bCs/>
                <w:color w:val="auto"/>
                <w:sz w:val="24"/>
                <w:highlight w:val="none"/>
              </w:rPr>
              <w:t>设计出水水质</w:t>
            </w:r>
            <w:r>
              <w:rPr>
                <w:rFonts w:hint="eastAsia" w:eastAsia="宋体" w:cs="Times New Roman"/>
                <w:b w:val="0"/>
                <w:bCs/>
                <w:color w:val="auto"/>
                <w:sz w:val="24"/>
                <w:highlight w:val="none"/>
                <w:lang w:eastAsia="zh-CN"/>
              </w:rPr>
              <w:t>满足</w:t>
            </w:r>
            <w:r>
              <w:rPr>
                <w:rFonts w:hint="default" w:ascii="Times New Roman" w:hAnsi="Times New Roman" w:eastAsia="Times New Roman" w:cs="Times New Roman"/>
                <w:b w:val="0"/>
                <w:bCs/>
                <w:color w:val="auto"/>
                <w:sz w:val="24"/>
                <w:highlight w:val="none"/>
              </w:rPr>
              <w:t>《城镇污水处理厂污染物排放标准》（GB18918-2002）一级A标准，即COD≤50mg/L、BOD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≤10mg/L、NH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-N≤5mg/L、SS≤10mg/L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eastAsia="宋体" w:cs="Times New Roman"/>
                <w:b w:val="0"/>
                <w:bCs/>
                <w:color w:val="auto"/>
                <w:sz w:val="24"/>
                <w:highlight w:val="none"/>
                <w:lang w:val="en-US" w:eastAsia="zh-CN"/>
              </w:rPr>
              <w:t>0.5</w:t>
            </w:r>
            <w:r>
              <w:rPr>
                <w:rFonts w:hint="default" w:ascii="Times New Roman" w:hAnsi="Times New Roman" w:eastAsia="Times New Roman" w:cs="Times New Roman"/>
                <w:b w:val="0"/>
                <w:bCs/>
                <w:color w:val="auto"/>
                <w:sz w:val="24"/>
                <w:highlight w:val="none"/>
              </w:rPr>
              <w:t>mg/L。经调查，该污水处理厂运行稳定，出水水质可满足《城镇污水处理厂污染物排放标准》（GB18918-2002）一级A标准要求。汤阴固现污水处理有限</w:t>
            </w:r>
            <w:r>
              <w:rPr>
                <w:rFonts w:hint="default" w:ascii="Times New Roman" w:hAnsi="Times New Roman" w:eastAsia="Times New Roman" w:cs="Times New Roman"/>
                <w:b w:val="0"/>
                <w:bCs/>
                <w:color w:val="auto"/>
                <w:sz w:val="24"/>
                <w:highlight w:val="none"/>
                <w:u w:val="none"/>
              </w:rPr>
              <w:t>公司于2019年6月21日首次申领排污许可证，于</w:t>
            </w:r>
            <w:r>
              <w:rPr>
                <w:rFonts w:hint="eastAsia" w:eastAsia="宋体" w:cs="Times New Roman"/>
                <w:b w:val="0"/>
                <w:bCs/>
                <w:color w:val="auto"/>
                <w:sz w:val="24"/>
                <w:highlight w:val="none"/>
                <w:u w:val="none"/>
                <w:lang w:val="en-US" w:eastAsia="zh-CN"/>
              </w:rPr>
              <w:t>2024</w:t>
            </w:r>
            <w:r>
              <w:rPr>
                <w:rFonts w:hint="default" w:ascii="Times New Roman" w:hAnsi="Times New Roman" w:eastAsia="Times New Roman" w:cs="Times New Roman"/>
                <w:b w:val="0"/>
                <w:bCs/>
                <w:color w:val="auto"/>
                <w:sz w:val="24"/>
                <w:highlight w:val="none"/>
                <w:u w:val="none"/>
              </w:rPr>
              <w:t>年</w:t>
            </w:r>
            <w:r>
              <w:rPr>
                <w:rFonts w:hint="eastAsia" w:eastAsia="宋体" w:cs="Times New Roman"/>
                <w:b w:val="0"/>
                <w:bCs/>
                <w:color w:val="auto"/>
                <w:sz w:val="24"/>
                <w:highlight w:val="none"/>
                <w:u w:val="none"/>
                <w:lang w:val="en-US" w:eastAsia="zh-CN"/>
              </w:rPr>
              <w:t>2</w:t>
            </w:r>
            <w:r>
              <w:rPr>
                <w:rFonts w:hint="default" w:ascii="Times New Roman" w:hAnsi="Times New Roman" w:eastAsia="Times New Roman" w:cs="Times New Roman"/>
                <w:b w:val="0"/>
                <w:bCs/>
                <w:color w:val="auto"/>
                <w:sz w:val="24"/>
                <w:highlight w:val="none"/>
                <w:u w:val="none"/>
              </w:rPr>
              <w:t>月</w:t>
            </w:r>
            <w:r>
              <w:rPr>
                <w:rFonts w:hint="eastAsia" w:eastAsia="宋体" w:cs="Times New Roman"/>
                <w:b w:val="0"/>
                <w:bCs/>
                <w:color w:val="auto"/>
                <w:sz w:val="24"/>
                <w:highlight w:val="none"/>
                <w:u w:val="none"/>
                <w:lang w:val="en-US" w:eastAsia="zh-CN"/>
              </w:rPr>
              <w:t>7日</w:t>
            </w:r>
            <w:r>
              <w:rPr>
                <w:rFonts w:hint="default" w:ascii="Times New Roman" w:hAnsi="Times New Roman" w:eastAsia="Times New Roman" w:cs="Times New Roman"/>
                <w:b w:val="0"/>
                <w:bCs/>
                <w:color w:val="auto"/>
                <w:sz w:val="24"/>
                <w:highlight w:val="none"/>
              </w:rPr>
              <w:t>重新申请排污许可证，许可证编号：91410523MA45LLXE5D001Y。本项目外排废水为生活污水，水质简单、生化性较好，无有毒有害的特征水污染物。本项目废水经</w:t>
            </w:r>
            <w:r>
              <w:rPr>
                <w:rFonts w:hint="eastAsia" w:eastAsia="宋体" w:cs="Times New Roman"/>
                <w:b w:val="0"/>
                <w:bCs/>
                <w:color w:val="auto"/>
                <w:sz w:val="24"/>
                <w:highlight w:val="none"/>
                <w:lang w:eastAsia="zh-CN"/>
              </w:rPr>
              <w:t>化粪池预处理</w:t>
            </w:r>
            <w:r>
              <w:rPr>
                <w:rFonts w:hint="default" w:ascii="Times New Roman" w:hAnsi="Times New Roman" w:eastAsia="Times New Roman" w:cs="Times New Roman"/>
                <w:b w:val="0"/>
                <w:bCs/>
                <w:color w:val="auto"/>
                <w:sz w:val="24"/>
                <w:highlight w:val="none"/>
              </w:rPr>
              <w:t>后废水水质为COD</w:t>
            </w:r>
            <w:r>
              <w:rPr>
                <w:rFonts w:hint="eastAsia" w:eastAsia="宋体" w:cs="Times New Roman"/>
                <w:b w:val="0"/>
                <w:bCs/>
                <w:color w:val="auto"/>
                <w:sz w:val="24"/>
                <w:highlight w:val="none"/>
                <w:lang w:val="en-US" w:eastAsia="zh-CN"/>
              </w:rPr>
              <w:t>178</w:t>
            </w:r>
            <w:r>
              <w:rPr>
                <w:rFonts w:hint="default" w:ascii="Times New Roman" w:hAnsi="Times New Roman" w:eastAsia="Times New Roman" w:cs="Times New Roman"/>
                <w:b w:val="0"/>
                <w:bCs/>
                <w:color w:val="auto"/>
                <w:sz w:val="24"/>
                <w:highlight w:val="none"/>
              </w:rPr>
              <w:t>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w:t>
            </w:r>
            <w:r>
              <w:rPr>
                <w:rFonts w:hint="eastAsia" w:cs="Times New Roman"/>
                <w:b w:val="0"/>
                <w:bCs/>
                <w:color w:val="auto"/>
                <w:sz w:val="24"/>
                <w:highlight w:val="none"/>
                <w:lang w:val="en-US" w:eastAsia="zh-CN"/>
              </w:rPr>
              <w:t>36.8</w:t>
            </w:r>
            <w:r>
              <w:rPr>
                <w:rFonts w:hint="default" w:ascii="Times New Roman" w:hAnsi="Times New Roman" w:eastAsia="Times New Roman" w:cs="Times New Roman"/>
                <w:b w:val="0"/>
                <w:bCs/>
                <w:color w:val="auto"/>
                <w:sz w:val="24"/>
                <w:highlight w:val="none"/>
              </w:rPr>
              <w:t>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w:t>
            </w:r>
            <w:r>
              <w:rPr>
                <w:rFonts w:hint="eastAsia" w:cs="Times New Roman"/>
                <w:b w:val="0"/>
                <w:bCs/>
                <w:color w:val="auto"/>
                <w:sz w:val="24"/>
                <w:highlight w:val="none"/>
                <w:lang w:val="en-US" w:eastAsia="zh-CN"/>
              </w:rPr>
              <w:t>17.5</w:t>
            </w:r>
            <w:r>
              <w:rPr>
                <w:rFonts w:hint="default" w:ascii="Times New Roman" w:hAnsi="Times New Roman" w:eastAsia="Times New Roman" w:cs="Times New Roman"/>
                <w:b w:val="0"/>
                <w:bCs/>
                <w:color w:val="auto"/>
                <w:sz w:val="24"/>
                <w:highlight w:val="none"/>
              </w:rPr>
              <w:t>mg/L、SS≤</w:t>
            </w:r>
            <w:r>
              <w:rPr>
                <w:rFonts w:hint="eastAsia" w:cs="Times New Roman"/>
                <w:b w:val="0"/>
                <w:bCs/>
                <w:color w:val="auto"/>
                <w:sz w:val="24"/>
                <w:highlight w:val="none"/>
                <w:lang w:val="en-US" w:eastAsia="zh-CN"/>
              </w:rPr>
              <w:t>81</w:t>
            </w:r>
            <w:r>
              <w:rPr>
                <w:rFonts w:hint="default" w:ascii="Times New Roman" w:hAnsi="Times New Roman" w:eastAsia="Times New Roman" w:cs="Times New Roman"/>
                <w:b w:val="0"/>
                <w:bCs/>
                <w:color w:val="auto"/>
                <w:sz w:val="24"/>
                <w:highlight w:val="none"/>
              </w:rPr>
              <w:t>mg/L</w:t>
            </w:r>
            <w:r>
              <w:rPr>
                <w:rFonts w:hint="eastAsia" w:eastAsia="宋体" w:cs="Times New Roman"/>
                <w:b w:val="0"/>
                <w:bCs/>
                <w:color w:val="auto"/>
                <w:sz w:val="24"/>
                <w:highlight w:val="none"/>
                <w:lang w:eastAsia="zh-CN"/>
              </w:rPr>
              <w:t>、</w:t>
            </w:r>
            <w:r>
              <w:rPr>
                <w:rFonts w:hint="eastAsia" w:eastAsia="宋体" w:cs="Times New Roman"/>
                <w:b w:val="0"/>
                <w:bCs/>
                <w:color w:val="auto"/>
                <w:sz w:val="24"/>
                <w:highlight w:val="none"/>
                <w:lang w:val="en-US" w:eastAsia="zh-CN"/>
              </w:rPr>
              <w:t>TP</w:t>
            </w:r>
            <w:r>
              <w:rPr>
                <w:rFonts w:hint="default" w:ascii="Times New Roman" w:hAnsi="Times New Roman" w:eastAsia="Times New Roman" w:cs="Times New Roman"/>
                <w:b w:val="0"/>
                <w:bCs/>
                <w:color w:val="auto"/>
                <w:sz w:val="24"/>
                <w:highlight w:val="none"/>
              </w:rPr>
              <w:t>≤</w:t>
            </w:r>
            <w:r>
              <w:rPr>
                <w:rFonts w:hint="eastAsia" w:eastAsia="宋体" w:cs="Times New Roman"/>
                <w:b w:val="0"/>
                <w:bCs/>
                <w:color w:val="auto"/>
                <w:sz w:val="24"/>
                <w:highlight w:val="none"/>
                <w:lang w:val="en-US" w:eastAsia="zh-CN"/>
              </w:rPr>
              <w:t>1.8</w:t>
            </w:r>
            <w:r>
              <w:rPr>
                <w:rFonts w:hint="eastAsia" w:cs="Times New Roman"/>
                <w:b w:val="0"/>
                <w:bCs/>
                <w:color w:val="auto"/>
                <w:sz w:val="24"/>
                <w:highlight w:val="none"/>
                <w:lang w:val="en-US" w:eastAsia="zh-CN"/>
              </w:rPr>
              <w:t>3</w:t>
            </w:r>
            <w:r>
              <w:rPr>
                <w:rFonts w:hint="default" w:ascii="Times New Roman" w:hAnsi="Times New Roman" w:eastAsia="Times New Roman" w:cs="Times New Roman"/>
                <w:b w:val="0"/>
                <w:bCs/>
                <w:color w:val="auto"/>
                <w:sz w:val="24"/>
                <w:highlight w:val="none"/>
              </w:rPr>
              <w:t>mg/L</w:t>
            </w:r>
            <w:r>
              <w:rPr>
                <w:rFonts w:hint="default" w:ascii="Times New Roman" w:hAnsi="Times New Roman" w:eastAsia="Times New Roman" w:cs="Times New Roman"/>
                <w:b w:val="0"/>
                <w:bCs/>
                <w:color w:val="auto"/>
                <w:sz w:val="24"/>
                <w:highlight w:val="none"/>
              </w:rPr>
              <w:t>，</w:t>
            </w:r>
            <w:r>
              <w:rPr>
                <w:rFonts w:hint="default" w:ascii="Times New Roman" w:hAnsi="Times New Roman" w:eastAsia="Times New Roman" w:cs="Times New Roman"/>
                <w:b w:val="0"/>
                <w:bCs/>
                <w:color w:val="auto"/>
                <w:sz w:val="24"/>
                <w:highlight w:val="none"/>
              </w:rPr>
              <w:t>可以满足该污水处理厂接管标准要求（COD≤</w:t>
            </w:r>
            <w:r>
              <w:rPr>
                <w:rFonts w:hint="eastAsia" w:eastAsia="宋体" w:cs="Times New Roman"/>
                <w:b w:val="0"/>
                <w:bCs/>
                <w:color w:val="auto"/>
                <w:sz w:val="24"/>
                <w:highlight w:val="none"/>
                <w:lang w:val="en-US" w:eastAsia="zh-CN"/>
              </w:rPr>
              <w:t>390</w:t>
            </w:r>
            <w:r>
              <w:rPr>
                <w:rFonts w:hint="default" w:ascii="Times New Roman" w:hAnsi="Times New Roman" w:eastAsia="Times New Roman" w:cs="Times New Roman"/>
                <w:b w:val="0"/>
                <w:bCs/>
                <w:color w:val="auto"/>
                <w:sz w:val="24"/>
                <w:highlight w:val="none"/>
              </w:rPr>
              <w:t>mg/L、BOD</w:t>
            </w:r>
            <w:r>
              <w:rPr>
                <w:rFonts w:hint="default" w:ascii="Times New Roman" w:hAnsi="Times New Roman" w:eastAsia="Times New Roman" w:cs="Times New Roman"/>
                <w:b w:val="0"/>
                <w:bCs/>
                <w:color w:val="auto"/>
                <w:sz w:val="24"/>
                <w:highlight w:val="none"/>
                <w:vertAlign w:val="subscript"/>
              </w:rPr>
              <w:t>5</w:t>
            </w:r>
            <w:r>
              <w:rPr>
                <w:rFonts w:hint="default" w:ascii="Times New Roman" w:hAnsi="Times New Roman" w:eastAsia="Times New Roman" w:cs="Times New Roman"/>
                <w:b w:val="0"/>
                <w:bCs/>
                <w:color w:val="auto"/>
                <w:sz w:val="24"/>
                <w:highlight w:val="none"/>
              </w:rPr>
              <w:t>≤</w:t>
            </w:r>
            <w:r>
              <w:rPr>
                <w:rFonts w:hint="eastAsia" w:eastAsia="宋体" w:cs="Times New Roman"/>
                <w:b w:val="0"/>
                <w:bCs/>
                <w:color w:val="auto"/>
                <w:sz w:val="24"/>
                <w:highlight w:val="none"/>
                <w:lang w:val="en-US" w:eastAsia="zh-CN"/>
              </w:rPr>
              <w:t>190</w:t>
            </w:r>
            <w:r>
              <w:rPr>
                <w:rFonts w:hint="default" w:ascii="Times New Roman" w:hAnsi="Times New Roman" w:eastAsia="Times New Roman" w:cs="Times New Roman"/>
                <w:b w:val="0"/>
                <w:bCs/>
                <w:color w:val="auto"/>
                <w:sz w:val="24"/>
                <w:highlight w:val="none"/>
              </w:rPr>
              <w:t>mg/L、NH</w:t>
            </w:r>
            <w:r>
              <w:rPr>
                <w:rFonts w:hint="default" w:ascii="Times New Roman" w:hAnsi="Times New Roman" w:eastAsia="Times New Roman" w:cs="Times New Roman"/>
                <w:b w:val="0"/>
                <w:bCs/>
                <w:color w:val="auto"/>
                <w:sz w:val="24"/>
                <w:highlight w:val="none"/>
                <w:vertAlign w:val="subscript"/>
              </w:rPr>
              <w:t>3</w:t>
            </w:r>
            <w:r>
              <w:rPr>
                <w:rFonts w:hint="default" w:ascii="Times New Roman" w:hAnsi="Times New Roman" w:eastAsia="Times New Roman" w:cs="Times New Roman"/>
                <w:b w:val="0"/>
                <w:bCs/>
                <w:color w:val="auto"/>
                <w:sz w:val="24"/>
                <w:highlight w:val="none"/>
              </w:rPr>
              <w:t>-N≤35mg/L、SS≤210mg/L）和</w:t>
            </w:r>
            <w:r>
              <w:rPr>
                <w:rFonts w:hint="default" w:ascii="Times New Roman" w:hAnsi="Times New Roman" w:eastAsia="Times New Roman" w:cs="Times New Roman"/>
                <w:b w:val="0"/>
                <w:bCs/>
                <w:color w:val="auto"/>
                <w:sz w:val="24"/>
                <w:highlight w:val="none"/>
                <w:lang w:val="en-US" w:eastAsia="zh-CN"/>
              </w:rPr>
              <w:t>污水综合排放标准》GB8978-1996中的三级标准</w:t>
            </w:r>
            <w:r>
              <w:rPr>
                <w:rFonts w:hint="default" w:ascii="Times New Roman" w:hAnsi="Times New Roman" w:eastAsia="Times New Roman" w:cs="Times New Roman"/>
                <w:b w:val="0"/>
                <w:bCs/>
                <w:color w:val="auto"/>
                <w:sz w:val="24"/>
                <w:highlight w:val="none"/>
              </w:rPr>
              <w:t>。</w:t>
            </w:r>
          </w:p>
          <w:p w14:paraId="2EC8D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auto"/>
                <w:sz w:val="24"/>
                <w:highlight w:val="none"/>
              </w:rPr>
            </w:pPr>
            <w:r>
              <w:rPr>
                <w:rFonts w:hint="default" w:ascii="Times New Roman" w:hAnsi="Times New Roman" w:eastAsia="Times New Roman" w:cs="Times New Roman"/>
                <w:b w:val="0"/>
                <w:bCs/>
                <w:color w:val="auto"/>
                <w:sz w:val="24"/>
                <w:highlight w:val="none"/>
              </w:rPr>
              <w:t>综上所述，本项目产生的生活污水排入汤阴固现污水处理有限公司合理可行。</w:t>
            </w:r>
          </w:p>
          <w:p w14:paraId="5BE4CC3D">
            <w:pPr>
              <w:keepNext w:val="0"/>
              <w:keepLines w:val="0"/>
              <w:pageBreakBefore w:val="0"/>
              <w:widowControl w:val="0"/>
              <w:suppressLineNumbers w:val="0"/>
              <w:tabs>
                <w:tab w:val="left" w:pos="851"/>
                <w:tab w:val="left" w:pos="1134"/>
                <w:tab w:val="left" w:pos="1276"/>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3.</w:t>
            </w:r>
            <w:r>
              <w:rPr>
                <w:rFonts w:hint="default" w:ascii="Times New Roman" w:hAnsi="Times New Roman" w:eastAsia="Times New Roman" w:cs="Times New Roman"/>
                <w:b/>
                <w:color w:val="auto"/>
                <w:sz w:val="24"/>
                <w:highlight w:val="none"/>
              </w:rPr>
              <w:t>噪声</w:t>
            </w:r>
          </w:p>
          <w:p w14:paraId="4F2B1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3.1噪声源强</w:t>
            </w:r>
          </w:p>
          <w:p w14:paraId="5BCE9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Times New Roman" w:cs="Times New Roman"/>
                <w:color w:val="auto"/>
                <w:sz w:val="24"/>
                <w:highlight w:val="none"/>
              </w:rPr>
              <w:t>项目</w:t>
            </w:r>
            <w:r>
              <w:rPr>
                <w:rFonts w:hint="default" w:ascii="Times New Roman" w:hAnsi="Times New Roman" w:eastAsia="Times New Roman" w:cs="Times New Roman"/>
                <w:color w:val="auto"/>
                <w:sz w:val="24"/>
                <w:highlight w:val="none"/>
                <w:lang w:val="en-US" w:eastAsia="zh-CN"/>
              </w:rPr>
              <w:t>噪声源</w:t>
            </w:r>
            <w:r>
              <w:rPr>
                <w:rFonts w:hint="default" w:ascii="Times New Roman" w:hAnsi="Times New Roman" w:eastAsia="Times New Roman" w:cs="Times New Roman"/>
                <w:color w:val="auto"/>
                <w:kern w:val="0"/>
                <w:sz w:val="24"/>
                <w:highlight w:val="none"/>
              </w:rPr>
              <w:t>主要为</w:t>
            </w:r>
            <w:r>
              <w:rPr>
                <w:rFonts w:hint="eastAsia" w:eastAsia="宋体" w:cs="Times New Roman"/>
                <w:color w:val="auto"/>
                <w:kern w:val="0"/>
                <w:sz w:val="24"/>
                <w:highlight w:val="none"/>
                <w:lang w:eastAsia="zh-CN"/>
              </w:rPr>
              <w:t>挤出（吹膜）机、圆织机、水带粘合机、收卷机</w:t>
            </w:r>
            <w:r>
              <w:rPr>
                <w:rFonts w:hint="default" w:ascii="Times New Roman" w:hAnsi="Times New Roman" w:eastAsia="Times New Roman" w:cs="Times New Roman"/>
                <w:color w:val="auto"/>
                <w:kern w:val="0"/>
                <w:sz w:val="24"/>
                <w:highlight w:val="none"/>
                <w:lang w:val="en-US" w:eastAsia="zh-CN"/>
              </w:rPr>
              <w:t>、</w:t>
            </w:r>
            <w:r>
              <w:rPr>
                <w:rFonts w:hint="eastAsia" w:eastAsia="Times New Roman" w:cs="Times New Roman"/>
                <w:color w:val="auto"/>
                <w:kern w:val="0"/>
                <w:sz w:val="24"/>
                <w:highlight w:val="none"/>
                <w:lang w:val="en-US" w:eastAsia="zh-CN"/>
              </w:rPr>
              <w:t>高频复合机、治理设施风机</w:t>
            </w:r>
            <w:r>
              <w:rPr>
                <w:rFonts w:hint="default" w:ascii="Times New Roman" w:hAnsi="Times New Roman" w:eastAsia="Times New Roman" w:cs="Times New Roman"/>
                <w:color w:val="auto"/>
                <w:kern w:val="0"/>
                <w:sz w:val="24"/>
                <w:highlight w:val="none"/>
                <w:lang w:eastAsia="zh-CN"/>
              </w:rPr>
              <w:t>等设备运行噪声，源强约为6</w:t>
            </w:r>
            <w:r>
              <w:rPr>
                <w:rFonts w:hint="eastAsia" w:eastAsia="Times New Roman" w:cs="Times New Roman"/>
                <w:color w:val="auto"/>
                <w:kern w:val="0"/>
                <w:sz w:val="24"/>
                <w:highlight w:val="none"/>
                <w:lang w:val="en-US" w:eastAsia="zh-CN"/>
              </w:rPr>
              <w:t>0</w:t>
            </w:r>
            <w:r>
              <w:rPr>
                <w:rFonts w:hint="default" w:ascii="Times New Roman" w:hAnsi="Times New Roman" w:eastAsia="Times New Roman" w:cs="Times New Roman"/>
                <w:color w:val="auto"/>
                <w:kern w:val="0"/>
                <w:sz w:val="24"/>
                <w:highlight w:val="none"/>
                <w:lang w:eastAsia="zh-CN"/>
              </w:rPr>
              <w:t>~</w:t>
            </w:r>
            <w:r>
              <w:rPr>
                <w:rFonts w:hint="eastAsia" w:eastAsia="Times New Roman" w:cs="Times New Roman"/>
                <w:color w:val="auto"/>
                <w:kern w:val="0"/>
                <w:sz w:val="24"/>
                <w:highlight w:val="none"/>
                <w:lang w:val="en-US" w:eastAsia="zh-CN"/>
              </w:rPr>
              <w:t>85</w:t>
            </w:r>
            <w:r>
              <w:rPr>
                <w:rFonts w:hint="default" w:ascii="Times New Roman" w:hAnsi="Times New Roman" w:eastAsia="Times New Roman" w:cs="Times New Roman"/>
                <w:color w:val="auto"/>
                <w:kern w:val="0"/>
                <w:sz w:val="24"/>
                <w:highlight w:val="none"/>
                <w:lang w:eastAsia="zh-CN"/>
              </w:rPr>
              <w:t>dB(A)</w:t>
            </w:r>
            <w:r>
              <w:rPr>
                <w:rFonts w:hint="eastAsia" w:eastAsia="Times New Roman" w:cs="Times New Roman"/>
                <w:color w:val="auto"/>
                <w:kern w:val="0"/>
                <w:sz w:val="24"/>
                <w:highlight w:val="none"/>
                <w:lang w:eastAsia="zh-CN"/>
              </w:rPr>
              <w:t>，以生产车间西南角为原点</w:t>
            </w:r>
            <w:r>
              <w:rPr>
                <w:rFonts w:hint="default" w:ascii="Times New Roman" w:hAnsi="Times New Roman" w:eastAsia="Times New Roman" w:cs="Times New Roman"/>
                <w:bCs/>
                <w:color w:val="auto"/>
                <w:sz w:val="24"/>
                <w:highlight w:val="none"/>
              </w:rPr>
              <w:t>。</w:t>
            </w:r>
            <w:r>
              <w:rPr>
                <w:rFonts w:hint="default" w:ascii="Times New Roman" w:hAnsi="Times New Roman" w:eastAsia="Times New Roman" w:cs="Times New Roman"/>
                <w:color w:val="auto"/>
                <w:sz w:val="24"/>
                <w:highlight w:val="none"/>
                <w:lang w:val="en-US" w:eastAsia="zh-CN"/>
              </w:rPr>
              <w:t>具体</w:t>
            </w:r>
            <w:r>
              <w:rPr>
                <w:rFonts w:hint="default" w:ascii="Times New Roman" w:hAnsi="Times New Roman" w:eastAsia="Times New Roman" w:cs="Times New Roman"/>
                <w:color w:val="auto"/>
                <w:sz w:val="24"/>
                <w:highlight w:val="none"/>
              </w:rPr>
              <w:t>见下表。</w:t>
            </w:r>
          </w:p>
          <w:p w14:paraId="3FBC07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color w:val="auto"/>
                <w:sz w:val="24"/>
                <w:highlight w:val="none"/>
              </w:rPr>
            </w:pPr>
            <w:r>
              <w:rPr>
                <w:rFonts w:hint="default" w:ascii="Times New Roman" w:hAnsi="Times New Roman" w:eastAsia="宋体" w:cs="Times New Roman"/>
                <w:b/>
                <w:bCs/>
                <w:color w:val="auto"/>
                <w:sz w:val="24"/>
                <w:highlight w:val="none"/>
                <w:lang w:val="en-US" w:eastAsia="zh-CN"/>
              </w:rPr>
              <w:t>本项目工业企业主要噪声源强调查清单（室内声源）</w:t>
            </w:r>
          </w:p>
          <w:tbl>
            <w:tblPr>
              <w:tblStyle w:val="26"/>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48"/>
              <w:gridCol w:w="552"/>
              <w:gridCol w:w="1066"/>
              <w:gridCol w:w="892"/>
              <w:gridCol w:w="1066"/>
              <w:gridCol w:w="786"/>
              <w:gridCol w:w="1068"/>
              <w:gridCol w:w="1068"/>
              <w:gridCol w:w="800"/>
            </w:tblGrid>
            <w:tr w14:paraId="6CBE13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7" w:type="pct"/>
                  <w:vMerge w:val="restart"/>
                  <w:tcBorders>
                    <w:tl2br w:val="nil"/>
                    <w:tr2bl w:val="nil"/>
                  </w:tcBorders>
                  <w:noWrap w:val="0"/>
                  <w:vAlign w:val="center"/>
                </w:tcPr>
                <w:p w14:paraId="7D89F0B8">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建筑物名称</w:t>
                  </w:r>
                </w:p>
              </w:tc>
              <w:tc>
                <w:tcPr>
                  <w:tcW w:w="539" w:type="pct"/>
                  <w:vMerge w:val="restart"/>
                  <w:tcBorders>
                    <w:tl2br w:val="nil"/>
                    <w:tr2bl w:val="nil"/>
                  </w:tcBorders>
                  <w:noWrap w:val="0"/>
                  <w:vAlign w:val="center"/>
                </w:tcPr>
                <w:p w14:paraId="296572E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声源名称</w:t>
                  </w:r>
                </w:p>
              </w:tc>
              <w:tc>
                <w:tcPr>
                  <w:tcW w:w="314" w:type="pct"/>
                  <w:vMerge w:val="restart"/>
                  <w:tcBorders>
                    <w:tl2br w:val="nil"/>
                    <w:tr2bl w:val="nil"/>
                  </w:tcBorders>
                  <w:noWrap w:val="0"/>
                  <w:vAlign w:val="center"/>
                </w:tcPr>
                <w:p w14:paraId="5D1DB3A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型号</w:t>
                  </w:r>
                </w:p>
              </w:tc>
              <w:tc>
                <w:tcPr>
                  <w:tcW w:w="606" w:type="pct"/>
                  <w:tcBorders>
                    <w:tl2br w:val="nil"/>
                    <w:tr2bl w:val="nil"/>
                  </w:tcBorders>
                  <w:noWrap w:val="0"/>
                  <w:vAlign w:val="center"/>
                </w:tcPr>
                <w:p w14:paraId="6C29A666">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声源源强</w:t>
                  </w:r>
                </w:p>
              </w:tc>
              <w:tc>
                <w:tcPr>
                  <w:tcW w:w="507" w:type="pct"/>
                  <w:vMerge w:val="restart"/>
                  <w:tcBorders>
                    <w:tl2br w:val="nil"/>
                    <w:tr2bl w:val="nil"/>
                  </w:tcBorders>
                  <w:noWrap w:val="0"/>
                  <w:vAlign w:val="center"/>
                </w:tcPr>
                <w:p w14:paraId="43417EC0">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距室内边</w:t>
                  </w:r>
                </w:p>
                <w:p w14:paraId="2575C50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界距离/m</w:t>
                  </w:r>
                </w:p>
              </w:tc>
              <w:tc>
                <w:tcPr>
                  <w:tcW w:w="606" w:type="pct"/>
                  <w:vMerge w:val="restart"/>
                  <w:tcBorders>
                    <w:tl2br w:val="nil"/>
                    <w:tr2bl w:val="nil"/>
                  </w:tcBorders>
                  <w:noWrap w:val="0"/>
                  <w:vAlign w:val="center"/>
                </w:tcPr>
                <w:p w14:paraId="5C3032C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室内边界</w:t>
                  </w:r>
                </w:p>
                <w:p w14:paraId="20874BA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声级</w:t>
                  </w:r>
                </w:p>
                <w:p w14:paraId="7ACAD486">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/dB(A)</w:t>
                  </w:r>
                </w:p>
              </w:tc>
              <w:tc>
                <w:tcPr>
                  <w:tcW w:w="447" w:type="pct"/>
                  <w:vMerge w:val="restart"/>
                  <w:tcBorders>
                    <w:tl2br w:val="nil"/>
                    <w:tr2bl w:val="nil"/>
                  </w:tcBorders>
                  <w:noWrap w:val="0"/>
                  <w:vAlign w:val="center"/>
                </w:tcPr>
                <w:p w14:paraId="3A5BED8A">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运行时段</w:t>
                  </w:r>
                </w:p>
              </w:tc>
              <w:tc>
                <w:tcPr>
                  <w:tcW w:w="607" w:type="pct"/>
                  <w:vMerge w:val="restart"/>
                  <w:tcBorders>
                    <w:tl2br w:val="nil"/>
                    <w:tr2bl w:val="nil"/>
                  </w:tcBorders>
                  <w:noWrap w:val="0"/>
                  <w:vAlign w:val="center"/>
                </w:tcPr>
                <w:p w14:paraId="64FE7775">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w:t>
                  </w:r>
                </w:p>
                <w:p w14:paraId="11D9D233">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插入损</w:t>
                  </w:r>
                </w:p>
                <w:p w14:paraId="3B31AD63">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失/dB(A)</w:t>
                  </w:r>
                </w:p>
              </w:tc>
              <w:tc>
                <w:tcPr>
                  <w:tcW w:w="1062" w:type="pct"/>
                  <w:gridSpan w:val="2"/>
                  <w:tcBorders>
                    <w:tl2br w:val="nil"/>
                    <w:tr2bl w:val="nil"/>
                  </w:tcBorders>
                  <w:noWrap w:val="0"/>
                  <w:vAlign w:val="center"/>
                </w:tcPr>
                <w:p w14:paraId="7D9738D0">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建筑物外噪声</w:t>
                  </w:r>
                </w:p>
              </w:tc>
            </w:tr>
            <w:tr w14:paraId="054CEB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07" w:type="pct"/>
                  <w:vMerge w:val="continue"/>
                  <w:tcBorders>
                    <w:tl2br w:val="nil"/>
                    <w:tr2bl w:val="nil"/>
                  </w:tcBorders>
                  <w:noWrap w:val="0"/>
                  <w:vAlign w:val="center"/>
                </w:tcPr>
                <w:p w14:paraId="5A77848A">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539" w:type="pct"/>
                  <w:vMerge w:val="continue"/>
                  <w:tcBorders>
                    <w:tl2br w:val="nil"/>
                    <w:tr2bl w:val="nil"/>
                  </w:tcBorders>
                  <w:noWrap w:val="0"/>
                  <w:vAlign w:val="center"/>
                </w:tcPr>
                <w:p w14:paraId="19F16FA8">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314" w:type="pct"/>
                  <w:vMerge w:val="continue"/>
                  <w:tcBorders>
                    <w:tl2br w:val="nil"/>
                    <w:tr2bl w:val="nil"/>
                  </w:tcBorders>
                  <w:noWrap w:val="0"/>
                  <w:vAlign w:val="center"/>
                </w:tcPr>
                <w:p w14:paraId="756BFAD6">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606" w:type="pct"/>
                  <w:tcBorders>
                    <w:tl2br w:val="nil"/>
                    <w:tr2bl w:val="nil"/>
                  </w:tcBorders>
                  <w:noWrap w:val="0"/>
                  <w:vAlign w:val="center"/>
                </w:tcPr>
                <w:p w14:paraId="6458876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声功率级/dB(A)</w:t>
                  </w:r>
                </w:p>
              </w:tc>
              <w:tc>
                <w:tcPr>
                  <w:tcW w:w="507" w:type="pct"/>
                  <w:vMerge w:val="continue"/>
                  <w:tcBorders>
                    <w:tl2br w:val="nil"/>
                    <w:tr2bl w:val="nil"/>
                  </w:tcBorders>
                  <w:noWrap w:val="0"/>
                  <w:vAlign w:val="center"/>
                </w:tcPr>
                <w:p w14:paraId="1550F900">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606" w:type="pct"/>
                  <w:vMerge w:val="continue"/>
                  <w:tcBorders>
                    <w:tl2br w:val="nil"/>
                    <w:tr2bl w:val="nil"/>
                  </w:tcBorders>
                  <w:noWrap w:val="0"/>
                  <w:vAlign w:val="center"/>
                </w:tcPr>
                <w:p w14:paraId="7882FE81">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447" w:type="pct"/>
                  <w:vMerge w:val="continue"/>
                  <w:tcBorders>
                    <w:tl2br w:val="nil"/>
                    <w:tr2bl w:val="nil"/>
                  </w:tcBorders>
                  <w:noWrap w:val="0"/>
                  <w:vAlign w:val="center"/>
                </w:tcPr>
                <w:p w14:paraId="612076AA">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607" w:type="pct"/>
                  <w:vMerge w:val="continue"/>
                  <w:tcBorders>
                    <w:tl2br w:val="nil"/>
                    <w:tr2bl w:val="nil"/>
                  </w:tcBorders>
                  <w:noWrap w:val="0"/>
                  <w:vAlign w:val="center"/>
                </w:tcPr>
                <w:p w14:paraId="0C36046E">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607" w:type="pct"/>
                  <w:tcBorders>
                    <w:tl2br w:val="nil"/>
                    <w:tr2bl w:val="nil"/>
                  </w:tcBorders>
                  <w:noWrap w:val="0"/>
                  <w:vAlign w:val="center"/>
                </w:tcPr>
                <w:p w14:paraId="300C006D">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声压级</w:t>
                  </w:r>
                </w:p>
                <w:p w14:paraId="157B8895">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/dB(A)</w:t>
                  </w:r>
                </w:p>
              </w:tc>
              <w:tc>
                <w:tcPr>
                  <w:tcW w:w="454" w:type="pct"/>
                  <w:tcBorders>
                    <w:tl2br w:val="nil"/>
                    <w:tr2bl w:val="nil"/>
                  </w:tcBorders>
                  <w:noWrap w:val="0"/>
                  <w:vAlign w:val="center"/>
                </w:tcPr>
                <w:p w14:paraId="521745B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建筑物外距离</w:t>
                  </w:r>
                </w:p>
              </w:tc>
            </w:tr>
            <w:tr w14:paraId="72F8A7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07" w:type="pct"/>
                  <w:vMerge w:val="restart"/>
                  <w:tcBorders>
                    <w:tl2br w:val="nil"/>
                    <w:tr2bl w:val="nil"/>
                  </w:tcBorders>
                  <w:noWrap w:val="0"/>
                  <w:vAlign w:val="center"/>
                </w:tcPr>
                <w:p w14:paraId="39172F7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生产车间</w:t>
                  </w:r>
                </w:p>
              </w:tc>
              <w:tc>
                <w:tcPr>
                  <w:tcW w:w="539" w:type="pct"/>
                  <w:tcBorders>
                    <w:tl2br w:val="nil"/>
                    <w:tr2bl w:val="nil"/>
                  </w:tcBorders>
                  <w:noWrap w:val="0"/>
                  <w:vAlign w:val="center"/>
                </w:tcPr>
                <w:p w14:paraId="25AB14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挤出（吹膜）机</w:t>
                  </w:r>
                  <w:r>
                    <w:rPr>
                      <w:rFonts w:hint="eastAsia" w:cs="Times New Roman"/>
                      <w:i w:val="0"/>
                      <w:iCs w:val="0"/>
                      <w:color w:val="auto"/>
                      <w:kern w:val="0"/>
                      <w:sz w:val="21"/>
                      <w:szCs w:val="21"/>
                      <w:u w:val="none"/>
                      <w:lang w:val="en-US" w:eastAsia="zh-CN" w:bidi="ar"/>
                    </w:rPr>
                    <w:t>*6（5用1备）</w:t>
                  </w:r>
                </w:p>
              </w:tc>
              <w:tc>
                <w:tcPr>
                  <w:tcW w:w="314" w:type="pct"/>
                  <w:tcBorders>
                    <w:tl2br w:val="nil"/>
                    <w:tr2bl w:val="nil"/>
                  </w:tcBorders>
                  <w:noWrap w:val="0"/>
                  <w:vAlign w:val="center"/>
                </w:tcPr>
                <w:p w14:paraId="55885092">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AACF6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75</w:t>
                  </w:r>
                </w:p>
              </w:tc>
              <w:tc>
                <w:tcPr>
                  <w:tcW w:w="507" w:type="pct"/>
                  <w:tcBorders>
                    <w:tl2br w:val="nil"/>
                    <w:tr2bl w:val="nil"/>
                  </w:tcBorders>
                  <w:noWrap w:val="0"/>
                  <w:vAlign w:val="center"/>
                </w:tcPr>
                <w:p w14:paraId="60B549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26AAE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5</w:t>
                  </w:r>
                  <w:r>
                    <w:rPr>
                      <w:rFonts w:hint="eastAsia" w:cs="Times New Roman"/>
                      <w:i w:val="0"/>
                      <w:iCs w:val="0"/>
                      <w:color w:val="auto"/>
                      <w:kern w:val="0"/>
                      <w:sz w:val="21"/>
                      <w:szCs w:val="21"/>
                      <w:u w:val="none"/>
                      <w:lang w:val="en-US" w:eastAsia="zh-CN" w:bidi="ar"/>
                    </w:rPr>
                    <w:t>4</w:t>
                  </w:r>
                </w:p>
              </w:tc>
              <w:tc>
                <w:tcPr>
                  <w:tcW w:w="447" w:type="pct"/>
                  <w:tcBorders>
                    <w:tl2br w:val="nil"/>
                    <w:tr2bl w:val="nil"/>
                  </w:tcBorders>
                  <w:noWrap w:val="0"/>
                  <w:vAlign w:val="center"/>
                </w:tcPr>
                <w:p w14:paraId="31A76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2D081F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47D58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57.85</w:t>
                  </w:r>
                </w:p>
              </w:tc>
              <w:tc>
                <w:tcPr>
                  <w:tcW w:w="454" w:type="pct"/>
                  <w:tcBorders>
                    <w:tl2br w:val="nil"/>
                    <w:tr2bl w:val="nil"/>
                  </w:tcBorders>
                  <w:noWrap w:val="0"/>
                  <w:vAlign w:val="center"/>
                </w:tcPr>
                <w:p w14:paraId="6F35F0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374462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48F3AA1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p>
              </w:tc>
              <w:tc>
                <w:tcPr>
                  <w:tcW w:w="539" w:type="pct"/>
                  <w:tcBorders>
                    <w:tl2br w:val="nil"/>
                    <w:tr2bl w:val="nil"/>
                  </w:tcBorders>
                  <w:noWrap w:val="0"/>
                  <w:vAlign w:val="center"/>
                </w:tcPr>
                <w:p w14:paraId="15B997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圆织机</w:t>
                  </w:r>
                  <w:r>
                    <w:rPr>
                      <w:rFonts w:hint="eastAsia" w:cs="Times New Roman"/>
                      <w:i w:val="0"/>
                      <w:iCs w:val="0"/>
                      <w:color w:val="auto"/>
                      <w:kern w:val="0"/>
                      <w:sz w:val="21"/>
                      <w:szCs w:val="21"/>
                      <w:u w:val="none"/>
                      <w:lang w:val="en-US" w:eastAsia="zh-CN" w:bidi="ar"/>
                    </w:rPr>
                    <w:t>*200</w:t>
                  </w:r>
                </w:p>
              </w:tc>
              <w:tc>
                <w:tcPr>
                  <w:tcW w:w="314" w:type="pct"/>
                  <w:tcBorders>
                    <w:tl2br w:val="nil"/>
                    <w:tr2bl w:val="nil"/>
                  </w:tcBorders>
                  <w:noWrap w:val="0"/>
                  <w:vAlign w:val="center"/>
                </w:tcPr>
                <w:p w14:paraId="6B8EB9A6">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3C6B5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w:t>
                  </w:r>
                </w:p>
              </w:tc>
              <w:tc>
                <w:tcPr>
                  <w:tcW w:w="507" w:type="pct"/>
                  <w:tcBorders>
                    <w:tl2br w:val="nil"/>
                    <w:tr2bl w:val="nil"/>
                  </w:tcBorders>
                  <w:noWrap w:val="0"/>
                  <w:vAlign w:val="center"/>
                </w:tcPr>
                <w:p w14:paraId="0D0386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509FE3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2769F3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11963F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FD6DB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42.85</w:t>
                  </w:r>
                </w:p>
              </w:tc>
              <w:tc>
                <w:tcPr>
                  <w:tcW w:w="454" w:type="pct"/>
                  <w:tcBorders>
                    <w:tl2br w:val="nil"/>
                    <w:tr2bl w:val="nil"/>
                  </w:tcBorders>
                  <w:noWrap w:val="0"/>
                  <w:vAlign w:val="center"/>
                </w:tcPr>
                <w:p w14:paraId="5DB95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619A3C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1C0C9EB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p>
              </w:tc>
              <w:tc>
                <w:tcPr>
                  <w:tcW w:w="539" w:type="pct"/>
                  <w:tcBorders>
                    <w:tl2br w:val="nil"/>
                    <w:tr2bl w:val="nil"/>
                  </w:tcBorders>
                  <w:noWrap w:val="0"/>
                  <w:vAlign w:val="center"/>
                </w:tcPr>
                <w:p w14:paraId="2F87644F">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水</w:t>
                  </w:r>
                  <w:r>
                    <w:rPr>
                      <w:rFonts w:hint="eastAsia" w:ascii="Times New Roman" w:hAnsi="Times New Roman" w:eastAsia="宋体" w:cs="Times New Roman"/>
                      <w:color w:val="auto"/>
                      <w:sz w:val="21"/>
                      <w:szCs w:val="21"/>
                      <w:lang w:val="en-US" w:eastAsia="zh-CN"/>
                    </w:rPr>
                    <w:t>带粘合</w:t>
                  </w:r>
                  <w:r>
                    <w:rPr>
                      <w:rFonts w:hint="default" w:ascii="Times New Roman" w:hAnsi="Times New Roman" w:eastAsia="宋体" w:cs="Times New Roman"/>
                      <w:color w:val="auto"/>
                      <w:sz w:val="21"/>
                      <w:szCs w:val="21"/>
                      <w:lang w:val="en-US" w:eastAsia="zh-CN"/>
                    </w:rPr>
                    <w:t>机</w:t>
                  </w:r>
                  <w:r>
                    <w:rPr>
                      <w:rFonts w:hint="eastAsia" w:ascii="Times New Roman" w:hAnsi="Times New Roman" w:eastAsia="宋体" w:cs="Times New Roman"/>
                      <w:color w:val="auto"/>
                      <w:sz w:val="21"/>
                      <w:szCs w:val="21"/>
                      <w:lang w:val="en-US" w:eastAsia="zh-CN"/>
                    </w:rPr>
                    <w:t>*10</w:t>
                  </w:r>
                </w:p>
              </w:tc>
              <w:tc>
                <w:tcPr>
                  <w:tcW w:w="314" w:type="pct"/>
                  <w:tcBorders>
                    <w:tl2br w:val="nil"/>
                    <w:tr2bl w:val="nil"/>
                  </w:tcBorders>
                  <w:noWrap w:val="0"/>
                  <w:vAlign w:val="center"/>
                </w:tcPr>
                <w:p w14:paraId="076DEB52">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6D43CB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w:t>
                  </w:r>
                </w:p>
              </w:tc>
              <w:tc>
                <w:tcPr>
                  <w:tcW w:w="507" w:type="pct"/>
                  <w:tcBorders>
                    <w:tl2br w:val="nil"/>
                    <w:tr2bl w:val="nil"/>
                  </w:tcBorders>
                  <w:noWrap w:val="0"/>
                  <w:vAlign w:val="center"/>
                </w:tcPr>
                <w:p w14:paraId="04B656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209ED8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3F35D7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38B83F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3E207B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42.85</w:t>
                  </w:r>
                </w:p>
              </w:tc>
              <w:tc>
                <w:tcPr>
                  <w:tcW w:w="454" w:type="pct"/>
                  <w:tcBorders>
                    <w:tl2br w:val="nil"/>
                    <w:tr2bl w:val="nil"/>
                  </w:tcBorders>
                  <w:noWrap w:val="0"/>
                  <w:vAlign w:val="center"/>
                </w:tcPr>
                <w:p w14:paraId="254E5D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809B6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3A0832E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p>
              </w:tc>
              <w:tc>
                <w:tcPr>
                  <w:tcW w:w="539" w:type="pct"/>
                  <w:tcBorders>
                    <w:tl2br w:val="nil"/>
                    <w:tr2bl w:val="nil"/>
                  </w:tcBorders>
                  <w:noWrap w:val="0"/>
                  <w:vAlign w:val="center"/>
                </w:tcPr>
                <w:p w14:paraId="41078A4C">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收卷机</w:t>
                  </w:r>
                  <w:r>
                    <w:rPr>
                      <w:rFonts w:hint="eastAsia" w:ascii="Times New Roman" w:hAnsi="Times New Roman" w:eastAsia="宋体" w:cs="Times New Roman"/>
                      <w:color w:val="auto"/>
                      <w:sz w:val="21"/>
                      <w:szCs w:val="21"/>
                      <w:lang w:val="en-US" w:eastAsia="zh-CN"/>
                    </w:rPr>
                    <w:t>*8</w:t>
                  </w:r>
                </w:p>
              </w:tc>
              <w:tc>
                <w:tcPr>
                  <w:tcW w:w="314" w:type="pct"/>
                  <w:tcBorders>
                    <w:tl2br w:val="nil"/>
                    <w:tr2bl w:val="nil"/>
                  </w:tcBorders>
                  <w:noWrap w:val="0"/>
                  <w:vAlign w:val="center"/>
                </w:tcPr>
                <w:p w14:paraId="364970EB">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423ADE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70</w:t>
                  </w:r>
                </w:p>
              </w:tc>
              <w:tc>
                <w:tcPr>
                  <w:tcW w:w="507" w:type="pct"/>
                  <w:tcBorders>
                    <w:tl2br w:val="nil"/>
                    <w:tr2bl w:val="nil"/>
                  </w:tcBorders>
                  <w:noWrap w:val="0"/>
                  <w:vAlign w:val="center"/>
                </w:tcPr>
                <w:p w14:paraId="467EE4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581AC1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49</w:t>
                  </w:r>
                </w:p>
              </w:tc>
              <w:tc>
                <w:tcPr>
                  <w:tcW w:w="447" w:type="pct"/>
                  <w:tcBorders>
                    <w:tl2br w:val="nil"/>
                    <w:tr2bl w:val="nil"/>
                  </w:tcBorders>
                  <w:noWrap w:val="0"/>
                  <w:vAlign w:val="center"/>
                </w:tcPr>
                <w:p w14:paraId="28DDF9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5191A9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6EFF10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52.85</w:t>
                  </w:r>
                </w:p>
              </w:tc>
              <w:tc>
                <w:tcPr>
                  <w:tcW w:w="454" w:type="pct"/>
                  <w:tcBorders>
                    <w:tl2br w:val="nil"/>
                    <w:tr2bl w:val="nil"/>
                  </w:tcBorders>
                  <w:noWrap w:val="0"/>
                  <w:vAlign w:val="center"/>
                </w:tcPr>
                <w:p w14:paraId="1A092D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AB1B2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14BB635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p>
              </w:tc>
              <w:tc>
                <w:tcPr>
                  <w:tcW w:w="539" w:type="pct"/>
                  <w:tcBorders>
                    <w:tl2br w:val="nil"/>
                    <w:tr2bl w:val="nil"/>
                  </w:tcBorders>
                  <w:noWrap w:val="0"/>
                  <w:vAlign w:val="center"/>
                </w:tcPr>
                <w:p w14:paraId="422581FE">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收卷机（成品）</w:t>
                  </w:r>
                  <w:r>
                    <w:rPr>
                      <w:rFonts w:hint="eastAsia" w:ascii="Times New Roman" w:hAnsi="Times New Roman" w:eastAsia="宋体" w:cs="Times New Roman"/>
                      <w:color w:val="auto"/>
                      <w:sz w:val="21"/>
                      <w:szCs w:val="21"/>
                      <w:lang w:val="en-US" w:eastAsia="zh-CN"/>
                    </w:rPr>
                    <w:t>*8</w:t>
                  </w:r>
                </w:p>
              </w:tc>
              <w:tc>
                <w:tcPr>
                  <w:tcW w:w="314" w:type="pct"/>
                  <w:tcBorders>
                    <w:tl2br w:val="nil"/>
                    <w:tr2bl w:val="nil"/>
                  </w:tcBorders>
                  <w:noWrap w:val="0"/>
                  <w:vAlign w:val="center"/>
                </w:tcPr>
                <w:p w14:paraId="32EF1662">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24A252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70</w:t>
                  </w:r>
                </w:p>
              </w:tc>
              <w:tc>
                <w:tcPr>
                  <w:tcW w:w="507" w:type="pct"/>
                  <w:tcBorders>
                    <w:tl2br w:val="nil"/>
                    <w:tr2bl w:val="nil"/>
                  </w:tcBorders>
                  <w:noWrap w:val="0"/>
                  <w:vAlign w:val="center"/>
                </w:tcPr>
                <w:p w14:paraId="7D000C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783DCB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49</w:t>
                  </w:r>
                </w:p>
              </w:tc>
              <w:tc>
                <w:tcPr>
                  <w:tcW w:w="447" w:type="pct"/>
                  <w:tcBorders>
                    <w:tl2br w:val="nil"/>
                    <w:tr2bl w:val="nil"/>
                  </w:tcBorders>
                  <w:noWrap w:val="0"/>
                  <w:vAlign w:val="center"/>
                </w:tcPr>
                <w:p w14:paraId="239994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47B2AF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467D95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52.85</w:t>
                  </w:r>
                </w:p>
              </w:tc>
              <w:tc>
                <w:tcPr>
                  <w:tcW w:w="454" w:type="pct"/>
                  <w:tcBorders>
                    <w:tl2br w:val="nil"/>
                    <w:tr2bl w:val="nil"/>
                  </w:tcBorders>
                  <w:noWrap w:val="0"/>
                  <w:vAlign w:val="center"/>
                </w:tcPr>
                <w:p w14:paraId="700C3A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5509E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274C5BB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p>
              </w:tc>
              <w:tc>
                <w:tcPr>
                  <w:tcW w:w="539" w:type="pct"/>
                  <w:tcBorders>
                    <w:tl2br w:val="nil"/>
                    <w:tr2bl w:val="nil"/>
                  </w:tcBorders>
                  <w:noWrap w:val="0"/>
                  <w:vAlign w:val="center"/>
                </w:tcPr>
                <w:p w14:paraId="00F6772E">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喷码机</w:t>
                  </w:r>
                  <w:r>
                    <w:rPr>
                      <w:rFonts w:hint="eastAsia" w:ascii="Times New Roman" w:hAnsi="Times New Roman" w:eastAsia="宋体" w:cs="Times New Roman"/>
                      <w:color w:val="auto"/>
                      <w:sz w:val="21"/>
                      <w:szCs w:val="21"/>
                      <w:lang w:val="en-US" w:eastAsia="zh-CN"/>
                    </w:rPr>
                    <w:t>*8</w:t>
                  </w:r>
                </w:p>
              </w:tc>
              <w:tc>
                <w:tcPr>
                  <w:tcW w:w="314" w:type="pct"/>
                  <w:tcBorders>
                    <w:tl2br w:val="nil"/>
                    <w:tr2bl w:val="nil"/>
                  </w:tcBorders>
                  <w:noWrap w:val="0"/>
                  <w:vAlign w:val="center"/>
                </w:tcPr>
                <w:p w14:paraId="3D3353BA">
                  <w:pPr>
                    <w:keepNext w:val="0"/>
                    <w:keepLines w:val="0"/>
                    <w:suppressLineNumbers w:val="0"/>
                    <w:bidi w:val="0"/>
                    <w:spacing w:before="0" w:beforeAutospacing="0" w:after="0" w:afterAutospacing="0"/>
                    <w:ind w:left="0" w:right="0"/>
                    <w:jc w:val="center"/>
                    <w:rPr>
                      <w:rFonts w:hint="default" w:ascii="Times New Roman" w:hAnsi="Times New Roman" w:eastAsia="Times New Roman" w:cs="Times New Roman"/>
                      <w:color w:val="auto"/>
                      <w:sz w:val="21"/>
                      <w:szCs w:val="21"/>
                      <w:lang w:val="en-US" w:eastAsia="zh-CN"/>
                    </w:rPr>
                  </w:pPr>
                  <w:r>
                    <w:rPr>
                      <w:rFonts w:hint="default" w:ascii="Times New Roman" w:hAnsi="Times New Roman" w:eastAsia="Times New Roman" w:cs="Times New Roman"/>
                      <w:color w:val="auto"/>
                      <w:sz w:val="21"/>
                      <w:szCs w:val="21"/>
                      <w:lang w:val="en-US" w:eastAsia="zh-CN"/>
                    </w:rPr>
                    <w:t>点源</w:t>
                  </w:r>
                </w:p>
              </w:tc>
              <w:tc>
                <w:tcPr>
                  <w:tcW w:w="606" w:type="pct"/>
                  <w:tcBorders>
                    <w:tl2br w:val="nil"/>
                    <w:tr2bl w:val="nil"/>
                  </w:tcBorders>
                  <w:noWrap w:val="0"/>
                  <w:vAlign w:val="center"/>
                </w:tcPr>
                <w:p w14:paraId="099AED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w:t>
                  </w:r>
                </w:p>
              </w:tc>
              <w:tc>
                <w:tcPr>
                  <w:tcW w:w="507" w:type="pct"/>
                  <w:tcBorders>
                    <w:tl2br w:val="nil"/>
                    <w:tr2bl w:val="nil"/>
                  </w:tcBorders>
                  <w:noWrap w:val="0"/>
                  <w:vAlign w:val="center"/>
                </w:tcPr>
                <w:p w14:paraId="566237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3A276E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4287BF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5851D4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18DD86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42.85</w:t>
                  </w:r>
                </w:p>
              </w:tc>
              <w:tc>
                <w:tcPr>
                  <w:tcW w:w="454" w:type="pct"/>
                  <w:tcBorders>
                    <w:tl2br w:val="nil"/>
                    <w:tr2bl w:val="nil"/>
                  </w:tcBorders>
                  <w:noWrap w:val="0"/>
                  <w:vAlign w:val="center"/>
                </w:tcPr>
                <w:p w14:paraId="36EFF4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3E2ADA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0913930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rPr>
                  </w:pPr>
                </w:p>
              </w:tc>
              <w:tc>
                <w:tcPr>
                  <w:tcW w:w="539" w:type="pct"/>
                  <w:tcBorders>
                    <w:tl2br w:val="nil"/>
                    <w:tr2bl w:val="nil"/>
                  </w:tcBorders>
                  <w:noWrap w:val="0"/>
                  <w:vAlign w:val="center"/>
                </w:tcPr>
                <w:p w14:paraId="016A72D3">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倒丝机</w:t>
                  </w:r>
                  <w:r>
                    <w:rPr>
                      <w:rFonts w:hint="eastAsia" w:ascii="Times New Roman" w:hAnsi="Times New Roman" w:eastAsia="宋体" w:cs="Times New Roman"/>
                      <w:color w:val="auto"/>
                      <w:sz w:val="21"/>
                      <w:szCs w:val="21"/>
                      <w:lang w:val="en-US" w:eastAsia="zh-CN"/>
                    </w:rPr>
                    <w:t>*20</w:t>
                  </w:r>
                </w:p>
              </w:tc>
              <w:tc>
                <w:tcPr>
                  <w:tcW w:w="314" w:type="pct"/>
                  <w:tcBorders>
                    <w:tl2br w:val="nil"/>
                    <w:tr2bl w:val="nil"/>
                  </w:tcBorders>
                  <w:noWrap w:val="0"/>
                  <w:vAlign w:val="center"/>
                </w:tcPr>
                <w:p w14:paraId="51AA5D3B">
                  <w:pPr>
                    <w:keepNext w:val="0"/>
                    <w:keepLines w:val="0"/>
                    <w:suppressLineNumbers w:val="0"/>
                    <w:bidi w:val="0"/>
                    <w:spacing w:before="0" w:beforeAutospacing="0" w:after="0" w:afterAutospacing="0"/>
                    <w:ind w:left="0" w:right="0"/>
                    <w:jc w:val="center"/>
                    <w:rPr>
                      <w:rFonts w:hint="default" w:ascii="Times New Roman" w:hAnsi="Times New Roman" w:eastAsia="Times New Roman" w:cs="Times New Roman"/>
                      <w:color w:val="auto"/>
                      <w:sz w:val="21"/>
                      <w:szCs w:val="21"/>
                      <w:lang w:val="en-US" w:eastAsia="zh-CN"/>
                    </w:rPr>
                  </w:pPr>
                  <w:r>
                    <w:rPr>
                      <w:rFonts w:hint="eastAsia" w:eastAsia="Times New Roman" w:cs="Times New Roman"/>
                      <w:color w:val="auto"/>
                      <w:sz w:val="21"/>
                      <w:szCs w:val="21"/>
                      <w:lang w:val="en-US" w:eastAsia="zh-CN"/>
                    </w:rPr>
                    <w:t>点源</w:t>
                  </w:r>
                </w:p>
              </w:tc>
              <w:tc>
                <w:tcPr>
                  <w:tcW w:w="606" w:type="pct"/>
                  <w:tcBorders>
                    <w:tl2br w:val="nil"/>
                    <w:tr2bl w:val="nil"/>
                  </w:tcBorders>
                  <w:noWrap w:val="0"/>
                  <w:vAlign w:val="center"/>
                </w:tcPr>
                <w:p w14:paraId="52AF1030">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70</w:t>
                  </w:r>
                </w:p>
              </w:tc>
              <w:tc>
                <w:tcPr>
                  <w:tcW w:w="507" w:type="pct"/>
                  <w:tcBorders>
                    <w:tl2br w:val="nil"/>
                    <w:tr2bl w:val="nil"/>
                  </w:tcBorders>
                  <w:noWrap w:val="0"/>
                  <w:vAlign w:val="center"/>
                </w:tcPr>
                <w:p w14:paraId="2FFCD9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1317F5D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49</w:t>
                  </w:r>
                </w:p>
              </w:tc>
              <w:tc>
                <w:tcPr>
                  <w:tcW w:w="447" w:type="pct"/>
                  <w:tcBorders>
                    <w:tl2br w:val="nil"/>
                    <w:tr2bl w:val="nil"/>
                  </w:tcBorders>
                  <w:noWrap w:val="0"/>
                  <w:vAlign w:val="center"/>
                </w:tcPr>
                <w:p w14:paraId="37BC7FF7">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30D42D8D">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212D278C">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52.85</w:t>
                  </w:r>
                </w:p>
              </w:tc>
              <w:tc>
                <w:tcPr>
                  <w:tcW w:w="454" w:type="pct"/>
                  <w:tcBorders>
                    <w:tl2br w:val="nil"/>
                    <w:tr2bl w:val="nil"/>
                  </w:tcBorders>
                  <w:noWrap w:val="0"/>
                  <w:vAlign w:val="center"/>
                </w:tcPr>
                <w:p w14:paraId="06B7AF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r>
            <w:tr w14:paraId="015BC9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3D169A3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p>
              </w:tc>
              <w:tc>
                <w:tcPr>
                  <w:tcW w:w="539" w:type="pct"/>
                  <w:tcBorders>
                    <w:tl2br w:val="nil"/>
                    <w:tr2bl w:val="nil"/>
                  </w:tcBorders>
                  <w:noWrap w:val="0"/>
                  <w:vAlign w:val="center"/>
                </w:tcPr>
                <w:p w14:paraId="524E1269">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auto"/>
                      <w:kern w:val="2"/>
                      <w:sz w:val="21"/>
                      <w:szCs w:val="21"/>
                      <w:lang w:val="en-US"/>
                    </w:rPr>
                  </w:pPr>
                  <w:r>
                    <w:rPr>
                      <w:rFonts w:hint="eastAsia" w:ascii="Times New Roman" w:hAnsi="Times New Roman" w:eastAsia="宋体" w:cs="Times New Roman"/>
                      <w:color w:val="auto"/>
                      <w:sz w:val="21"/>
                      <w:szCs w:val="21"/>
                      <w:lang w:val="en-US" w:eastAsia="zh-CN"/>
                    </w:rPr>
                    <w:t>高频复合机*10</w:t>
                  </w:r>
                </w:p>
              </w:tc>
              <w:tc>
                <w:tcPr>
                  <w:tcW w:w="314" w:type="pct"/>
                  <w:tcBorders>
                    <w:tl2br w:val="nil"/>
                    <w:tr2bl w:val="nil"/>
                  </w:tcBorders>
                  <w:noWrap w:val="0"/>
                  <w:vAlign w:val="center"/>
                </w:tcPr>
                <w:p w14:paraId="7996FEB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点源</w:t>
                  </w:r>
                </w:p>
              </w:tc>
              <w:tc>
                <w:tcPr>
                  <w:tcW w:w="606" w:type="pct"/>
                  <w:tcBorders>
                    <w:tl2br w:val="nil"/>
                    <w:tr2bl w:val="nil"/>
                  </w:tcBorders>
                  <w:noWrap w:val="0"/>
                  <w:vAlign w:val="center"/>
                </w:tcPr>
                <w:p w14:paraId="53DB1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60</w:t>
                  </w:r>
                </w:p>
              </w:tc>
              <w:tc>
                <w:tcPr>
                  <w:tcW w:w="507" w:type="pct"/>
                  <w:tcBorders>
                    <w:tl2br w:val="nil"/>
                    <w:tr2bl w:val="nil"/>
                  </w:tcBorders>
                  <w:noWrap w:val="0"/>
                  <w:vAlign w:val="center"/>
                </w:tcPr>
                <w:p w14:paraId="38FA37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3A6DF3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324846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084298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1BB51F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Times New Roman" w:cs="Times New Roman"/>
                      <w:color w:val="auto"/>
                      <w:sz w:val="21"/>
                      <w:szCs w:val="21"/>
                      <w:highlight w:val="none"/>
                      <w:lang w:val="en-US"/>
                    </w:rPr>
                  </w:pPr>
                  <w:r>
                    <w:rPr>
                      <w:rFonts w:hint="eastAsia" w:cs="Times New Roman"/>
                      <w:i w:val="0"/>
                      <w:iCs w:val="0"/>
                      <w:color w:val="auto"/>
                      <w:kern w:val="0"/>
                      <w:sz w:val="21"/>
                      <w:szCs w:val="21"/>
                      <w:highlight w:val="none"/>
                      <w:u w:val="none"/>
                      <w:lang w:val="en-US" w:eastAsia="zh-CN" w:bidi="ar"/>
                    </w:rPr>
                    <w:t>42.85</w:t>
                  </w:r>
                </w:p>
              </w:tc>
              <w:tc>
                <w:tcPr>
                  <w:tcW w:w="454" w:type="pct"/>
                  <w:tcBorders>
                    <w:tl2br w:val="nil"/>
                    <w:tr2bl w:val="nil"/>
                  </w:tcBorders>
                  <w:noWrap w:val="0"/>
                  <w:vAlign w:val="center"/>
                </w:tcPr>
                <w:p w14:paraId="5EDD86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i w:val="0"/>
                      <w:iCs w:val="0"/>
                      <w:color w:val="auto"/>
                      <w:kern w:val="0"/>
                      <w:sz w:val="21"/>
                      <w:szCs w:val="21"/>
                      <w:u w:val="none"/>
                      <w:lang w:val="en-US" w:eastAsia="zh-CN" w:bidi="ar"/>
                    </w:rPr>
                    <w:t>1</w:t>
                  </w:r>
                </w:p>
              </w:tc>
            </w:tr>
            <w:tr w14:paraId="33C95D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20D7C61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p>
              </w:tc>
              <w:tc>
                <w:tcPr>
                  <w:tcW w:w="539" w:type="pct"/>
                  <w:tcBorders>
                    <w:tl2br w:val="nil"/>
                    <w:tr2bl w:val="nil"/>
                  </w:tcBorders>
                  <w:noWrap w:val="0"/>
                  <w:vAlign w:val="center"/>
                </w:tcPr>
                <w:p w14:paraId="67D30EF7">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覆膜机*5</w:t>
                  </w:r>
                </w:p>
              </w:tc>
              <w:tc>
                <w:tcPr>
                  <w:tcW w:w="314" w:type="pct"/>
                  <w:tcBorders>
                    <w:tl2br w:val="nil"/>
                    <w:tr2bl w:val="nil"/>
                  </w:tcBorders>
                  <w:noWrap w:val="0"/>
                  <w:vAlign w:val="center"/>
                </w:tcPr>
                <w:p w14:paraId="3A2C7D0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点源</w:t>
                  </w:r>
                </w:p>
              </w:tc>
              <w:tc>
                <w:tcPr>
                  <w:tcW w:w="606" w:type="pct"/>
                  <w:tcBorders>
                    <w:tl2br w:val="nil"/>
                    <w:tr2bl w:val="nil"/>
                  </w:tcBorders>
                  <w:noWrap w:val="0"/>
                  <w:vAlign w:val="center"/>
                </w:tcPr>
                <w:p w14:paraId="1AC87B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w:t>
                  </w:r>
                </w:p>
              </w:tc>
              <w:tc>
                <w:tcPr>
                  <w:tcW w:w="507" w:type="pct"/>
                  <w:tcBorders>
                    <w:tl2br w:val="nil"/>
                    <w:tr2bl w:val="nil"/>
                  </w:tcBorders>
                  <w:noWrap w:val="0"/>
                  <w:vAlign w:val="center"/>
                </w:tcPr>
                <w:p w14:paraId="49F2C1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685939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2EE806B7">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4B09D711">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048038BF">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42.85</w:t>
                  </w:r>
                </w:p>
              </w:tc>
              <w:tc>
                <w:tcPr>
                  <w:tcW w:w="454" w:type="pct"/>
                  <w:tcBorders>
                    <w:tl2br w:val="nil"/>
                    <w:tr2bl w:val="nil"/>
                  </w:tcBorders>
                  <w:noWrap w:val="0"/>
                  <w:vAlign w:val="center"/>
                </w:tcPr>
                <w:p w14:paraId="1098A3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14:paraId="700708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07" w:type="pct"/>
                  <w:vMerge w:val="continue"/>
                  <w:tcBorders>
                    <w:tl2br w:val="nil"/>
                    <w:tr2bl w:val="nil"/>
                  </w:tcBorders>
                  <w:noWrap w:val="0"/>
                  <w:vAlign w:val="center"/>
                </w:tcPr>
                <w:p w14:paraId="55960AD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lang w:eastAsia="zh-CN"/>
                    </w:rPr>
                  </w:pPr>
                </w:p>
              </w:tc>
              <w:tc>
                <w:tcPr>
                  <w:tcW w:w="539" w:type="pct"/>
                  <w:tcBorders>
                    <w:tl2br w:val="nil"/>
                    <w:tr2bl w:val="nil"/>
                  </w:tcBorders>
                  <w:noWrap w:val="0"/>
                  <w:vAlign w:val="center"/>
                </w:tcPr>
                <w:p w14:paraId="5967C7A8">
                  <w:pPr>
                    <w:keepNext w:val="0"/>
                    <w:keepLines w:val="0"/>
                    <w:suppressLineNumbers w:val="0"/>
                    <w:spacing w:before="0" w:beforeAutospacing="0" w:after="0" w:afterAutospacing="0" w:line="0" w:lineRule="atLeast"/>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闭式冷却塔*1</w:t>
                  </w:r>
                </w:p>
              </w:tc>
              <w:tc>
                <w:tcPr>
                  <w:tcW w:w="314" w:type="pct"/>
                  <w:tcBorders>
                    <w:tl2br w:val="nil"/>
                    <w:tr2bl w:val="nil"/>
                  </w:tcBorders>
                  <w:noWrap w:val="0"/>
                  <w:vAlign w:val="center"/>
                </w:tcPr>
                <w:p w14:paraId="253D0094">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点源</w:t>
                  </w:r>
                </w:p>
              </w:tc>
              <w:tc>
                <w:tcPr>
                  <w:tcW w:w="606" w:type="pct"/>
                  <w:tcBorders>
                    <w:tl2br w:val="nil"/>
                    <w:tr2bl w:val="nil"/>
                  </w:tcBorders>
                  <w:noWrap w:val="0"/>
                  <w:vAlign w:val="center"/>
                </w:tcPr>
                <w:p w14:paraId="658B8640">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60</w:t>
                  </w:r>
                </w:p>
              </w:tc>
              <w:tc>
                <w:tcPr>
                  <w:tcW w:w="507" w:type="pct"/>
                  <w:tcBorders>
                    <w:tl2br w:val="nil"/>
                    <w:tr2bl w:val="nil"/>
                  </w:tcBorders>
                  <w:noWrap w:val="0"/>
                  <w:vAlign w:val="center"/>
                </w:tcPr>
                <w:p w14:paraId="45845F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35.46</w:t>
                  </w:r>
                </w:p>
              </w:tc>
              <w:tc>
                <w:tcPr>
                  <w:tcW w:w="606" w:type="pct"/>
                  <w:tcBorders>
                    <w:tl2br w:val="nil"/>
                    <w:tr2bl w:val="nil"/>
                  </w:tcBorders>
                  <w:noWrap w:val="0"/>
                  <w:vAlign w:val="center"/>
                </w:tcPr>
                <w:p w14:paraId="7D8D11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39</w:t>
                  </w:r>
                </w:p>
              </w:tc>
              <w:tc>
                <w:tcPr>
                  <w:tcW w:w="447" w:type="pct"/>
                  <w:tcBorders>
                    <w:tl2br w:val="nil"/>
                    <w:tr2bl w:val="nil"/>
                  </w:tcBorders>
                  <w:noWrap w:val="0"/>
                  <w:vAlign w:val="center"/>
                </w:tcPr>
                <w:p w14:paraId="213146C0">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昼夜</w:t>
                  </w:r>
                </w:p>
              </w:tc>
              <w:tc>
                <w:tcPr>
                  <w:tcW w:w="607" w:type="pct"/>
                  <w:tcBorders>
                    <w:tl2br w:val="nil"/>
                    <w:tr2bl w:val="nil"/>
                  </w:tcBorders>
                  <w:noWrap w:val="0"/>
                  <w:vAlign w:val="center"/>
                </w:tcPr>
                <w:p w14:paraId="62C75533">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15</w:t>
                  </w:r>
                </w:p>
              </w:tc>
              <w:tc>
                <w:tcPr>
                  <w:tcW w:w="607" w:type="pct"/>
                  <w:tcBorders>
                    <w:tl2br w:val="nil"/>
                    <w:tr2bl w:val="nil"/>
                  </w:tcBorders>
                  <w:noWrap w:val="0"/>
                  <w:vAlign w:val="center"/>
                </w:tcPr>
                <w:p w14:paraId="3D5783CB">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42.85</w:t>
                  </w:r>
                </w:p>
              </w:tc>
              <w:tc>
                <w:tcPr>
                  <w:tcW w:w="454" w:type="pct"/>
                  <w:tcBorders>
                    <w:tl2br w:val="nil"/>
                    <w:tr2bl w:val="nil"/>
                  </w:tcBorders>
                  <w:noWrap w:val="0"/>
                  <w:vAlign w:val="center"/>
                </w:tcPr>
                <w:p w14:paraId="7179A5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bl>
          <w:p w14:paraId="0F68064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本项目工业企业主要噪声源强调查清单（室外声源）</w:t>
            </w:r>
          </w:p>
          <w:tbl>
            <w:tblPr>
              <w:tblStyle w:val="26"/>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155"/>
              <w:gridCol w:w="1048"/>
              <w:gridCol w:w="1348"/>
              <w:gridCol w:w="877"/>
              <w:gridCol w:w="814"/>
              <w:gridCol w:w="817"/>
              <w:gridCol w:w="1178"/>
              <w:gridCol w:w="946"/>
            </w:tblGrid>
            <w:tr w14:paraId="11605D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2" w:type="pct"/>
                  <w:vMerge w:val="restart"/>
                  <w:tcBorders>
                    <w:tl2br w:val="nil"/>
                    <w:tr2bl w:val="nil"/>
                  </w:tcBorders>
                  <w:noWrap w:val="0"/>
                  <w:vAlign w:val="center"/>
                </w:tcPr>
                <w:p w14:paraId="2CBF31A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eastAsia="zh-CN"/>
                    </w:rPr>
                  </w:pPr>
                  <w:r>
                    <w:rPr>
                      <w:rFonts w:hint="eastAsia" w:cs="Times New Roman"/>
                      <w:b/>
                      <w:bCs/>
                      <w:color w:val="auto"/>
                      <w:kern w:val="2"/>
                      <w:sz w:val="21"/>
                      <w:szCs w:val="21"/>
                      <w:lang w:eastAsia="zh-CN"/>
                    </w:rPr>
                    <w:t>序号</w:t>
                  </w:r>
                </w:p>
              </w:tc>
              <w:tc>
                <w:tcPr>
                  <w:tcW w:w="657" w:type="pct"/>
                  <w:vMerge w:val="restart"/>
                  <w:tcBorders>
                    <w:tl2br w:val="nil"/>
                    <w:tr2bl w:val="nil"/>
                  </w:tcBorders>
                  <w:noWrap w:val="0"/>
                  <w:vAlign w:val="center"/>
                </w:tcPr>
                <w:p w14:paraId="197FA444">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声源名称</w:t>
                  </w:r>
                </w:p>
              </w:tc>
              <w:tc>
                <w:tcPr>
                  <w:tcW w:w="596" w:type="pct"/>
                  <w:vMerge w:val="restart"/>
                  <w:tcBorders>
                    <w:tl2br w:val="nil"/>
                    <w:tr2bl w:val="nil"/>
                  </w:tcBorders>
                  <w:noWrap w:val="0"/>
                  <w:vAlign w:val="center"/>
                </w:tcPr>
                <w:p w14:paraId="0A394570">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cs="Times New Roman"/>
                      <w:b/>
                      <w:bCs/>
                      <w:color w:val="auto"/>
                      <w:kern w:val="2"/>
                      <w:sz w:val="21"/>
                      <w:szCs w:val="21"/>
                      <w:lang w:val="en-US" w:eastAsia="zh-CN" w:bidi="ar"/>
                    </w:rPr>
                    <w:t>型号</w:t>
                  </w:r>
                </w:p>
              </w:tc>
              <w:tc>
                <w:tcPr>
                  <w:tcW w:w="767" w:type="pct"/>
                  <w:tcBorders>
                    <w:tl2br w:val="nil"/>
                    <w:tr2bl w:val="nil"/>
                  </w:tcBorders>
                  <w:noWrap w:val="0"/>
                  <w:vAlign w:val="center"/>
                </w:tcPr>
                <w:p w14:paraId="4419FDC5">
                  <w:pPr>
                    <w:keepNext w:val="0"/>
                    <w:keepLines w:val="0"/>
                    <w:pageBreakBefore w:val="0"/>
                    <w:widowControl w:val="0"/>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声源源强</w:t>
                  </w:r>
                </w:p>
              </w:tc>
              <w:tc>
                <w:tcPr>
                  <w:tcW w:w="1427" w:type="pct"/>
                  <w:gridSpan w:val="3"/>
                  <w:tcBorders>
                    <w:tl2br w:val="nil"/>
                    <w:tr2bl w:val="nil"/>
                  </w:tcBorders>
                  <w:noWrap w:val="0"/>
                  <w:vAlign w:val="center"/>
                </w:tcPr>
                <w:p w14:paraId="443C824F">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空间相对位置/m</w:t>
                  </w:r>
                </w:p>
              </w:tc>
              <w:tc>
                <w:tcPr>
                  <w:tcW w:w="670" w:type="pct"/>
                  <w:vMerge w:val="restart"/>
                  <w:tcBorders>
                    <w:tl2br w:val="nil"/>
                    <w:tr2bl w:val="nil"/>
                  </w:tcBorders>
                  <w:noWrap w:val="0"/>
                  <w:vAlign w:val="center"/>
                </w:tcPr>
                <w:p w14:paraId="5C5011E6">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声源控制措施</w:t>
                  </w:r>
                </w:p>
              </w:tc>
              <w:tc>
                <w:tcPr>
                  <w:tcW w:w="538" w:type="pct"/>
                  <w:vMerge w:val="restart"/>
                  <w:tcBorders>
                    <w:tl2br w:val="nil"/>
                    <w:tr2bl w:val="nil"/>
                  </w:tcBorders>
                  <w:noWrap w:val="0"/>
                  <w:vAlign w:val="center"/>
                </w:tcPr>
                <w:p w14:paraId="7968A3DF">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运行时段</w:t>
                  </w:r>
                </w:p>
              </w:tc>
            </w:tr>
            <w:tr w14:paraId="4E837F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2" w:type="pct"/>
                  <w:vMerge w:val="continue"/>
                  <w:tcBorders>
                    <w:tl2br w:val="nil"/>
                    <w:tr2bl w:val="nil"/>
                  </w:tcBorders>
                  <w:noWrap w:val="0"/>
                  <w:vAlign w:val="center"/>
                </w:tcPr>
                <w:p w14:paraId="136DAE76">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657" w:type="pct"/>
                  <w:vMerge w:val="continue"/>
                  <w:tcBorders>
                    <w:tl2br w:val="nil"/>
                    <w:tr2bl w:val="nil"/>
                  </w:tcBorders>
                  <w:noWrap w:val="0"/>
                  <w:vAlign w:val="center"/>
                </w:tcPr>
                <w:p w14:paraId="33EA6709">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596" w:type="pct"/>
                  <w:vMerge w:val="continue"/>
                  <w:tcBorders>
                    <w:tl2br w:val="nil"/>
                    <w:tr2bl w:val="nil"/>
                  </w:tcBorders>
                  <w:noWrap w:val="0"/>
                  <w:vAlign w:val="center"/>
                </w:tcPr>
                <w:p w14:paraId="6DCA2BC4">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p>
              </w:tc>
              <w:tc>
                <w:tcPr>
                  <w:tcW w:w="767" w:type="pct"/>
                  <w:tcBorders>
                    <w:tl2br w:val="nil"/>
                    <w:tr2bl w:val="nil"/>
                  </w:tcBorders>
                  <w:noWrap w:val="0"/>
                  <w:vAlign w:val="center"/>
                </w:tcPr>
                <w:p w14:paraId="7E241BD3">
                  <w:pPr>
                    <w:keepNext w:val="0"/>
                    <w:keepLines w:val="0"/>
                    <w:pageBreakBefore w:val="0"/>
                    <w:widowControl w:val="0"/>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声功率级/dB(A)</w:t>
                  </w:r>
                </w:p>
              </w:tc>
              <w:tc>
                <w:tcPr>
                  <w:tcW w:w="499" w:type="pct"/>
                  <w:tcBorders>
                    <w:tl2br w:val="nil"/>
                    <w:tr2bl w:val="nil"/>
                  </w:tcBorders>
                  <w:noWrap w:val="0"/>
                  <w:vAlign w:val="center"/>
                </w:tcPr>
                <w:p w14:paraId="7D80E37D">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X</w:t>
                  </w:r>
                </w:p>
              </w:tc>
              <w:tc>
                <w:tcPr>
                  <w:tcW w:w="463" w:type="pct"/>
                  <w:tcBorders>
                    <w:tl2br w:val="nil"/>
                    <w:tr2bl w:val="nil"/>
                  </w:tcBorders>
                  <w:noWrap w:val="0"/>
                  <w:vAlign w:val="center"/>
                </w:tcPr>
                <w:p w14:paraId="102AA28B">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Y</w:t>
                  </w:r>
                </w:p>
              </w:tc>
              <w:tc>
                <w:tcPr>
                  <w:tcW w:w="465" w:type="pct"/>
                  <w:tcBorders>
                    <w:tl2br w:val="nil"/>
                    <w:tr2bl w:val="nil"/>
                  </w:tcBorders>
                  <w:noWrap w:val="0"/>
                  <w:vAlign w:val="center"/>
                </w:tcPr>
                <w:p w14:paraId="7C0CFDAE">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Z</w:t>
                  </w:r>
                </w:p>
              </w:tc>
              <w:tc>
                <w:tcPr>
                  <w:tcW w:w="670" w:type="pct"/>
                  <w:vMerge w:val="continue"/>
                  <w:tcBorders>
                    <w:tl2br w:val="nil"/>
                    <w:tr2bl w:val="nil"/>
                  </w:tcBorders>
                  <w:noWrap w:val="0"/>
                  <w:vAlign w:val="center"/>
                </w:tcPr>
                <w:p w14:paraId="5F653508">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c>
                <w:tcPr>
                  <w:tcW w:w="538" w:type="pct"/>
                  <w:vMerge w:val="continue"/>
                  <w:tcBorders>
                    <w:tl2br w:val="nil"/>
                    <w:tr2bl w:val="nil"/>
                  </w:tcBorders>
                  <w:noWrap w:val="0"/>
                  <w:vAlign w:val="center"/>
                </w:tcPr>
                <w:p w14:paraId="49088F2F">
                  <w:pPr>
                    <w:keepNext w:val="0"/>
                    <w:keepLines w:val="0"/>
                    <w:pageBreakBefore w:val="0"/>
                    <w:suppressLineNumbers w:val="0"/>
                    <w:kinsoku/>
                    <w:wordWrap/>
                    <w:topLinePunct w:val="0"/>
                    <w:bidi w:val="0"/>
                    <w:adjustRightInd w:val="0"/>
                    <w:snapToGrid w:val="0"/>
                    <w:spacing w:before="0" w:beforeAutospacing="0" w:after="0" w:afterAutospacing="0"/>
                    <w:ind w:left="0" w:right="0"/>
                    <w:rPr>
                      <w:rFonts w:hint="default" w:ascii="Times New Roman" w:hAnsi="Times New Roman" w:eastAsia="Times New Roman" w:cs="Times New Roman"/>
                      <w:b/>
                      <w:bCs/>
                      <w:color w:val="auto"/>
                      <w:sz w:val="20"/>
                      <w:szCs w:val="20"/>
                    </w:rPr>
                  </w:pPr>
                </w:p>
              </w:tc>
            </w:tr>
            <w:tr w14:paraId="4F7A1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42" w:type="pct"/>
                  <w:tcBorders>
                    <w:tl2br w:val="nil"/>
                    <w:tr2bl w:val="nil"/>
                  </w:tcBorders>
                  <w:noWrap w:val="0"/>
                  <w:vAlign w:val="center"/>
                </w:tcPr>
                <w:p w14:paraId="54205C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w:t>
                  </w:r>
                </w:p>
              </w:tc>
              <w:tc>
                <w:tcPr>
                  <w:tcW w:w="657" w:type="pct"/>
                  <w:tcBorders>
                    <w:tl2br w:val="nil"/>
                    <w:tr2bl w:val="nil"/>
                  </w:tcBorders>
                  <w:noWrap w:val="0"/>
                  <w:vAlign w:val="center"/>
                </w:tcPr>
                <w:p w14:paraId="45722C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风机</w:t>
                  </w:r>
                </w:p>
              </w:tc>
              <w:tc>
                <w:tcPr>
                  <w:tcW w:w="596" w:type="pct"/>
                  <w:tcBorders>
                    <w:tl2br w:val="nil"/>
                    <w:tr2bl w:val="nil"/>
                  </w:tcBorders>
                  <w:noWrap w:val="0"/>
                  <w:vAlign w:val="center"/>
                </w:tcPr>
                <w:p w14:paraId="2D25D0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点源</w:t>
                  </w:r>
                </w:p>
              </w:tc>
              <w:tc>
                <w:tcPr>
                  <w:tcW w:w="767" w:type="pct"/>
                  <w:tcBorders>
                    <w:tl2br w:val="nil"/>
                    <w:tr2bl w:val="nil"/>
                  </w:tcBorders>
                  <w:noWrap w:val="0"/>
                  <w:vAlign w:val="center"/>
                </w:tcPr>
                <w:p w14:paraId="6AF0BA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85</w:t>
                  </w:r>
                </w:p>
              </w:tc>
              <w:tc>
                <w:tcPr>
                  <w:tcW w:w="499" w:type="pct"/>
                  <w:tcBorders>
                    <w:tl2br w:val="nil"/>
                    <w:tr2bl w:val="nil"/>
                  </w:tcBorders>
                  <w:noWrap w:val="0"/>
                  <w:vAlign w:val="center"/>
                </w:tcPr>
                <w:p w14:paraId="5AC7B1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-12</w:t>
                  </w:r>
                </w:p>
              </w:tc>
              <w:tc>
                <w:tcPr>
                  <w:tcW w:w="463" w:type="pct"/>
                  <w:tcBorders>
                    <w:tl2br w:val="nil"/>
                    <w:tr2bl w:val="nil"/>
                  </w:tcBorders>
                  <w:noWrap w:val="0"/>
                  <w:vAlign w:val="center"/>
                </w:tcPr>
                <w:p w14:paraId="4C1F93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1</w:t>
                  </w:r>
                </w:p>
              </w:tc>
              <w:tc>
                <w:tcPr>
                  <w:tcW w:w="465" w:type="pct"/>
                  <w:tcBorders>
                    <w:tl2br w:val="nil"/>
                    <w:tr2bl w:val="nil"/>
                  </w:tcBorders>
                  <w:noWrap w:val="0"/>
                  <w:vAlign w:val="center"/>
                </w:tcPr>
                <w:p w14:paraId="620EC8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cs="Times New Roman"/>
                      <w:i w:val="0"/>
                      <w:iCs w:val="0"/>
                      <w:color w:val="auto"/>
                      <w:kern w:val="0"/>
                      <w:sz w:val="21"/>
                      <w:szCs w:val="21"/>
                      <w:u w:val="none"/>
                      <w:lang w:val="en-US" w:eastAsia="zh-CN" w:bidi="ar"/>
                    </w:rPr>
                    <w:t>1.2</w:t>
                  </w:r>
                </w:p>
              </w:tc>
              <w:tc>
                <w:tcPr>
                  <w:tcW w:w="670" w:type="pct"/>
                  <w:tcBorders>
                    <w:tl2br w:val="nil"/>
                    <w:tr2bl w:val="nil"/>
                  </w:tcBorders>
                  <w:noWrap w:val="0"/>
                  <w:vAlign w:val="center"/>
                </w:tcPr>
                <w:p w14:paraId="2E854FA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基础减震</w:t>
                  </w:r>
                </w:p>
              </w:tc>
              <w:tc>
                <w:tcPr>
                  <w:tcW w:w="538" w:type="pct"/>
                  <w:tcBorders>
                    <w:tl2br w:val="nil"/>
                    <w:tr2bl w:val="nil"/>
                  </w:tcBorders>
                  <w:noWrap w:val="0"/>
                  <w:vAlign w:val="center"/>
                </w:tcPr>
                <w:p w14:paraId="056A8D7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Times New Roman" w:cs="Times New Roman"/>
                      <w:color w:val="auto"/>
                      <w:sz w:val="21"/>
                      <w:szCs w:val="21"/>
                      <w:lang w:eastAsia="zh-CN"/>
                    </w:rPr>
                    <w:t>变化声源</w:t>
                  </w:r>
                </w:p>
              </w:tc>
            </w:tr>
          </w:tbl>
          <w:p w14:paraId="18F96937">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宋体" w:cs="Times New Roman"/>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3.2预测模式</w:t>
            </w:r>
          </w:p>
          <w:p w14:paraId="6934A715">
            <w:pPr>
              <w:pStyle w:val="91"/>
              <w:keepNext w:val="0"/>
              <w:keepLines w:val="0"/>
              <w:widowControl/>
              <w:suppressLineNumbers w:val="0"/>
              <w:spacing w:before="120" w:beforeLines="50" w:beforeAutospacing="0" w:after="0" w:afterAutospacing="0"/>
              <w:ind w:left="0" w:right="0" w:firstLine="482"/>
              <w:rPr>
                <w:rFonts w:hint="default"/>
                <w:b/>
                <w:bCs/>
                <w:color w:val="auto"/>
                <w:sz w:val="24"/>
                <w:szCs w:val="24"/>
              </w:rPr>
            </w:pPr>
            <w:r>
              <w:rPr>
                <w:rFonts w:hint="default"/>
                <w:b/>
                <w:bCs/>
                <w:color w:val="auto"/>
                <w:sz w:val="24"/>
                <w:szCs w:val="24"/>
              </w:rPr>
              <w:t>3.3预测方法</w:t>
            </w:r>
          </w:p>
          <w:p w14:paraId="76D034F7">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（1）室内声源等效为室外声源</w:t>
            </w:r>
          </w:p>
          <w:p w14:paraId="5052B287">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采用等效室外声源声功率级法进行计算，设靠近开口处（或窗户）室内、室外某倍频带的声压级或A声级分</w:t>
            </w:r>
            <w:r>
              <w:rPr>
                <w:rFonts w:hint="eastAsia"/>
                <w:color w:val="auto"/>
                <w:sz w:val="24"/>
                <w:szCs w:val="24"/>
                <w:lang w:eastAsia="zh-CN"/>
              </w:rPr>
              <w:t>别</w:t>
            </w:r>
            <w:r>
              <w:rPr>
                <w:rFonts w:hint="default"/>
                <w:color w:val="auto"/>
                <w:sz w:val="24"/>
                <w:szCs w:val="24"/>
              </w:rPr>
              <w:t>为L</w:t>
            </w:r>
            <w:r>
              <w:rPr>
                <w:rFonts w:hint="default"/>
                <w:color w:val="auto"/>
                <w:sz w:val="24"/>
                <w:szCs w:val="24"/>
                <w:vertAlign w:val="subscript"/>
              </w:rPr>
              <w:t>p1</w:t>
            </w:r>
            <w:r>
              <w:rPr>
                <w:rFonts w:hint="default"/>
                <w:color w:val="auto"/>
                <w:sz w:val="24"/>
                <w:szCs w:val="24"/>
              </w:rPr>
              <w:t>和L</w:t>
            </w:r>
            <w:r>
              <w:rPr>
                <w:rFonts w:hint="default"/>
                <w:color w:val="auto"/>
                <w:sz w:val="24"/>
                <w:szCs w:val="24"/>
                <w:vertAlign w:val="subscript"/>
              </w:rPr>
              <w:t>p2</w:t>
            </w:r>
            <w:r>
              <w:rPr>
                <w:rFonts w:hint="default"/>
                <w:color w:val="auto"/>
                <w:sz w:val="24"/>
                <w:szCs w:val="24"/>
              </w:rPr>
              <w:t>。若声源所在室内声场为近似扩散声场，则室外的倍频带声压级可按下式近似求出：</w:t>
            </w:r>
          </w:p>
          <w:p w14:paraId="1996F657">
            <w:pPr>
              <w:keepNext w:val="0"/>
              <w:keepLines w:val="0"/>
              <w:suppressLineNumbers w:val="0"/>
              <w:autoSpaceDE w:val="0"/>
              <w:autoSpaceDN w:val="0"/>
              <w:spacing w:before="0" w:beforeAutospacing="0" w:after="0" w:afterAutospacing="0" w:line="360" w:lineRule="auto"/>
              <w:ind w:left="0" w:right="0"/>
              <w:jc w:val="center"/>
              <w:rPr>
                <w:rFonts w:hint="default"/>
                <w:color w:val="auto"/>
                <w:sz w:val="24"/>
                <w:szCs w:val="24"/>
              </w:rPr>
            </w:pPr>
            <w:r>
              <w:rPr>
                <w:rFonts w:hint="eastAsia"/>
                <w:color w:val="auto"/>
                <w:sz w:val="24"/>
                <w:szCs w:val="24"/>
              </w:rPr>
              <w:t>L</w:t>
            </w:r>
            <w:r>
              <w:rPr>
                <w:rFonts w:hint="eastAsia"/>
                <w:color w:val="auto"/>
                <w:sz w:val="24"/>
                <w:szCs w:val="24"/>
                <w:vertAlign w:val="subscript"/>
              </w:rPr>
              <w:t>p1</w:t>
            </w:r>
            <w:r>
              <w:rPr>
                <w:rFonts w:hint="eastAsia"/>
                <w:color w:val="auto"/>
                <w:sz w:val="24"/>
                <w:szCs w:val="24"/>
              </w:rPr>
              <w:t>=L</w:t>
            </w:r>
            <w:r>
              <w:rPr>
                <w:rFonts w:hint="eastAsia"/>
                <w:color w:val="auto"/>
                <w:sz w:val="24"/>
                <w:szCs w:val="24"/>
                <w:vertAlign w:val="subscript"/>
              </w:rPr>
              <w:t>p1</w:t>
            </w:r>
            <w:r>
              <w:rPr>
                <w:rFonts w:hint="eastAsia"/>
                <w:color w:val="auto"/>
                <w:sz w:val="24"/>
                <w:szCs w:val="24"/>
              </w:rPr>
              <w:t>-（TL+6）</w:t>
            </w:r>
          </w:p>
          <w:p w14:paraId="760F2A4B">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式中：L</w:t>
            </w:r>
            <w:r>
              <w:rPr>
                <w:rFonts w:hint="default"/>
                <w:color w:val="auto"/>
                <w:sz w:val="24"/>
                <w:szCs w:val="24"/>
                <w:vertAlign w:val="subscript"/>
              </w:rPr>
              <w:t>p1</w:t>
            </w:r>
            <w:r>
              <w:rPr>
                <w:rFonts w:hint="default"/>
                <w:color w:val="auto"/>
                <w:sz w:val="24"/>
                <w:szCs w:val="24"/>
              </w:rPr>
              <w:t>——靠近开口处（或窗户）室内某倍频带的声压级或A声级，dB；</w:t>
            </w:r>
          </w:p>
          <w:p w14:paraId="27AA2B85">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L</w:t>
            </w:r>
            <w:r>
              <w:rPr>
                <w:rFonts w:hint="default"/>
                <w:color w:val="auto"/>
                <w:sz w:val="24"/>
                <w:szCs w:val="24"/>
                <w:vertAlign w:val="subscript"/>
              </w:rPr>
              <w:t>p2</w:t>
            </w:r>
            <w:r>
              <w:rPr>
                <w:rFonts w:hint="default"/>
                <w:color w:val="auto"/>
                <w:sz w:val="24"/>
                <w:szCs w:val="24"/>
              </w:rPr>
              <w:t>——靠近开口处（或窗户）室外某倍频带的声压级或A声级，dB；</w:t>
            </w:r>
          </w:p>
          <w:p w14:paraId="30D3A0AB">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TL——隔墙（或窗户）倍频带或A声级的隔音量，dB。</w:t>
            </w:r>
          </w:p>
          <w:p w14:paraId="74145D96">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如下图所示：</w:t>
            </w:r>
          </w:p>
          <w:p w14:paraId="11A179BD">
            <w:pPr>
              <w:keepNext w:val="0"/>
              <w:keepLines w:val="0"/>
              <w:suppressLineNumbers w:val="0"/>
              <w:autoSpaceDE w:val="0"/>
              <w:autoSpaceDN w:val="0"/>
              <w:spacing w:before="0" w:beforeAutospacing="0" w:after="0" w:afterAutospacing="0" w:line="360" w:lineRule="auto"/>
              <w:ind w:left="0" w:right="0"/>
              <w:jc w:val="center"/>
              <w:rPr>
                <w:rFonts w:hint="default"/>
                <w:color w:val="auto"/>
                <w:sz w:val="24"/>
                <w:szCs w:val="24"/>
              </w:rPr>
            </w:pPr>
            <w:r>
              <w:rPr>
                <w:rFonts w:hint="default"/>
                <w:color w:val="auto"/>
              </w:rPr>
              <w:drawing>
                <wp:inline distT="0" distB="0" distL="114300" distR="114300">
                  <wp:extent cx="2519045" cy="1231265"/>
                  <wp:effectExtent l="0" t="0" r="1460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2519045" cy="1231265"/>
                          </a:xfrm>
                          <a:prstGeom prst="rect">
                            <a:avLst/>
                          </a:prstGeom>
                          <a:noFill/>
                          <a:ln>
                            <a:noFill/>
                          </a:ln>
                        </pic:spPr>
                      </pic:pic>
                    </a:graphicData>
                  </a:graphic>
                </wp:inline>
              </w:drawing>
            </w:r>
          </w:p>
          <w:p w14:paraId="0F35E966">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对于多个室内噪声源采用下列公式叠加</w:t>
            </w:r>
          </w:p>
          <w:p w14:paraId="305BC658">
            <w:pPr>
              <w:keepNext w:val="0"/>
              <w:keepLines w:val="0"/>
              <w:suppressLineNumbers w:val="0"/>
              <w:autoSpaceDE w:val="0"/>
              <w:autoSpaceDN w:val="0"/>
              <w:spacing w:before="0" w:beforeAutospacing="0" w:after="0" w:afterAutospacing="0" w:line="360" w:lineRule="auto"/>
              <w:ind w:left="0" w:right="0"/>
              <w:jc w:val="center"/>
              <w:rPr>
                <w:rFonts w:hint="default"/>
                <w:color w:val="auto"/>
                <w:sz w:val="24"/>
                <w:szCs w:val="24"/>
              </w:rPr>
            </w:pPr>
            <w:r>
              <w:rPr>
                <w:rFonts w:hint="default"/>
                <w:color w:val="auto"/>
              </w:rPr>
              <w:drawing>
                <wp:inline distT="0" distB="0" distL="114300" distR="114300">
                  <wp:extent cx="1694180" cy="483235"/>
                  <wp:effectExtent l="0" t="0" r="127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1694180" cy="483235"/>
                          </a:xfrm>
                          <a:prstGeom prst="rect">
                            <a:avLst/>
                          </a:prstGeom>
                          <a:noFill/>
                          <a:ln>
                            <a:noFill/>
                          </a:ln>
                        </pic:spPr>
                      </pic:pic>
                    </a:graphicData>
                  </a:graphic>
                </wp:inline>
              </w:drawing>
            </w:r>
          </w:p>
          <w:p w14:paraId="5A6459EF">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L</w:t>
            </w:r>
            <w:r>
              <w:rPr>
                <w:rFonts w:hint="default"/>
                <w:color w:val="auto"/>
                <w:sz w:val="24"/>
                <w:szCs w:val="24"/>
                <w:vertAlign w:val="subscript"/>
              </w:rPr>
              <w:t>p1i</w:t>
            </w:r>
            <w:r>
              <w:rPr>
                <w:rFonts w:hint="default"/>
                <w:color w:val="auto"/>
                <w:sz w:val="24"/>
                <w:szCs w:val="24"/>
              </w:rPr>
              <w:t>（T）——靠近围护结构处室内N个声源i倍频带的叠加声压级，dB；</w:t>
            </w:r>
          </w:p>
          <w:p w14:paraId="1134799D">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L</w:t>
            </w:r>
            <w:r>
              <w:rPr>
                <w:rFonts w:hint="default"/>
                <w:color w:val="auto"/>
                <w:sz w:val="24"/>
                <w:szCs w:val="24"/>
                <w:vertAlign w:val="subscript"/>
              </w:rPr>
              <w:t>p1ij</w:t>
            </w:r>
            <w:r>
              <w:rPr>
                <w:rFonts w:hint="default"/>
                <w:color w:val="auto"/>
                <w:sz w:val="24"/>
                <w:szCs w:val="24"/>
              </w:rPr>
              <w:t>——室内j声源i倍频带的声压级，dB；</w:t>
            </w:r>
          </w:p>
          <w:p w14:paraId="27F58BD8">
            <w:pPr>
              <w:keepNext w:val="0"/>
              <w:keepLines w:val="0"/>
              <w:suppressLineNumbers w:val="0"/>
              <w:autoSpaceDE w:val="0"/>
              <w:autoSpaceDN w:val="0"/>
              <w:spacing w:before="0" w:beforeAutospacing="0" w:after="0" w:afterAutospacing="0" w:line="360" w:lineRule="auto"/>
              <w:ind w:left="0" w:right="0" w:firstLine="482"/>
              <w:rPr>
                <w:rFonts w:hint="default"/>
                <w:color w:val="auto"/>
                <w:sz w:val="24"/>
                <w:szCs w:val="24"/>
              </w:rPr>
            </w:pPr>
            <w:r>
              <w:rPr>
                <w:rFonts w:hint="default"/>
                <w:color w:val="auto"/>
                <w:sz w:val="24"/>
                <w:szCs w:val="24"/>
              </w:rPr>
              <w:t>N——室内声源总数。</w:t>
            </w:r>
          </w:p>
          <w:p w14:paraId="4487A5B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color w:val="auto"/>
                <w:kern w:val="2"/>
                <w:sz w:val="24"/>
                <w:szCs w:val="24"/>
              </w:rPr>
            </w:pPr>
            <w:r>
              <w:rPr>
                <w:rFonts w:hint="default"/>
                <w:b w:val="0"/>
                <w:bCs w:val="0"/>
                <w:color w:val="auto"/>
                <w:sz w:val="24"/>
                <w:szCs w:val="24"/>
              </w:rPr>
              <w:t>（2）</w:t>
            </w:r>
            <w:r>
              <w:rPr>
                <w:rFonts w:hint="default" w:ascii="Times New Roman" w:hAnsi="Times New Roman" w:eastAsia="宋体" w:cs="Times New Roman"/>
                <w:b w:val="0"/>
                <w:bCs w:val="0"/>
                <w:color w:val="auto"/>
                <w:kern w:val="2"/>
                <w:sz w:val="24"/>
                <w:szCs w:val="24"/>
                <w:lang w:val="en-US" w:eastAsia="zh-CN" w:bidi="ar"/>
              </w:rPr>
              <w:t>室外点声源传播</w:t>
            </w:r>
          </w:p>
          <w:p w14:paraId="71445B5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对于本项目，户外声传播衰减主要考虑几何发散（A</w:t>
            </w:r>
            <w:r>
              <w:rPr>
                <w:rFonts w:hint="default" w:ascii="Times New Roman" w:hAnsi="Times New Roman" w:eastAsia="宋体" w:cs="Times New Roman"/>
                <w:color w:val="auto"/>
                <w:kern w:val="2"/>
                <w:sz w:val="24"/>
                <w:szCs w:val="24"/>
                <w:vertAlign w:val="subscript"/>
                <w:lang w:val="en-US" w:eastAsia="zh-CN" w:bidi="ar"/>
              </w:rPr>
              <w:t>div</w:t>
            </w:r>
            <w:r>
              <w:rPr>
                <w:rFonts w:hint="default" w:ascii="Times New Roman" w:hAnsi="Times New Roman" w:eastAsia="宋体" w:cs="Times New Roman"/>
                <w:color w:val="auto"/>
                <w:kern w:val="2"/>
                <w:sz w:val="24"/>
                <w:szCs w:val="24"/>
                <w:lang w:val="en-US" w:eastAsia="zh-CN" w:bidi="ar"/>
              </w:rPr>
              <w:t>）、大气吸收（A</w:t>
            </w:r>
            <w:r>
              <w:rPr>
                <w:rFonts w:hint="default" w:ascii="Times New Roman" w:hAnsi="Times New Roman" w:eastAsia="宋体" w:cs="Times New Roman"/>
                <w:color w:val="auto"/>
                <w:kern w:val="2"/>
                <w:sz w:val="24"/>
                <w:szCs w:val="24"/>
                <w:vertAlign w:val="subscript"/>
                <w:lang w:val="en-US" w:eastAsia="zh-CN" w:bidi="ar"/>
              </w:rPr>
              <w:t>atm</w:t>
            </w:r>
            <w:r>
              <w:rPr>
                <w:rFonts w:hint="default" w:ascii="Times New Roman" w:hAnsi="Times New Roman" w:eastAsia="宋体" w:cs="Times New Roman"/>
                <w:color w:val="auto"/>
                <w:kern w:val="2"/>
                <w:sz w:val="24"/>
                <w:szCs w:val="24"/>
                <w:lang w:val="en-US" w:eastAsia="zh-CN" w:bidi="ar"/>
              </w:rPr>
              <w:t>）和围墙障碍物屏蔽（A</w:t>
            </w:r>
            <w:r>
              <w:rPr>
                <w:rFonts w:hint="default" w:ascii="Times New Roman" w:hAnsi="Times New Roman" w:eastAsia="宋体" w:cs="Times New Roman"/>
                <w:color w:val="auto"/>
                <w:kern w:val="2"/>
                <w:sz w:val="24"/>
                <w:szCs w:val="24"/>
                <w:vertAlign w:val="subscript"/>
                <w:lang w:val="en-US" w:eastAsia="zh-CN" w:bidi="ar"/>
              </w:rPr>
              <w:t>bar</w:t>
            </w:r>
            <w:r>
              <w:rPr>
                <w:rFonts w:hint="default" w:ascii="Times New Roman" w:hAnsi="Times New Roman" w:eastAsia="宋体" w:cs="Times New Roman"/>
                <w:color w:val="auto"/>
                <w:kern w:val="2"/>
                <w:sz w:val="24"/>
                <w:szCs w:val="24"/>
                <w:lang w:val="en-US" w:eastAsia="zh-CN" w:bidi="ar"/>
              </w:rPr>
              <w:t>）引起的衰减。即Lp</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r</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w</w:t>
            </w: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vertAlign w:val="subscript"/>
                <w:lang w:val="en-US" w:eastAsia="zh-CN" w:bidi="ar"/>
              </w:rPr>
              <w:t>div</w:t>
            </w: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vertAlign w:val="subscript"/>
                <w:lang w:val="en-US" w:eastAsia="zh-CN" w:bidi="ar"/>
              </w:rPr>
              <w:t>atm</w:t>
            </w:r>
            <w:r>
              <w:rPr>
                <w:rFonts w:hint="default" w:ascii="Times New Roman" w:hAnsi="Times New Roman" w:eastAsia="宋体" w:cs="Times New Roman"/>
                <w:color w:val="auto"/>
                <w:kern w:val="2"/>
                <w:sz w:val="24"/>
                <w:szCs w:val="24"/>
                <w:lang w:val="en-US" w:eastAsia="zh-CN" w:bidi="ar"/>
              </w:rPr>
              <w:t>-A</w:t>
            </w:r>
            <w:r>
              <w:rPr>
                <w:rFonts w:hint="default" w:ascii="Times New Roman" w:hAnsi="Times New Roman" w:eastAsia="宋体" w:cs="Times New Roman"/>
                <w:color w:val="auto"/>
                <w:kern w:val="2"/>
                <w:sz w:val="24"/>
                <w:szCs w:val="24"/>
                <w:vertAlign w:val="subscript"/>
                <w:lang w:val="en-US" w:eastAsia="zh-CN" w:bidi="ar"/>
              </w:rPr>
              <w:t>bar</w:t>
            </w:r>
            <w:r>
              <w:rPr>
                <w:rFonts w:hint="default" w:ascii="Times New Roman" w:hAnsi="Times New Roman" w:eastAsia="宋体" w:cs="Times New Roman"/>
                <w:color w:val="auto"/>
                <w:kern w:val="2"/>
                <w:sz w:val="24"/>
                <w:szCs w:val="24"/>
                <w:lang w:val="en-US" w:eastAsia="zh-CN" w:bidi="ar"/>
              </w:rPr>
              <w:t>。</w:t>
            </w:r>
          </w:p>
          <w:p w14:paraId="74A35A8C">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①几何发散衰减A</w:t>
            </w:r>
            <w:r>
              <w:rPr>
                <w:rFonts w:hint="default" w:ascii="Times New Roman" w:hAnsi="Times New Roman" w:eastAsia="宋体" w:cs="Times New Roman"/>
                <w:color w:val="auto"/>
                <w:kern w:val="2"/>
                <w:sz w:val="24"/>
                <w:szCs w:val="24"/>
                <w:vertAlign w:val="subscript"/>
                <w:lang w:val="en-US" w:eastAsia="zh-CN" w:bidi="ar"/>
              </w:rPr>
              <w:t>div</w:t>
            </w:r>
            <w:r>
              <w:rPr>
                <w:rFonts w:hint="default" w:ascii="Times New Roman" w:hAnsi="Times New Roman" w:eastAsia="宋体" w:cs="Times New Roman"/>
                <w:color w:val="auto"/>
                <w:kern w:val="2"/>
                <w:sz w:val="24"/>
                <w:szCs w:val="24"/>
                <w:lang w:val="en-US" w:eastAsia="zh-CN" w:bidi="ar"/>
              </w:rPr>
              <w:t>利用半自由声场点源衰减公式：</w:t>
            </w:r>
          </w:p>
          <w:p w14:paraId="720390D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A</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vertAlign w:val="subscript"/>
                <w:lang w:val="en-US" w:eastAsia="zh-CN" w:bidi="ar"/>
              </w:rPr>
              <w:t>r</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Aw</w:t>
            </w:r>
            <w:r>
              <w:rPr>
                <w:rFonts w:hint="default" w:ascii="Times New Roman" w:hAnsi="Times New Roman" w:eastAsia="宋体" w:cs="Times New Roman"/>
                <w:color w:val="auto"/>
                <w:kern w:val="2"/>
                <w:sz w:val="24"/>
                <w:szCs w:val="24"/>
                <w:lang w:val="en-US" w:eastAsia="zh-CN" w:bidi="ar"/>
              </w:rPr>
              <w:t>-20lgr-8；</w:t>
            </w:r>
          </w:p>
          <w:p w14:paraId="7BA8993C">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式中：L</w:t>
            </w:r>
            <w:r>
              <w:rPr>
                <w:rFonts w:hint="default" w:ascii="Times New Roman" w:hAnsi="Times New Roman" w:eastAsia="宋体" w:cs="Times New Roman"/>
                <w:color w:val="auto"/>
                <w:kern w:val="2"/>
                <w:sz w:val="24"/>
                <w:szCs w:val="24"/>
                <w:vertAlign w:val="subscript"/>
                <w:lang w:val="en-US" w:eastAsia="zh-CN" w:bidi="ar"/>
              </w:rPr>
              <w:t>A</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vertAlign w:val="subscript"/>
                <w:lang w:val="en-US" w:eastAsia="zh-CN" w:bidi="ar"/>
              </w:rPr>
              <w:t>r</w:t>
            </w:r>
            <w:r>
              <w:rPr>
                <w:rFonts w:hint="eastAsia" w:ascii="Times New Roman" w:hAnsi="Times New Roman" w:eastAsia="宋体" w:cs="Times New Roman"/>
                <w:color w:val="auto"/>
                <w:kern w:val="2"/>
                <w:sz w:val="24"/>
                <w:szCs w:val="24"/>
                <w:vertAlign w:val="subscript"/>
                <w:lang w:val="en-US" w:eastAsia="zh-CN" w:bidi="ar"/>
              </w:rPr>
              <w:t>）</w:t>
            </w:r>
            <w:r>
              <w:rPr>
                <w:rFonts w:hint="default" w:ascii="Times New Roman" w:hAnsi="Times New Roman" w:eastAsia="宋体" w:cs="Times New Roman"/>
                <w:color w:val="auto"/>
                <w:kern w:val="2"/>
                <w:sz w:val="24"/>
                <w:szCs w:val="24"/>
                <w:lang w:val="en-US" w:eastAsia="zh-CN" w:bidi="ar"/>
              </w:rPr>
              <w:t>——距声源r处的A声级，dB</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A</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w:t>
            </w:r>
          </w:p>
          <w:p w14:paraId="0E8006E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L</w:t>
            </w:r>
            <w:r>
              <w:rPr>
                <w:rFonts w:hint="default" w:ascii="Times New Roman" w:hAnsi="Times New Roman" w:eastAsia="宋体" w:cs="Times New Roman"/>
                <w:color w:val="auto"/>
                <w:kern w:val="2"/>
                <w:sz w:val="24"/>
                <w:szCs w:val="24"/>
                <w:vertAlign w:val="subscript"/>
                <w:lang w:val="en-US" w:eastAsia="zh-CN" w:bidi="ar"/>
              </w:rPr>
              <w:t>Aw</w:t>
            </w:r>
            <w:r>
              <w:rPr>
                <w:rFonts w:hint="default" w:ascii="Times New Roman" w:hAnsi="Times New Roman" w:eastAsia="宋体" w:cs="Times New Roman"/>
                <w:color w:val="auto"/>
                <w:kern w:val="2"/>
                <w:sz w:val="24"/>
                <w:szCs w:val="24"/>
                <w:lang w:val="en-US" w:eastAsia="zh-CN" w:bidi="ar"/>
              </w:rPr>
              <w:t>——点声源A计权声功率级，dB；</w:t>
            </w:r>
          </w:p>
          <w:p w14:paraId="7437614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r——预测点距声源的距离。</w:t>
            </w:r>
          </w:p>
          <w:p w14:paraId="28C93C9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②空气吸收引起的衰减A</w:t>
            </w:r>
            <w:r>
              <w:rPr>
                <w:rFonts w:hint="default" w:ascii="Times New Roman" w:hAnsi="Times New Roman" w:eastAsia="宋体" w:cs="Times New Roman"/>
                <w:color w:val="auto"/>
                <w:kern w:val="2"/>
                <w:sz w:val="24"/>
                <w:szCs w:val="24"/>
                <w:vertAlign w:val="subscript"/>
                <w:lang w:val="en-US" w:eastAsia="zh-CN" w:bidi="ar"/>
              </w:rPr>
              <w:t>atm</w:t>
            </w:r>
            <w:r>
              <w:rPr>
                <w:rFonts w:hint="default" w:ascii="Times New Roman" w:hAnsi="Times New Roman" w:eastAsia="宋体" w:cs="Times New Roman"/>
                <w:color w:val="auto"/>
                <w:kern w:val="2"/>
                <w:sz w:val="24"/>
                <w:szCs w:val="24"/>
                <w:lang w:val="en-US" w:eastAsia="zh-CN" w:bidi="ar"/>
              </w:rPr>
              <w:t>=a</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r-r</w:t>
            </w:r>
            <w:r>
              <w:rPr>
                <w:rFonts w:hint="default" w:ascii="Times New Roman" w:hAnsi="Times New Roman" w:eastAsia="宋体" w:cs="Times New Roman"/>
                <w:color w:val="auto"/>
                <w:kern w:val="2"/>
                <w:sz w:val="24"/>
                <w:szCs w:val="24"/>
                <w:vertAlign w:val="subscript"/>
                <w:lang w:val="en-US" w:eastAsia="zh-CN" w:bidi="ar"/>
              </w:rPr>
              <w:t>0</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/1000，式中：a为温度、湿度和声波频率的函数，预测计算中一般根据建设项目所处区域常年平均气温和湿度选择相应的空气吸收系数，见下表。</w:t>
            </w:r>
          </w:p>
          <w:p w14:paraId="3BD50FC9">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b/>
                <w:bCs/>
                <w:color w:val="auto"/>
                <w:kern w:val="2"/>
                <w:sz w:val="24"/>
                <w:szCs w:val="24"/>
                <w:lang w:val="en-US" w:eastAsia="zh-CN" w:bidi="ar"/>
              </w:rPr>
              <w:t>倍频带噪声的大气吸收衰减系数</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182"/>
              <w:gridCol w:w="1125"/>
              <w:gridCol w:w="1085"/>
              <w:gridCol w:w="1184"/>
              <w:gridCol w:w="1085"/>
              <w:gridCol w:w="1085"/>
              <w:gridCol w:w="999"/>
            </w:tblGrid>
            <w:tr w14:paraId="212442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vMerge w:val="restart"/>
                  <w:noWrap w:val="0"/>
                  <w:vAlign w:val="center"/>
                </w:tcPr>
                <w:p w14:paraId="32E239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温度</w:t>
                  </w:r>
                </w:p>
                <w:p w14:paraId="3BFF885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w:t>
                  </w:r>
                </w:p>
              </w:tc>
              <w:tc>
                <w:tcPr>
                  <w:tcW w:w="1094" w:type="dxa"/>
                  <w:vMerge w:val="restart"/>
                  <w:noWrap w:val="0"/>
                  <w:vAlign w:val="center"/>
                </w:tcPr>
                <w:p w14:paraId="2CAC44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相对湿度</w:t>
                  </w:r>
                </w:p>
                <w:p w14:paraId="730C474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w:t>
                  </w:r>
                </w:p>
              </w:tc>
              <w:tc>
                <w:tcPr>
                  <w:tcW w:w="6073" w:type="dxa"/>
                  <w:gridSpan w:val="6"/>
                  <w:noWrap w:val="0"/>
                  <w:vAlign w:val="center"/>
                </w:tcPr>
                <w:p w14:paraId="2C30F69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大气吸收衰减系数a，dB/km，倍频带中心频率Hz</w:t>
                  </w:r>
                </w:p>
              </w:tc>
            </w:tr>
            <w:tr w14:paraId="1CB7BA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vMerge w:val="continue"/>
                  <w:noWrap w:val="0"/>
                  <w:vAlign w:val="center"/>
                </w:tcPr>
                <w:p w14:paraId="26C899A5">
                  <w:pPr>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1094" w:type="dxa"/>
                  <w:vMerge w:val="continue"/>
                  <w:noWrap w:val="0"/>
                  <w:vAlign w:val="center"/>
                </w:tcPr>
                <w:p w14:paraId="2CFAC216">
                  <w:pPr>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1041" w:type="dxa"/>
                  <w:noWrap w:val="0"/>
                  <w:vAlign w:val="center"/>
                </w:tcPr>
                <w:p w14:paraId="1F4DCD5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63</w:t>
                  </w:r>
                </w:p>
              </w:tc>
              <w:tc>
                <w:tcPr>
                  <w:tcW w:w="1004" w:type="dxa"/>
                  <w:noWrap w:val="0"/>
                  <w:vAlign w:val="center"/>
                </w:tcPr>
                <w:p w14:paraId="49E6C2A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125</w:t>
                  </w:r>
                </w:p>
              </w:tc>
              <w:tc>
                <w:tcPr>
                  <w:tcW w:w="1096" w:type="dxa"/>
                  <w:noWrap w:val="0"/>
                  <w:vAlign w:val="center"/>
                </w:tcPr>
                <w:p w14:paraId="0159B7A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250</w:t>
                  </w:r>
                </w:p>
              </w:tc>
              <w:tc>
                <w:tcPr>
                  <w:tcW w:w="1004" w:type="dxa"/>
                  <w:noWrap w:val="0"/>
                  <w:vAlign w:val="center"/>
                </w:tcPr>
                <w:p w14:paraId="333CD9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500</w:t>
                  </w:r>
                </w:p>
              </w:tc>
              <w:tc>
                <w:tcPr>
                  <w:tcW w:w="1004" w:type="dxa"/>
                  <w:noWrap w:val="0"/>
                  <w:vAlign w:val="center"/>
                </w:tcPr>
                <w:p w14:paraId="09DF441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1000</w:t>
                  </w:r>
                </w:p>
              </w:tc>
              <w:tc>
                <w:tcPr>
                  <w:tcW w:w="924" w:type="dxa"/>
                  <w:noWrap w:val="0"/>
                  <w:vAlign w:val="center"/>
                </w:tcPr>
                <w:p w14:paraId="666D84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lang w:val="en-US" w:eastAsia="zh-CN" w:bidi="ar"/>
                    </w:rPr>
                    <w:t>2000</w:t>
                  </w:r>
                </w:p>
              </w:tc>
            </w:tr>
            <w:tr w14:paraId="5E7854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2282EA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w:t>
                  </w:r>
                </w:p>
              </w:tc>
              <w:tc>
                <w:tcPr>
                  <w:tcW w:w="1094" w:type="dxa"/>
                  <w:noWrap w:val="0"/>
                  <w:vAlign w:val="center"/>
                </w:tcPr>
                <w:p w14:paraId="68F565A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041" w:type="dxa"/>
                  <w:noWrap w:val="0"/>
                  <w:vAlign w:val="center"/>
                </w:tcPr>
                <w:p w14:paraId="792A2F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302FFB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0.4</w:t>
                  </w:r>
                </w:p>
              </w:tc>
              <w:tc>
                <w:tcPr>
                  <w:tcW w:w="1096" w:type="dxa"/>
                  <w:noWrap w:val="0"/>
                  <w:vAlign w:val="center"/>
                </w:tcPr>
                <w:p w14:paraId="41778EC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w:t>
                  </w:r>
                </w:p>
              </w:tc>
              <w:tc>
                <w:tcPr>
                  <w:tcW w:w="1004" w:type="dxa"/>
                  <w:noWrap w:val="0"/>
                  <w:vAlign w:val="center"/>
                </w:tcPr>
                <w:p w14:paraId="579722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1.9</w:t>
                  </w:r>
                </w:p>
              </w:tc>
              <w:tc>
                <w:tcPr>
                  <w:tcW w:w="1004" w:type="dxa"/>
                  <w:noWrap w:val="0"/>
                  <w:vAlign w:val="center"/>
                </w:tcPr>
                <w:p w14:paraId="483CD86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3.7</w:t>
                  </w:r>
                </w:p>
              </w:tc>
              <w:tc>
                <w:tcPr>
                  <w:tcW w:w="924" w:type="dxa"/>
                  <w:noWrap w:val="0"/>
                  <w:vAlign w:val="center"/>
                </w:tcPr>
                <w:p w14:paraId="1E8DCA0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9.7</w:t>
                  </w:r>
                </w:p>
              </w:tc>
            </w:tr>
            <w:tr w14:paraId="6F1E88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622E1C6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20</w:t>
                  </w:r>
                </w:p>
              </w:tc>
              <w:tc>
                <w:tcPr>
                  <w:tcW w:w="1094" w:type="dxa"/>
                  <w:noWrap w:val="0"/>
                  <w:vAlign w:val="center"/>
                </w:tcPr>
                <w:p w14:paraId="334327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041" w:type="dxa"/>
                  <w:noWrap w:val="0"/>
                  <w:vAlign w:val="center"/>
                </w:tcPr>
                <w:p w14:paraId="0E727A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3AB04E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96" w:type="dxa"/>
                  <w:noWrap w:val="0"/>
                  <w:vAlign w:val="center"/>
                </w:tcPr>
                <w:p w14:paraId="43D742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w:t>
                  </w:r>
                </w:p>
              </w:tc>
              <w:tc>
                <w:tcPr>
                  <w:tcW w:w="1004" w:type="dxa"/>
                  <w:noWrap w:val="0"/>
                  <w:vAlign w:val="center"/>
                </w:tcPr>
                <w:p w14:paraId="3739529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2.8</w:t>
                  </w:r>
                </w:p>
              </w:tc>
              <w:tc>
                <w:tcPr>
                  <w:tcW w:w="1004" w:type="dxa"/>
                  <w:noWrap w:val="0"/>
                  <w:vAlign w:val="center"/>
                </w:tcPr>
                <w:p w14:paraId="1470AD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5.0</w:t>
                  </w:r>
                </w:p>
              </w:tc>
              <w:tc>
                <w:tcPr>
                  <w:tcW w:w="924" w:type="dxa"/>
                  <w:noWrap w:val="0"/>
                  <w:vAlign w:val="center"/>
                </w:tcPr>
                <w:p w14:paraId="06926BE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9.0</w:t>
                  </w:r>
                </w:p>
              </w:tc>
            </w:tr>
            <w:tr w14:paraId="261DD4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039D498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30</w:t>
                  </w:r>
                </w:p>
              </w:tc>
              <w:tc>
                <w:tcPr>
                  <w:tcW w:w="1094" w:type="dxa"/>
                  <w:noWrap w:val="0"/>
                  <w:vAlign w:val="center"/>
                </w:tcPr>
                <w:p w14:paraId="1B3275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70</w:t>
                  </w:r>
                </w:p>
              </w:tc>
              <w:tc>
                <w:tcPr>
                  <w:tcW w:w="1041" w:type="dxa"/>
                  <w:noWrap w:val="0"/>
                  <w:vAlign w:val="center"/>
                </w:tcPr>
                <w:p w14:paraId="36FE2F5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517F91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96" w:type="dxa"/>
                  <w:noWrap w:val="0"/>
                  <w:vAlign w:val="center"/>
                </w:tcPr>
                <w:p w14:paraId="3D3D769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w:t>
                  </w:r>
                </w:p>
              </w:tc>
              <w:tc>
                <w:tcPr>
                  <w:tcW w:w="1004" w:type="dxa"/>
                  <w:noWrap w:val="0"/>
                  <w:vAlign w:val="center"/>
                </w:tcPr>
                <w:p w14:paraId="7E2EACD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3.1</w:t>
                  </w:r>
                </w:p>
              </w:tc>
              <w:tc>
                <w:tcPr>
                  <w:tcW w:w="1004" w:type="dxa"/>
                  <w:noWrap w:val="0"/>
                  <w:vAlign w:val="center"/>
                </w:tcPr>
                <w:p w14:paraId="7BD4936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7.4</w:t>
                  </w:r>
                </w:p>
              </w:tc>
              <w:tc>
                <w:tcPr>
                  <w:tcW w:w="924" w:type="dxa"/>
                  <w:noWrap w:val="0"/>
                  <w:vAlign w:val="center"/>
                </w:tcPr>
                <w:p w14:paraId="124AB5A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12.7</w:t>
                  </w:r>
                </w:p>
              </w:tc>
            </w:tr>
            <w:tr w14:paraId="4F6624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52078A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15</w:t>
                  </w:r>
                </w:p>
              </w:tc>
              <w:tc>
                <w:tcPr>
                  <w:tcW w:w="1094" w:type="dxa"/>
                  <w:noWrap w:val="0"/>
                  <w:vAlign w:val="center"/>
                </w:tcPr>
                <w:p w14:paraId="6196F12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20</w:t>
                  </w:r>
                </w:p>
              </w:tc>
              <w:tc>
                <w:tcPr>
                  <w:tcW w:w="1041" w:type="dxa"/>
                  <w:noWrap w:val="0"/>
                  <w:vAlign w:val="center"/>
                </w:tcPr>
                <w:p w14:paraId="032CD4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04" w:type="dxa"/>
                  <w:noWrap w:val="0"/>
                  <w:vAlign w:val="center"/>
                </w:tcPr>
                <w:p w14:paraId="7334DDF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0.6</w:t>
                  </w:r>
                </w:p>
              </w:tc>
              <w:tc>
                <w:tcPr>
                  <w:tcW w:w="1096" w:type="dxa"/>
                  <w:noWrap w:val="0"/>
                  <w:vAlign w:val="center"/>
                </w:tcPr>
                <w:p w14:paraId="6E77B4C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w:t>
                  </w:r>
                </w:p>
              </w:tc>
              <w:tc>
                <w:tcPr>
                  <w:tcW w:w="1004" w:type="dxa"/>
                  <w:noWrap w:val="0"/>
                  <w:vAlign w:val="center"/>
                </w:tcPr>
                <w:p w14:paraId="158D27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2.7</w:t>
                  </w:r>
                </w:p>
              </w:tc>
              <w:tc>
                <w:tcPr>
                  <w:tcW w:w="1004" w:type="dxa"/>
                  <w:noWrap w:val="0"/>
                  <w:vAlign w:val="center"/>
                </w:tcPr>
                <w:p w14:paraId="05669C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8.2</w:t>
                  </w:r>
                </w:p>
              </w:tc>
              <w:tc>
                <w:tcPr>
                  <w:tcW w:w="924" w:type="dxa"/>
                  <w:noWrap w:val="0"/>
                  <w:vAlign w:val="center"/>
                </w:tcPr>
                <w:p w14:paraId="1E898E8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28.2</w:t>
                  </w:r>
                </w:p>
              </w:tc>
            </w:tr>
            <w:tr w14:paraId="0F4F5F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541EE1A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15</w:t>
                  </w:r>
                </w:p>
              </w:tc>
              <w:tc>
                <w:tcPr>
                  <w:tcW w:w="1094" w:type="dxa"/>
                  <w:noWrap w:val="0"/>
                  <w:vAlign w:val="center"/>
                </w:tcPr>
                <w:p w14:paraId="46821B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50</w:t>
                  </w:r>
                </w:p>
              </w:tc>
              <w:tc>
                <w:tcPr>
                  <w:tcW w:w="1041" w:type="dxa"/>
                  <w:noWrap w:val="0"/>
                  <w:vAlign w:val="center"/>
                </w:tcPr>
                <w:p w14:paraId="19A0A19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2788AD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0.5</w:t>
                  </w:r>
                </w:p>
              </w:tc>
              <w:tc>
                <w:tcPr>
                  <w:tcW w:w="1096" w:type="dxa"/>
                  <w:noWrap w:val="0"/>
                  <w:vAlign w:val="center"/>
                </w:tcPr>
                <w:p w14:paraId="2E3EB4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1.2</w:t>
                  </w:r>
                </w:p>
              </w:tc>
              <w:tc>
                <w:tcPr>
                  <w:tcW w:w="1004" w:type="dxa"/>
                  <w:noWrap w:val="0"/>
                  <w:vAlign w:val="center"/>
                </w:tcPr>
                <w:p w14:paraId="5D62EEF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2.2</w:t>
                  </w:r>
                </w:p>
              </w:tc>
              <w:tc>
                <w:tcPr>
                  <w:tcW w:w="1004" w:type="dxa"/>
                  <w:noWrap w:val="0"/>
                  <w:vAlign w:val="center"/>
                </w:tcPr>
                <w:p w14:paraId="146A1A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4.2</w:t>
                  </w:r>
                </w:p>
              </w:tc>
              <w:tc>
                <w:tcPr>
                  <w:tcW w:w="924" w:type="dxa"/>
                  <w:noWrap w:val="0"/>
                  <w:vAlign w:val="center"/>
                </w:tcPr>
                <w:p w14:paraId="36A9A12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10.8</w:t>
                  </w:r>
                </w:p>
              </w:tc>
            </w:tr>
            <w:tr w14:paraId="5D5C5B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noWrap w:val="0"/>
                  <w:vAlign w:val="center"/>
                </w:tcPr>
                <w:p w14:paraId="5A682F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15</w:t>
                  </w:r>
                </w:p>
              </w:tc>
              <w:tc>
                <w:tcPr>
                  <w:tcW w:w="1094" w:type="dxa"/>
                  <w:noWrap w:val="0"/>
                  <w:vAlign w:val="center"/>
                </w:tcPr>
                <w:p w14:paraId="6284A4D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80</w:t>
                  </w:r>
                </w:p>
              </w:tc>
              <w:tc>
                <w:tcPr>
                  <w:tcW w:w="1041" w:type="dxa"/>
                  <w:noWrap w:val="0"/>
                  <w:vAlign w:val="center"/>
                </w:tcPr>
                <w:p w14:paraId="24DE7B1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w:t>
                  </w:r>
                </w:p>
              </w:tc>
              <w:tc>
                <w:tcPr>
                  <w:tcW w:w="1004" w:type="dxa"/>
                  <w:noWrap w:val="0"/>
                  <w:vAlign w:val="center"/>
                </w:tcPr>
                <w:p w14:paraId="31C318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0.3</w:t>
                  </w:r>
                </w:p>
              </w:tc>
              <w:tc>
                <w:tcPr>
                  <w:tcW w:w="1096" w:type="dxa"/>
                  <w:noWrap w:val="0"/>
                  <w:vAlign w:val="center"/>
                </w:tcPr>
                <w:p w14:paraId="3CC7620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1.1</w:t>
                  </w:r>
                </w:p>
              </w:tc>
              <w:tc>
                <w:tcPr>
                  <w:tcW w:w="1004" w:type="dxa"/>
                  <w:noWrap w:val="0"/>
                  <w:vAlign w:val="center"/>
                </w:tcPr>
                <w:p w14:paraId="7729F7E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2.4</w:t>
                  </w:r>
                </w:p>
              </w:tc>
              <w:tc>
                <w:tcPr>
                  <w:tcW w:w="1004" w:type="dxa"/>
                  <w:noWrap w:val="0"/>
                  <w:vAlign w:val="center"/>
                </w:tcPr>
                <w:p w14:paraId="1B909C4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4.1</w:t>
                  </w:r>
                </w:p>
              </w:tc>
              <w:tc>
                <w:tcPr>
                  <w:tcW w:w="924" w:type="dxa"/>
                  <w:noWrap w:val="0"/>
                  <w:vAlign w:val="center"/>
                </w:tcPr>
                <w:p w14:paraId="5A0778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8.3</w:t>
                  </w:r>
                </w:p>
              </w:tc>
            </w:tr>
          </w:tbl>
          <w:p w14:paraId="719F919A">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③围墙障碍物屏蔽（A</w:t>
            </w:r>
            <w:r>
              <w:rPr>
                <w:rFonts w:hint="default" w:ascii="Times New Roman" w:hAnsi="Times New Roman" w:eastAsia="宋体" w:cs="Times New Roman"/>
                <w:color w:val="auto"/>
                <w:kern w:val="2"/>
                <w:sz w:val="24"/>
                <w:szCs w:val="24"/>
                <w:vertAlign w:val="subscript"/>
                <w:lang w:val="en-US" w:eastAsia="zh-CN" w:bidi="ar"/>
              </w:rPr>
              <w:t>bar</w:t>
            </w:r>
            <w:r>
              <w:rPr>
                <w:rFonts w:hint="default" w:ascii="Times New Roman" w:hAnsi="Times New Roman" w:eastAsia="宋体" w:cs="Times New Roman"/>
                <w:color w:val="auto"/>
                <w:kern w:val="2"/>
                <w:sz w:val="24"/>
                <w:szCs w:val="24"/>
                <w:lang w:val="en-US" w:eastAsia="zh-CN" w:bidi="ar"/>
              </w:rPr>
              <w:t>）：围墙简化为具有一定高度的薄屏障，在噪声预测中，声屏障插入损失的计算方法需要根据实际情况</w:t>
            </w:r>
            <w:r>
              <w:rPr>
                <w:rFonts w:hint="eastAsia" w:cs="Times New Roman"/>
                <w:color w:val="auto"/>
                <w:kern w:val="2"/>
                <w:sz w:val="24"/>
                <w:szCs w:val="24"/>
                <w:lang w:val="en-US" w:eastAsia="zh-CN" w:bidi="ar"/>
              </w:rPr>
              <w:t>做</w:t>
            </w:r>
            <w:r>
              <w:rPr>
                <w:rFonts w:hint="default" w:ascii="Times New Roman" w:hAnsi="Times New Roman" w:eastAsia="宋体" w:cs="Times New Roman"/>
                <w:color w:val="auto"/>
                <w:kern w:val="2"/>
                <w:sz w:val="24"/>
                <w:szCs w:val="24"/>
                <w:lang w:val="en-US" w:eastAsia="zh-CN" w:bidi="ar"/>
              </w:rPr>
              <w:t>简化处理。</w:t>
            </w:r>
          </w:p>
          <w:p w14:paraId="3D29C6E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color w:val="auto"/>
                <w:sz w:val="24"/>
                <w:szCs w:val="24"/>
              </w:rPr>
              <w:t>（4）</w:t>
            </w:r>
            <w:r>
              <w:rPr>
                <w:rFonts w:hint="default" w:ascii="Times New Roman" w:hAnsi="Times New Roman" w:eastAsia="宋体" w:cs="Times New Roman"/>
                <w:color w:val="auto"/>
                <w:kern w:val="2"/>
                <w:sz w:val="24"/>
                <w:szCs w:val="24"/>
                <w:lang w:val="en-US" w:eastAsia="zh-CN" w:bidi="ar"/>
              </w:rPr>
              <w:t>拟建工程声源对预测点产生的贡献值</w:t>
            </w:r>
          </w:p>
          <w:p w14:paraId="37382C8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公式如下：</w:t>
            </w:r>
          </w:p>
          <w:p w14:paraId="40E110C3">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"D:\\TMP\\ksohtml8972\\wps2.png"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2419350" cy="447675"/>
                  <wp:effectExtent l="0" t="0" r="0" b="9525"/>
                  <wp:docPr id="4"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7"/>
                          <pic:cNvPicPr>
                            <a:picLocks noChangeAspect="1"/>
                          </pic:cNvPicPr>
                        </pic:nvPicPr>
                        <pic:blipFill>
                          <a:blip r:embed="rId14"/>
                          <a:stretch>
                            <a:fillRect/>
                          </a:stretch>
                        </pic:blipFill>
                        <pic:spPr>
                          <a:xfrm>
                            <a:off x="0" y="0"/>
                            <a:ext cx="2419350" cy="44767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宋体" w:cs="Times New Roman"/>
                <w:color w:val="auto"/>
                <w:kern w:val="2"/>
                <w:sz w:val="24"/>
                <w:szCs w:val="24"/>
                <w:lang w:val="en-US" w:eastAsia="zh-CN" w:bidi="ar"/>
              </w:rPr>
              <w:t xml:space="preserve"> </w:t>
            </w:r>
          </w:p>
          <w:p w14:paraId="62603DD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式中：L</w:t>
            </w:r>
            <w:r>
              <w:rPr>
                <w:rFonts w:hint="default" w:ascii="Times New Roman" w:hAnsi="Times New Roman" w:eastAsia="宋体" w:cs="Times New Roman"/>
                <w:color w:val="auto"/>
                <w:kern w:val="2"/>
                <w:sz w:val="24"/>
                <w:szCs w:val="24"/>
                <w:vertAlign w:val="subscript"/>
                <w:lang w:val="en-US" w:eastAsia="zh-CN" w:bidi="ar"/>
              </w:rPr>
              <w:t>eqg</w:t>
            </w:r>
            <w:r>
              <w:rPr>
                <w:rFonts w:hint="default" w:ascii="Times New Roman" w:hAnsi="Times New Roman" w:eastAsia="宋体" w:cs="Times New Roman"/>
                <w:color w:val="auto"/>
                <w:kern w:val="2"/>
                <w:sz w:val="24"/>
                <w:szCs w:val="24"/>
                <w:lang w:val="en-US" w:eastAsia="zh-CN" w:bidi="ar"/>
              </w:rPr>
              <w:t>——建设项目声源在预测点产生的噪声贡献值，dB；</w:t>
            </w:r>
          </w:p>
          <w:p w14:paraId="236A2FE1">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T——用于计算等效声级的时间，s；</w:t>
            </w:r>
          </w:p>
          <w:p w14:paraId="74F44BD2">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N——室外声源个数；</w:t>
            </w:r>
          </w:p>
          <w:p w14:paraId="6A482A3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t</w:t>
            </w:r>
            <w:r>
              <w:rPr>
                <w:rFonts w:hint="default" w:ascii="Times New Roman" w:hAnsi="Times New Roman" w:eastAsia="宋体" w:cs="Times New Roman"/>
                <w:color w:val="auto"/>
                <w:kern w:val="2"/>
                <w:sz w:val="24"/>
                <w:szCs w:val="24"/>
                <w:vertAlign w:val="subscript"/>
                <w:lang w:val="en-US" w:eastAsia="zh-CN" w:bidi="ar"/>
              </w:rPr>
              <w:t>i</w:t>
            </w:r>
            <w:r>
              <w:rPr>
                <w:rFonts w:hint="default" w:ascii="Times New Roman" w:hAnsi="Times New Roman" w:eastAsia="宋体" w:cs="Times New Roman"/>
                <w:color w:val="auto"/>
                <w:kern w:val="2"/>
                <w:sz w:val="24"/>
                <w:szCs w:val="24"/>
                <w:lang w:val="en-US" w:eastAsia="zh-CN" w:bidi="ar"/>
              </w:rPr>
              <w:t>——在T时间内i声源工作时间，s；</w:t>
            </w:r>
          </w:p>
          <w:p w14:paraId="30A2C5F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M——等效室外声源个数；</w:t>
            </w:r>
          </w:p>
          <w:p w14:paraId="78930A4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eastAsia="zh-CN" w:bidi="ar"/>
              </w:rPr>
              <w:t>t</w:t>
            </w:r>
            <w:r>
              <w:rPr>
                <w:rFonts w:hint="default" w:ascii="Times New Roman" w:hAnsi="Times New Roman" w:eastAsia="宋体" w:cs="Times New Roman"/>
                <w:color w:val="auto"/>
                <w:kern w:val="2"/>
                <w:sz w:val="24"/>
                <w:szCs w:val="24"/>
                <w:vertAlign w:val="subscript"/>
                <w:lang w:val="en-US" w:eastAsia="zh-CN" w:bidi="ar"/>
              </w:rPr>
              <w:t>j</w:t>
            </w:r>
            <w:r>
              <w:rPr>
                <w:rFonts w:hint="default" w:ascii="Times New Roman" w:hAnsi="Times New Roman" w:eastAsia="宋体" w:cs="Times New Roman"/>
                <w:color w:val="auto"/>
                <w:kern w:val="2"/>
                <w:sz w:val="24"/>
                <w:szCs w:val="24"/>
                <w:lang w:val="en-US" w:eastAsia="zh-CN" w:bidi="ar"/>
              </w:rPr>
              <w:t>——在T时间内j声源工作时间，s。</w:t>
            </w:r>
          </w:p>
          <w:p w14:paraId="074B7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default" w:ascii="Times New Roman" w:hAnsi="Times New Roman" w:eastAsia="Times New Roman" w:cs="Times New Roman"/>
                <w:b/>
                <w:bCs/>
                <w:color w:val="auto"/>
                <w:sz w:val="24"/>
                <w:highlight w:val="none"/>
                <w:lang w:val="en-US" w:eastAsia="zh-CN"/>
              </w:rPr>
            </w:pPr>
            <w:r>
              <w:rPr>
                <w:rFonts w:hint="default" w:ascii="Times New Roman" w:hAnsi="Times New Roman" w:eastAsia="Times New Roman" w:cs="Times New Roman"/>
                <w:b/>
                <w:bCs/>
                <w:color w:val="auto"/>
                <w:sz w:val="24"/>
                <w:highlight w:val="none"/>
                <w:lang w:val="en-US" w:eastAsia="zh-CN"/>
              </w:rPr>
              <w:t>3.3达标分析</w:t>
            </w:r>
          </w:p>
          <w:p w14:paraId="4D0198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center"/>
              <w:textAlignment w:val="auto"/>
              <w:rPr>
                <w:rFonts w:hint="default" w:ascii="Times New Roman" w:hAnsi="Times New Roman" w:eastAsia="Times New Roman" w:cs="Times New Roman"/>
                <w:color w:val="auto"/>
                <w:sz w:val="24"/>
                <w:szCs w:val="24"/>
                <w:lang w:val="en-US" w:eastAsia="zh-CN"/>
              </w:rPr>
            </w:pPr>
            <w:r>
              <w:rPr>
                <w:rFonts w:hint="default" w:ascii="Times New Roman" w:hAnsi="Times New Roman" w:eastAsia="Times New Roman" w:cs="Times New Roman"/>
                <w:b/>
                <w:bCs/>
                <w:color w:val="auto"/>
                <w:sz w:val="24"/>
                <w:szCs w:val="24"/>
                <w:lang w:eastAsia="zh-CN"/>
              </w:rPr>
              <w:t>表</w:t>
            </w:r>
            <w:r>
              <w:rPr>
                <w:rFonts w:hint="eastAsia" w:eastAsia="Times New Roman" w:cs="Times New Roman"/>
                <w:b/>
                <w:bCs/>
                <w:color w:val="auto"/>
                <w:sz w:val="24"/>
                <w:szCs w:val="24"/>
                <w:lang w:val="en-US" w:eastAsia="zh-CN"/>
              </w:rPr>
              <w:t>29</w:t>
            </w:r>
            <w:r>
              <w:rPr>
                <w:rFonts w:hint="default" w:ascii="Times New Roman" w:hAnsi="Times New Roman" w:eastAsia="Times New Roman" w:cs="Times New Roman"/>
                <w:b/>
                <w:bCs/>
                <w:color w:val="auto"/>
                <w:sz w:val="24"/>
                <w:szCs w:val="24"/>
                <w:lang w:val="en-US" w:eastAsia="zh-CN"/>
              </w:rPr>
              <w:t xml:space="preserve">  噪声预测结果一览表</w:t>
            </w:r>
            <w:r>
              <w:rPr>
                <w:rFonts w:hint="default" w:ascii="Times New Roman" w:hAnsi="Times New Roman" w:eastAsia="宋体" w:cs="Times New Roman"/>
                <w:b/>
                <w:bCs/>
                <w:color w:val="auto"/>
                <w:kern w:val="2"/>
                <w:sz w:val="21"/>
                <w:szCs w:val="21"/>
                <w:lang w:eastAsia="zh-CN"/>
              </w:rPr>
              <w:t>/dB(A)</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2105"/>
              <w:gridCol w:w="2804"/>
              <w:gridCol w:w="1836"/>
            </w:tblGrid>
            <w:tr w14:paraId="07F445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162" w:type="pct"/>
                  <w:tcBorders>
                    <w:tl2br w:val="nil"/>
                    <w:tr2bl w:val="nil"/>
                  </w:tcBorders>
                  <w:noWrap w:val="0"/>
                  <w:vAlign w:val="center"/>
                </w:tcPr>
                <w:p w14:paraId="50FBC70C">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厂界</w:t>
                  </w:r>
                </w:p>
              </w:tc>
              <w:tc>
                <w:tcPr>
                  <w:tcW w:w="1197" w:type="pct"/>
                  <w:tcBorders>
                    <w:tl2br w:val="nil"/>
                    <w:tr2bl w:val="nil"/>
                  </w:tcBorders>
                  <w:noWrap w:val="0"/>
                  <w:vAlign w:val="center"/>
                </w:tcPr>
                <w:p w14:paraId="40405A20">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贡献值</w:t>
                  </w:r>
                </w:p>
              </w:tc>
              <w:tc>
                <w:tcPr>
                  <w:tcW w:w="1595" w:type="pct"/>
                  <w:tcBorders>
                    <w:tl2br w:val="nil"/>
                    <w:tr2bl w:val="nil"/>
                  </w:tcBorders>
                  <w:noWrap w:val="0"/>
                  <w:vAlign w:val="center"/>
                </w:tcPr>
                <w:p w14:paraId="0BAAA75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评价标准</w:t>
                  </w:r>
                </w:p>
              </w:tc>
              <w:tc>
                <w:tcPr>
                  <w:tcW w:w="1044" w:type="pct"/>
                  <w:tcBorders>
                    <w:tl2br w:val="nil"/>
                    <w:tr2bl w:val="nil"/>
                  </w:tcBorders>
                  <w:noWrap w:val="0"/>
                  <w:vAlign w:val="center"/>
                </w:tcPr>
                <w:p w14:paraId="0A6D5679">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lang w:val="en-US" w:eastAsia="zh-CN" w:bidi="ar"/>
                    </w:rPr>
                    <w:t>达标情况</w:t>
                  </w:r>
                </w:p>
              </w:tc>
            </w:tr>
            <w:tr w14:paraId="4D3BEF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2" w:type="pct"/>
                  <w:tcBorders>
                    <w:tl2br w:val="nil"/>
                    <w:tr2bl w:val="nil"/>
                  </w:tcBorders>
                  <w:shd w:val="clear" w:color="auto" w:fill="auto"/>
                  <w:noWrap w:val="0"/>
                  <w:vAlign w:val="center"/>
                </w:tcPr>
                <w:p w14:paraId="0C1B9169">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东厂界</w:t>
                  </w:r>
                </w:p>
              </w:tc>
              <w:tc>
                <w:tcPr>
                  <w:tcW w:w="1197" w:type="pct"/>
                  <w:tcBorders>
                    <w:tl2br w:val="nil"/>
                    <w:tr2bl w:val="nil"/>
                  </w:tcBorders>
                  <w:shd w:val="clear" w:color="auto" w:fill="auto"/>
                  <w:noWrap w:val="0"/>
                  <w:vAlign w:val="center"/>
                </w:tcPr>
                <w:p w14:paraId="59DADEF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44.36</w:t>
                  </w:r>
                </w:p>
              </w:tc>
              <w:tc>
                <w:tcPr>
                  <w:tcW w:w="1595" w:type="pct"/>
                  <w:vMerge w:val="restart"/>
                  <w:tcBorders>
                    <w:tl2br w:val="nil"/>
                    <w:tr2bl w:val="nil"/>
                  </w:tcBorders>
                  <w:noWrap w:val="0"/>
                  <w:vAlign w:val="center"/>
                </w:tcPr>
                <w:p w14:paraId="30A11EF8">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b w:val="0"/>
                      <w:bCs/>
                      <w:color w:val="auto"/>
                      <w:kern w:val="2"/>
                      <w:sz w:val="21"/>
                      <w:szCs w:val="21"/>
                      <w:lang w:val="en-US" w:eastAsia="zh-CN" w:bidi="ar"/>
                    </w:rPr>
                    <w:t>（昼6</w:t>
                  </w:r>
                  <w:r>
                    <w:rPr>
                      <w:rFonts w:hint="eastAsia" w:cs="Times New Roman"/>
                      <w:b w:val="0"/>
                      <w:bCs/>
                      <w:color w:val="auto"/>
                      <w:kern w:val="2"/>
                      <w:sz w:val="21"/>
                      <w:szCs w:val="21"/>
                      <w:lang w:val="en-US" w:eastAsia="zh-CN" w:bidi="ar"/>
                    </w:rPr>
                    <w:t>0/夜</w:t>
                  </w:r>
                  <w:r>
                    <w:rPr>
                      <w:rFonts w:hint="default" w:ascii="Times New Roman" w:hAnsi="Times New Roman" w:eastAsia="宋体" w:cs="Times New Roman"/>
                      <w:b w:val="0"/>
                      <w:bCs/>
                      <w:color w:val="auto"/>
                      <w:kern w:val="2"/>
                      <w:sz w:val="21"/>
                      <w:szCs w:val="21"/>
                      <w:lang w:val="en-US" w:eastAsia="zh-CN" w:bidi="ar"/>
                    </w:rPr>
                    <w:t>5</w:t>
                  </w:r>
                  <w:r>
                    <w:rPr>
                      <w:rFonts w:hint="eastAsia" w:cs="Times New Roman"/>
                      <w:b w:val="0"/>
                      <w:bCs/>
                      <w:color w:val="auto"/>
                      <w:kern w:val="2"/>
                      <w:sz w:val="21"/>
                      <w:szCs w:val="21"/>
                      <w:lang w:val="en-US" w:eastAsia="zh-CN" w:bidi="ar"/>
                    </w:rPr>
                    <w:t>0</w:t>
                  </w:r>
                  <w:r>
                    <w:rPr>
                      <w:rFonts w:hint="default" w:ascii="Times New Roman" w:hAnsi="Times New Roman" w:eastAsia="宋体" w:cs="Times New Roman"/>
                      <w:b w:val="0"/>
                      <w:bCs/>
                      <w:color w:val="auto"/>
                      <w:kern w:val="2"/>
                      <w:sz w:val="21"/>
                      <w:szCs w:val="21"/>
                      <w:lang w:val="en-US" w:eastAsia="zh-CN" w:bidi="ar"/>
                    </w:rPr>
                    <w:t>）</w:t>
                  </w:r>
                </w:p>
              </w:tc>
              <w:tc>
                <w:tcPr>
                  <w:tcW w:w="1044" w:type="pct"/>
                  <w:tcBorders>
                    <w:tl2br w:val="nil"/>
                    <w:tr2bl w:val="nil"/>
                  </w:tcBorders>
                  <w:noWrap w:val="0"/>
                  <w:vAlign w:val="center"/>
                </w:tcPr>
                <w:p w14:paraId="5FDF1EFD">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r w14:paraId="144210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2" w:type="pct"/>
                  <w:tcBorders>
                    <w:tl2br w:val="nil"/>
                    <w:tr2bl w:val="nil"/>
                  </w:tcBorders>
                  <w:shd w:val="clear" w:color="auto" w:fill="auto"/>
                  <w:noWrap w:val="0"/>
                  <w:vAlign w:val="center"/>
                </w:tcPr>
                <w:p w14:paraId="17C1E86D">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南厂界</w:t>
                  </w:r>
                </w:p>
              </w:tc>
              <w:tc>
                <w:tcPr>
                  <w:tcW w:w="1197" w:type="pct"/>
                  <w:tcBorders>
                    <w:tl2br w:val="nil"/>
                    <w:tr2bl w:val="nil"/>
                  </w:tcBorders>
                  <w:shd w:val="clear" w:color="auto" w:fill="auto"/>
                  <w:noWrap w:val="0"/>
                  <w:vAlign w:val="center"/>
                </w:tcPr>
                <w:p w14:paraId="2728EAB2">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44.52</w:t>
                  </w:r>
                </w:p>
              </w:tc>
              <w:tc>
                <w:tcPr>
                  <w:tcW w:w="1595" w:type="pct"/>
                  <w:vMerge w:val="continue"/>
                  <w:tcBorders>
                    <w:tl2br w:val="nil"/>
                    <w:tr2bl w:val="nil"/>
                  </w:tcBorders>
                  <w:noWrap w:val="0"/>
                  <w:vAlign w:val="center"/>
                </w:tcPr>
                <w:p w14:paraId="7E687822">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1044" w:type="pct"/>
                  <w:tcBorders>
                    <w:tl2br w:val="nil"/>
                    <w:tr2bl w:val="nil"/>
                  </w:tcBorders>
                  <w:noWrap w:val="0"/>
                  <w:vAlign w:val="center"/>
                </w:tcPr>
                <w:p w14:paraId="7FD6E02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r w14:paraId="737FD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62" w:type="pct"/>
                  <w:tcBorders>
                    <w:tl2br w:val="nil"/>
                    <w:tr2bl w:val="nil"/>
                  </w:tcBorders>
                  <w:shd w:val="clear" w:color="auto" w:fill="auto"/>
                  <w:noWrap w:val="0"/>
                  <w:vAlign w:val="center"/>
                </w:tcPr>
                <w:p w14:paraId="2C4D71B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西厂界</w:t>
                  </w:r>
                </w:p>
              </w:tc>
              <w:tc>
                <w:tcPr>
                  <w:tcW w:w="1197" w:type="pct"/>
                  <w:tcBorders>
                    <w:tl2br w:val="nil"/>
                    <w:tr2bl w:val="nil"/>
                  </w:tcBorders>
                  <w:shd w:val="clear" w:color="auto" w:fill="auto"/>
                  <w:noWrap w:val="0"/>
                  <w:vAlign w:val="center"/>
                </w:tcPr>
                <w:p w14:paraId="3A933281">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48.16</w:t>
                  </w:r>
                </w:p>
              </w:tc>
              <w:tc>
                <w:tcPr>
                  <w:tcW w:w="1595" w:type="pct"/>
                  <w:vMerge w:val="continue"/>
                  <w:tcBorders>
                    <w:tl2br w:val="nil"/>
                    <w:tr2bl w:val="nil"/>
                  </w:tcBorders>
                  <w:noWrap w:val="0"/>
                  <w:vAlign w:val="center"/>
                </w:tcPr>
                <w:p w14:paraId="07CED701">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1044" w:type="pct"/>
                  <w:tcBorders>
                    <w:tl2br w:val="nil"/>
                    <w:tr2bl w:val="nil"/>
                  </w:tcBorders>
                  <w:noWrap w:val="0"/>
                  <w:vAlign w:val="center"/>
                </w:tcPr>
                <w:p w14:paraId="0A944D17">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r w14:paraId="613DBE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2" w:type="pct"/>
                  <w:tcBorders>
                    <w:tl2br w:val="nil"/>
                    <w:tr2bl w:val="nil"/>
                  </w:tcBorders>
                  <w:noWrap w:val="0"/>
                  <w:vAlign w:val="center"/>
                </w:tcPr>
                <w:p w14:paraId="1628F2EF">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北厂界</w:t>
                  </w:r>
                </w:p>
              </w:tc>
              <w:tc>
                <w:tcPr>
                  <w:tcW w:w="1197" w:type="pct"/>
                  <w:tcBorders>
                    <w:tl2br w:val="nil"/>
                    <w:tr2bl w:val="nil"/>
                  </w:tcBorders>
                  <w:noWrap w:val="0"/>
                  <w:vAlign w:val="center"/>
                </w:tcPr>
                <w:p w14:paraId="62F9381E">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48.23</w:t>
                  </w:r>
                </w:p>
              </w:tc>
              <w:tc>
                <w:tcPr>
                  <w:tcW w:w="1595" w:type="pct"/>
                  <w:vMerge w:val="continue"/>
                  <w:tcBorders>
                    <w:tl2br w:val="nil"/>
                    <w:tr2bl w:val="nil"/>
                  </w:tcBorders>
                  <w:noWrap w:val="0"/>
                  <w:vAlign w:val="center"/>
                </w:tcPr>
                <w:p w14:paraId="67AFE15D">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1044" w:type="pct"/>
                  <w:tcBorders>
                    <w:tl2br w:val="nil"/>
                    <w:tr2bl w:val="nil"/>
                  </w:tcBorders>
                  <w:noWrap w:val="0"/>
                  <w:vAlign w:val="center"/>
                </w:tcPr>
                <w:p w14:paraId="1F86E401">
                  <w:pPr>
                    <w:keepNext w:val="0"/>
                    <w:keepLines w:val="0"/>
                    <w:pageBreakBefore w:val="0"/>
                    <w:widowControl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达标</w:t>
                  </w:r>
                </w:p>
              </w:tc>
            </w:tr>
          </w:tbl>
          <w:p w14:paraId="35FBE96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504" w:firstLineChars="200"/>
              <w:rPr>
                <w:rFonts w:hint="default" w:ascii="Times New Roman" w:hAnsi="Times New Roman" w:eastAsia="Times New Roman" w:cs="Times New Roman"/>
                <w:bCs/>
                <w:color w:val="auto"/>
                <w:sz w:val="24"/>
                <w:highlight w:val="none"/>
              </w:rPr>
            </w:pPr>
            <w:r>
              <w:rPr>
                <w:rFonts w:hint="default" w:ascii="Times New Roman" w:hAnsi="Times New Roman" w:eastAsia="Times New Roman" w:cs="Times New Roman"/>
                <w:bCs/>
                <w:color w:val="auto"/>
                <w:spacing w:val="6"/>
                <w:sz w:val="24"/>
                <w:highlight w:val="none"/>
              </w:rPr>
              <w:t>由上表可知，本项目建成后，各厂界噪声贡献叠加值均能满足《工业企业厂界环境噪声排放标准》</w:t>
            </w:r>
            <w:r>
              <w:rPr>
                <w:rFonts w:hint="default" w:ascii="Times New Roman" w:hAnsi="Times New Roman" w:eastAsia="Times New Roman" w:cs="Times New Roman"/>
                <w:color w:val="auto"/>
                <w:kern w:val="0"/>
                <w:sz w:val="24"/>
                <w:highlight w:val="none"/>
              </w:rPr>
              <w:t>（</w:t>
            </w:r>
            <w:r>
              <w:rPr>
                <w:rFonts w:hint="default" w:ascii="Times New Roman" w:hAnsi="Times New Roman" w:eastAsia="Times New Roman" w:cs="Times New Roman"/>
                <w:color w:val="auto"/>
                <w:sz w:val="24"/>
                <w:highlight w:val="none"/>
              </w:rPr>
              <w:t>GB12348-2008）中</w:t>
            </w:r>
            <w:r>
              <w:rPr>
                <w:rFonts w:hint="eastAsia" w:eastAsia="宋体" w:cs="Times New Roman"/>
                <w:color w:val="auto"/>
                <w:sz w:val="24"/>
                <w:highlight w:val="none"/>
                <w:lang w:val="en-US" w:eastAsia="zh-CN"/>
              </w:rPr>
              <w:t>2</w:t>
            </w:r>
            <w:r>
              <w:rPr>
                <w:rFonts w:hint="default" w:ascii="Times New Roman" w:hAnsi="Times New Roman" w:eastAsia="Times New Roman" w:cs="Times New Roman"/>
                <w:bCs/>
                <w:color w:val="auto"/>
                <w:spacing w:val="6"/>
                <w:sz w:val="24"/>
                <w:highlight w:val="none"/>
              </w:rPr>
              <w:t>类标准限值：昼间</w:t>
            </w:r>
            <w:r>
              <w:rPr>
                <w:rFonts w:hint="default" w:ascii="Times New Roman" w:hAnsi="Times New Roman" w:eastAsia="Times New Roman" w:cs="Times New Roman"/>
                <w:color w:val="auto"/>
                <w:highlight w:val="none"/>
              </w:rPr>
              <w:t>≤</w:t>
            </w:r>
            <w:r>
              <w:rPr>
                <w:rFonts w:hint="default" w:ascii="Times New Roman" w:hAnsi="Times New Roman" w:eastAsia="Times New Roman" w:cs="Times New Roman"/>
                <w:color w:val="auto"/>
                <w:kern w:val="0"/>
                <w:sz w:val="24"/>
                <w:highlight w:val="none"/>
              </w:rPr>
              <w:t>6</w:t>
            </w:r>
            <w:r>
              <w:rPr>
                <w:rFonts w:hint="eastAsia" w:eastAsia="宋体" w:cs="Times New Roman"/>
                <w:color w:val="auto"/>
                <w:kern w:val="0"/>
                <w:sz w:val="24"/>
                <w:highlight w:val="none"/>
                <w:lang w:val="en-US" w:eastAsia="zh-CN"/>
              </w:rPr>
              <w:t>0</w:t>
            </w:r>
            <w:r>
              <w:rPr>
                <w:rFonts w:hint="default" w:ascii="Times New Roman" w:hAnsi="Times New Roman" w:eastAsia="Times New Roman" w:cs="Times New Roman"/>
                <w:color w:val="auto"/>
                <w:sz w:val="24"/>
                <w:highlight w:val="none"/>
              </w:rPr>
              <w:t>dB(A)</w:t>
            </w:r>
            <w:r>
              <w:rPr>
                <w:rFonts w:hint="default" w:ascii="Times New Roman" w:hAnsi="Times New Roman" w:eastAsia="Times New Roman" w:cs="Times New Roman"/>
                <w:color w:val="auto"/>
                <w:sz w:val="24"/>
                <w:highlight w:val="none"/>
                <w:lang w:eastAsia="zh-CN"/>
              </w:rPr>
              <w:t>，</w:t>
            </w:r>
            <w:r>
              <w:rPr>
                <w:rFonts w:hint="default" w:ascii="Times New Roman" w:hAnsi="Times New Roman" w:eastAsia="Times New Roman" w:cs="Times New Roman"/>
                <w:color w:val="auto"/>
                <w:kern w:val="0"/>
                <w:sz w:val="24"/>
                <w:highlight w:val="none"/>
                <w:lang w:eastAsia="zh-CN"/>
              </w:rPr>
              <w:t>夜间≤</w:t>
            </w:r>
            <w:r>
              <w:rPr>
                <w:rFonts w:hint="default" w:ascii="Times New Roman" w:hAnsi="Times New Roman" w:eastAsia="Times New Roman" w:cs="Times New Roman"/>
                <w:color w:val="auto"/>
                <w:kern w:val="0"/>
                <w:sz w:val="24"/>
                <w:highlight w:val="none"/>
                <w:lang w:val="en-US" w:eastAsia="zh-CN"/>
              </w:rPr>
              <w:t>5</w:t>
            </w:r>
            <w:r>
              <w:rPr>
                <w:rFonts w:hint="eastAsia" w:eastAsia="Times New Roman" w:cs="Times New Roman"/>
                <w:color w:val="auto"/>
                <w:kern w:val="0"/>
                <w:sz w:val="24"/>
                <w:highlight w:val="none"/>
                <w:lang w:val="en-US" w:eastAsia="zh-CN"/>
              </w:rPr>
              <w:t>0</w:t>
            </w:r>
            <w:r>
              <w:rPr>
                <w:rFonts w:hint="default" w:ascii="Times New Roman" w:hAnsi="Times New Roman" w:eastAsia="Times New Roman" w:cs="Times New Roman"/>
                <w:color w:val="auto"/>
                <w:kern w:val="0"/>
                <w:sz w:val="24"/>
                <w:highlight w:val="none"/>
                <w:lang w:eastAsia="zh-CN"/>
              </w:rPr>
              <w:t>dB(A)</w:t>
            </w:r>
            <w:r>
              <w:rPr>
                <w:rFonts w:hint="default" w:ascii="Times New Roman" w:hAnsi="Times New Roman" w:eastAsia="Times New Roman" w:cs="Times New Roman"/>
                <w:color w:val="auto"/>
                <w:kern w:val="0"/>
                <w:sz w:val="24"/>
                <w:highlight w:val="none"/>
              </w:rPr>
              <w:t>，对外环境</w:t>
            </w:r>
            <w:r>
              <w:rPr>
                <w:rFonts w:hint="default" w:ascii="Times New Roman" w:hAnsi="Times New Roman" w:eastAsia="Times New Roman" w:cs="Times New Roman"/>
                <w:bCs/>
                <w:color w:val="auto"/>
                <w:sz w:val="24"/>
                <w:highlight w:val="none"/>
              </w:rPr>
              <w:t>影响很小。</w:t>
            </w:r>
          </w:p>
          <w:p w14:paraId="6F91B1F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lang w:val="en-US" w:eastAsia="zh-CN"/>
              </w:rPr>
              <w:t>3.4</w:t>
            </w:r>
            <w:r>
              <w:rPr>
                <w:rFonts w:hint="default" w:ascii="Times New Roman" w:hAnsi="Times New Roman" w:eastAsia="Times New Roman" w:cs="Times New Roman"/>
                <w:b/>
                <w:color w:val="auto"/>
                <w:kern w:val="0"/>
                <w:sz w:val="24"/>
                <w:highlight w:val="none"/>
              </w:rPr>
              <w:t>监测要求</w:t>
            </w:r>
          </w:p>
          <w:p w14:paraId="2C94FD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Times New Roman" w:cs="Times New Roman"/>
                <w:color w:val="auto"/>
                <w:sz w:val="24"/>
                <w:szCs w:val="21"/>
                <w:highlight w:val="none"/>
                <w:lang w:val="en-US" w:eastAsia="zh-CN"/>
              </w:rPr>
            </w:pPr>
            <w:r>
              <w:rPr>
                <w:rFonts w:hint="default" w:ascii="Times New Roman" w:hAnsi="Times New Roman" w:eastAsia="Times New Roman" w:cs="Times New Roman"/>
                <w:color w:val="auto"/>
                <w:sz w:val="24"/>
                <w:szCs w:val="21"/>
                <w:highlight w:val="none"/>
                <w:lang w:val="en-US" w:eastAsia="zh-CN"/>
              </w:rPr>
              <w:t>依据《排污许可证申请与核发技术规范</w:t>
            </w:r>
            <w:r>
              <w:rPr>
                <w:rFonts w:hint="eastAsia" w:eastAsia="Times New Roman" w:cs="Times New Roman"/>
                <w:color w:val="auto"/>
                <w:sz w:val="24"/>
                <w:szCs w:val="21"/>
                <w:highlight w:val="none"/>
                <w:lang w:val="en-US" w:eastAsia="zh-CN"/>
              </w:rPr>
              <w:t xml:space="preserve"> </w:t>
            </w:r>
            <w:r>
              <w:rPr>
                <w:rFonts w:hint="default" w:ascii="Times New Roman" w:hAnsi="Times New Roman" w:eastAsia="Times New Roman" w:cs="Times New Roman"/>
                <w:color w:val="auto"/>
                <w:sz w:val="24"/>
                <w:szCs w:val="21"/>
                <w:highlight w:val="none"/>
                <w:lang w:val="en-US" w:eastAsia="zh-CN"/>
              </w:rPr>
              <w:t>工业噪声》（HJ1301-2023）要求，本项目运营期自行监测计划见下表。</w:t>
            </w:r>
          </w:p>
          <w:p w14:paraId="090F5523">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b/>
                <w:color w:val="auto"/>
                <w:sz w:val="24"/>
                <w:highlight w:val="none"/>
              </w:rPr>
              <w:t>噪声自行监测计划</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310"/>
              <w:gridCol w:w="1955"/>
              <w:gridCol w:w="1340"/>
              <w:gridCol w:w="2761"/>
            </w:tblGrid>
            <w:tr w14:paraId="5A7B3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8" w:type="pct"/>
                  <w:noWrap w:val="0"/>
                  <w:vAlign w:val="center"/>
                </w:tcPr>
                <w:p w14:paraId="5F8798C3">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噪声监测点位</w:t>
                  </w:r>
                </w:p>
              </w:tc>
              <w:tc>
                <w:tcPr>
                  <w:tcW w:w="745" w:type="pct"/>
                  <w:noWrap w:val="0"/>
                  <w:vAlign w:val="center"/>
                </w:tcPr>
                <w:p w14:paraId="7C0EEF64">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监测内容</w:t>
                  </w:r>
                </w:p>
              </w:tc>
              <w:tc>
                <w:tcPr>
                  <w:tcW w:w="1112" w:type="pct"/>
                  <w:noWrap w:val="0"/>
                  <w:vAlign w:val="center"/>
                </w:tcPr>
                <w:p w14:paraId="06B1B8A3">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监测周期</w:t>
                  </w:r>
                </w:p>
              </w:tc>
              <w:tc>
                <w:tcPr>
                  <w:tcW w:w="762" w:type="pct"/>
                  <w:noWrap w:val="0"/>
                  <w:vAlign w:val="center"/>
                </w:tcPr>
                <w:p w14:paraId="5C3F9C67">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监测频次</w:t>
                  </w:r>
                </w:p>
              </w:tc>
              <w:tc>
                <w:tcPr>
                  <w:tcW w:w="1570" w:type="pct"/>
                  <w:noWrap w:val="0"/>
                  <w:vAlign w:val="center"/>
                </w:tcPr>
                <w:p w14:paraId="45BEF031">
                  <w:pPr>
                    <w:keepNext w:val="0"/>
                    <w:keepLines w:val="0"/>
                    <w:suppressLineNumbers w:val="0"/>
                    <w:adjustRightInd w:val="0"/>
                    <w:snapToGrid w:val="0"/>
                    <w:spacing w:before="0" w:beforeAutospacing="0" w:after="0" w:afterAutospacing="0"/>
                    <w:ind w:left="0" w:right="0"/>
                    <w:jc w:val="center"/>
                    <w:rPr>
                      <w:rFonts w:hint="default"/>
                      <w:b/>
                      <w:color w:val="auto"/>
                      <w:szCs w:val="21"/>
                    </w:rPr>
                  </w:pPr>
                  <w:r>
                    <w:rPr>
                      <w:rFonts w:hint="default"/>
                      <w:b/>
                      <w:color w:val="auto"/>
                      <w:szCs w:val="21"/>
                    </w:rPr>
                    <w:t>执行标准</w:t>
                  </w:r>
                </w:p>
              </w:tc>
            </w:tr>
            <w:tr w14:paraId="247525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pct"/>
                  <w:vMerge w:val="restart"/>
                  <w:noWrap w:val="0"/>
                  <w:vAlign w:val="center"/>
                </w:tcPr>
                <w:p w14:paraId="1807D11E">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lang w:val="en-US" w:eastAsia="zh-CN"/>
                    </w:rPr>
                    <w:t>厂</w:t>
                  </w:r>
                  <w:r>
                    <w:rPr>
                      <w:rFonts w:hint="default"/>
                      <w:color w:val="auto"/>
                      <w:szCs w:val="21"/>
                    </w:rPr>
                    <w:t>界四周外1m</w:t>
                  </w:r>
                </w:p>
              </w:tc>
              <w:tc>
                <w:tcPr>
                  <w:tcW w:w="745" w:type="pct"/>
                  <w:noWrap w:val="0"/>
                  <w:vAlign w:val="center"/>
                </w:tcPr>
                <w:p w14:paraId="2BB863D3">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等效连续A声级</w:t>
                  </w:r>
                </w:p>
              </w:tc>
              <w:tc>
                <w:tcPr>
                  <w:tcW w:w="1112" w:type="pct"/>
                  <w:noWrap w:val="0"/>
                  <w:vAlign w:val="center"/>
                </w:tcPr>
                <w:p w14:paraId="389BB101">
                  <w:pPr>
                    <w:keepNext w:val="0"/>
                    <w:keepLines w:val="0"/>
                    <w:suppressLineNumbers w:val="0"/>
                    <w:adjustRightInd w:val="0"/>
                    <w:snapToGrid w:val="0"/>
                    <w:spacing w:before="0" w:beforeAutospacing="0" w:after="0" w:afterAutospacing="0"/>
                    <w:ind w:left="0" w:right="0"/>
                    <w:jc w:val="center"/>
                    <w:rPr>
                      <w:rFonts w:hint="eastAsia" w:eastAsia="宋体"/>
                      <w:color w:val="auto"/>
                      <w:szCs w:val="21"/>
                      <w:lang w:eastAsia="zh-CN"/>
                    </w:rPr>
                  </w:pPr>
                  <w:r>
                    <w:rPr>
                      <w:rFonts w:hint="default"/>
                      <w:color w:val="auto"/>
                      <w:szCs w:val="21"/>
                    </w:rPr>
                    <w:t>1天</w:t>
                  </w:r>
                  <w:r>
                    <w:rPr>
                      <w:rFonts w:hint="eastAsia"/>
                      <w:color w:val="auto"/>
                      <w:szCs w:val="21"/>
                      <w:lang w:eastAsia="zh-CN"/>
                    </w:rPr>
                    <w:t>（昼、夜间各一次）</w:t>
                  </w:r>
                </w:p>
              </w:tc>
              <w:tc>
                <w:tcPr>
                  <w:tcW w:w="762" w:type="pct"/>
                  <w:noWrap w:val="0"/>
                  <w:vAlign w:val="center"/>
                </w:tcPr>
                <w:p w14:paraId="69D4F1B9">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1次/季度</w:t>
                  </w:r>
                </w:p>
              </w:tc>
              <w:tc>
                <w:tcPr>
                  <w:tcW w:w="1570" w:type="pct"/>
                  <w:vMerge w:val="restart"/>
                  <w:noWrap w:val="0"/>
                  <w:vAlign w:val="center"/>
                </w:tcPr>
                <w:p w14:paraId="66D6A79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《工业企业厂界环境噪声排放标准》（GB12348-2008）</w:t>
                  </w:r>
                  <w:r>
                    <w:rPr>
                      <w:rFonts w:hint="eastAsia"/>
                      <w:color w:val="auto"/>
                      <w:szCs w:val="21"/>
                      <w:lang w:val="en-US" w:eastAsia="zh-CN"/>
                    </w:rPr>
                    <w:t>2</w:t>
                  </w:r>
                  <w:r>
                    <w:rPr>
                      <w:rFonts w:hint="default"/>
                      <w:color w:val="auto"/>
                      <w:szCs w:val="21"/>
                    </w:rPr>
                    <w:t>类</w:t>
                  </w:r>
                </w:p>
              </w:tc>
            </w:tr>
            <w:tr w14:paraId="1724D1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8" w:type="pct"/>
                  <w:vMerge w:val="continue"/>
                  <w:noWrap w:val="0"/>
                  <w:vAlign w:val="center"/>
                </w:tcPr>
                <w:p w14:paraId="6374E411">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745" w:type="pct"/>
                  <w:noWrap w:val="0"/>
                  <w:vAlign w:val="center"/>
                </w:tcPr>
                <w:p w14:paraId="7F94E5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最大A声级</w:t>
                  </w:r>
                </w:p>
              </w:tc>
              <w:tc>
                <w:tcPr>
                  <w:tcW w:w="1112" w:type="pct"/>
                  <w:noWrap w:val="0"/>
                  <w:vAlign w:val="center"/>
                </w:tcPr>
                <w:p w14:paraId="070E42C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1天</w:t>
                  </w:r>
                  <w:r>
                    <w:rPr>
                      <w:rFonts w:hint="eastAsia" w:ascii="Times New Roman" w:hAnsi="Times New Roman" w:eastAsia="宋体" w:cs="Times New Roman"/>
                      <w:color w:val="auto"/>
                      <w:szCs w:val="21"/>
                      <w:lang w:eastAsia="zh-CN"/>
                    </w:rPr>
                    <w:t>（夜间频发噪声、偶发噪声在发生时进行监测）</w:t>
                  </w:r>
                </w:p>
              </w:tc>
              <w:tc>
                <w:tcPr>
                  <w:tcW w:w="762" w:type="pct"/>
                  <w:noWrap w:val="0"/>
                  <w:vAlign w:val="center"/>
                </w:tcPr>
                <w:p w14:paraId="673AD069">
                  <w:pPr>
                    <w:keepNext w:val="0"/>
                    <w:keepLines w:val="0"/>
                    <w:suppressLineNumbers w:val="0"/>
                    <w:adjustRightInd w:val="0"/>
                    <w:snapToGrid w:val="0"/>
                    <w:spacing w:before="0" w:beforeAutospacing="0" w:after="0" w:afterAutospacing="0"/>
                    <w:ind w:left="0" w:right="0"/>
                    <w:jc w:val="center"/>
                    <w:rPr>
                      <w:rFonts w:hint="default"/>
                      <w:color w:val="auto"/>
                      <w:kern w:val="2"/>
                      <w:sz w:val="21"/>
                      <w:szCs w:val="21"/>
                      <w:lang w:val="en-US" w:eastAsia="zh-CN" w:bidi="ar-SA"/>
                    </w:rPr>
                  </w:pPr>
                  <w:r>
                    <w:rPr>
                      <w:rFonts w:hint="default"/>
                      <w:color w:val="auto"/>
                      <w:szCs w:val="21"/>
                    </w:rPr>
                    <w:t>1次/季度</w:t>
                  </w:r>
                </w:p>
              </w:tc>
              <w:tc>
                <w:tcPr>
                  <w:tcW w:w="1570" w:type="pct"/>
                  <w:vMerge w:val="continue"/>
                  <w:noWrap w:val="0"/>
                  <w:vAlign w:val="center"/>
                </w:tcPr>
                <w:p w14:paraId="4B4B0451">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r>
          </w:tbl>
          <w:p w14:paraId="0253FC8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color w:val="auto"/>
                <w:sz w:val="24"/>
                <w:szCs w:val="21"/>
                <w:highlight w:val="none"/>
              </w:rPr>
            </w:pPr>
            <w:r>
              <w:rPr>
                <w:rFonts w:hint="default" w:ascii="Times New Roman" w:hAnsi="Times New Roman" w:eastAsia="Times New Roman" w:cs="Times New Roman"/>
                <w:b/>
                <w:color w:val="auto"/>
                <w:sz w:val="24"/>
                <w:highlight w:val="none"/>
                <w:lang w:val="en-US" w:eastAsia="zh-CN"/>
              </w:rPr>
              <w:t>4.</w:t>
            </w:r>
            <w:r>
              <w:rPr>
                <w:rFonts w:hint="default" w:ascii="Times New Roman" w:hAnsi="Times New Roman" w:eastAsia="Times New Roman" w:cs="Times New Roman"/>
                <w:b/>
                <w:color w:val="auto"/>
                <w:sz w:val="24"/>
                <w:highlight w:val="none"/>
              </w:rPr>
              <w:t>固体废物</w:t>
            </w:r>
          </w:p>
          <w:p w14:paraId="789DCD8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4"/>
                <w:highlight w:val="none"/>
              </w:rPr>
              <w:t>项目</w:t>
            </w:r>
            <w:r>
              <w:rPr>
                <w:rFonts w:hint="eastAsia" w:asciiTheme="majorEastAsia" w:hAnsiTheme="majorEastAsia" w:eastAsiaTheme="majorEastAsia" w:cstheme="majorEastAsia"/>
                <w:color w:val="auto"/>
                <w:sz w:val="24"/>
                <w:highlight w:val="none"/>
              </w:rPr>
              <w:t>固废</w:t>
            </w:r>
            <w:r>
              <w:rPr>
                <w:rFonts w:hint="eastAsia" w:asciiTheme="majorEastAsia" w:hAnsiTheme="majorEastAsia" w:eastAsiaTheme="majorEastAsia" w:cstheme="majorEastAsia"/>
                <w:color w:val="auto"/>
                <w:sz w:val="24"/>
                <w:highlight w:val="none"/>
                <w:lang w:val="en-US" w:eastAsia="zh-CN"/>
              </w:rPr>
              <w:t>主要为</w:t>
            </w:r>
            <w:r>
              <w:rPr>
                <w:rFonts w:hint="eastAsia" w:asciiTheme="majorEastAsia" w:hAnsiTheme="majorEastAsia" w:eastAsiaTheme="majorEastAsia" w:cstheme="majorEastAsia"/>
                <w:color w:val="auto"/>
                <w:kern w:val="0"/>
                <w:sz w:val="24"/>
                <w:highlight w:val="none"/>
                <w:lang w:val="en-US" w:eastAsia="zh-CN"/>
              </w:rPr>
              <w:t>废包装、边角料、不合格产品、生活垃圾、废润滑油、废润滑油桶、废活性炭、废催化剂</w:t>
            </w:r>
            <w:r>
              <w:rPr>
                <w:rFonts w:hint="eastAsia" w:asciiTheme="majorEastAsia" w:hAnsiTheme="majorEastAsia" w:eastAsiaTheme="majorEastAsia" w:cstheme="majorEastAsia"/>
                <w:color w:val="auto"/>
                <w:sz w:val="24"/>
                <w:highlight w:val="none"/>
              </w:rPr>
              <w:t>。其中</w:t>
            </w:r>
            <w:r>
              <w:rPr>
                <w:rFonts w:hint="eastAsia" w:asciiTheme="majorEastAsia" w:hAnsiTheme="majorEastAsia" w:eastAsiaTheme="majorEastAsia" w:cstheme="majorEastAsia"/>
                <w:color w:val="auto"/>
                <w:kern w:val="0"/>
                <w:sz w:val="24"/>
                <w:highlight w:val="none"/>
                <w:lang w:val="en-US" w:eastAsia="zh-CN"/>
              </w:rPr>
              <w:t>废润滑油、废润滑油桶、废活性炭、废催化剂</w:t>
            </w:r>
            <w:r>
              <w:rPr>
                <w:rFonts w:hint="eastAsia" w:asciiTheme="majorEastAsia" w:hAnsiTheme="majorEastAsia" w:eastAsiaTheme="majorEastAsia" w:cstheme="majorEastAsia"/>
                <w:color w:val="auto"/>
                <w:sz w:val="24"/>
                <w:highlight w:val="none"/>
              </w:rPr>
              <w:t>为危险废物，其他均为一般固废。</w:t>
            </w:r>
          </w:p>
          <w:p w14:paraId="009D75B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4.1</w:t>
            </w:r>
            <w:r>
              <w:rPr>
                <w:rFonts w:hint="default" w:ascii="Times New Roman" w:hAnsi="Times New Roman" w:eastAsia="Times New Roman" w:cs="Times New Roman"/>
                <w:b/>
                <w:color w:val="auto"/>
                <w:sz w:val="24"/>
                <w:highlight w:val="none"/>
              </w:rPr>
              <w:t>一般固废</w:t>
            </w:r>
          </w:p>
          <w:p w14:paraId="32F38621">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bCs/>
                <w:color w:val="auto"/>
                <w:kern w:val="0"/>
                <w:sz w:val="24"/>
                <w:highlight w:val="none"/>
                <w:lang w:val="en-US" w:eastAsia="zh-CN"/>
              </w:rPr>
            </w:pPr>
            <w:r>
              <w:rPr>
                <w:rFonts w:hint="default" w:ascii="Times New Roman" w:hAnsi="Times New Roman" w:eastAsia="Times New Roman" w:cs="Times New Roman"/>
                <w:b/>
                <w:bCs/>
                <w:color w:val="auto"/>
                <w:kern w:val="0"/>
                <w:sz w:val="24"/>
                <w:highlight w:val="none"/>
                <w:lang w:val="en-US" w:eastAsia="zh-CN"/>
              </w:rPr>
              <w:t>4.1.1废包装</w:t>
            </w:r>
          </w:p>
          <w:p w14:paraId="22DCD8E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b w:val="0"/>
                <w:bCs/>
                <w:color w:val="auto"/>
                <w:sz w:val="24"/>
                <w:highlight w:val="none"/>
                <w:lang w:val="en-US" w:eastAsia="zh-CN"/>
              </w:rPr>
              <w:t>原辅料均为25kg袋装，使用后产生废包装</w:t>
            </w:r>
            <w:r>
              <w:rPr>
                <w:rFonts w:hint="eastAsia" w:eastAsia="Times New Roman" w:cs="Times New Roman"/>
                <w:b w:val="0"/>
                <w:bCs/>
                <w:color w:val="auto"/>
                <w:sz w:val="24"/>
                <w:highlight w:val="none"/>
                <w:lang w:val="en-US" w:eastAsia="zh-CN"/>
              </w:rPr>
              <w:t>225021</w:t>
            </w:r>
            <w:r>
              <w:rPr>
                <w:rFonts w:hint="default" w:ascii="Times New Roman" w:hAnsi="Times New Roman" w:eastAsia="Times New Roman" w:cs="Times New Roman"/>
                <w:b w:val="0"/>
                <w:bCs/>
                <w:color w:val="auto"/>
                <w:sz w:val="24"/>
                <w:highlight w:val="none"/>
                <w:lang w:val="en-US" w:eastAsia="zh-CN"/>
              </w:rPr>
              <w:t>个/a。单个塑料袋重量约50g，产生的废包装</w:t>
            </w:r>
            <w:r>
              <w:rPr>
                <w:rFonts w:hint="eastAsia" w:eastAsia="Times New Roman" w:cs="Times New Roman"/>
                <w:b w:val="0"/>
                <w:bCs/>
                <w:color w:val="auto"/>
                <w:sz w:val="24"/>
                <w:highlight w:val="none"/>
                <w:lang w:val="en-US" w:eastAsia="zh-CN"/>
              </w:rPr>
              <w:t>袋11.2511</w:t>
            </w:r>
            <w:r>
              <w:rPr>
                <w:rFonts w:hint="default" w:ascii="Times New Roman" w:hAnsi="Times New Roman" w:eastAsia="Times New Roman" w:cs="Times New Roman"/>
                <w:b w:val="0"/>
                <w:bCs/>
                <w:color w:val="auto"/>
                <w:sz w:val="24"/>
                <w:highlight w:val="none"/>
                <w:lang w:val="en-US" w:eastAsia="zh-CN"/>
              </w:rPr>
              <w:t>t/a。</w:t>
            </w:r>
            <w:r>
              <w:rPr>
                <w:rFonts w:hint="eastAsia" w:eastAsia="Times New Roman" w:cs="Times New Roman"/>
                <w:b w:val="0"/>
                <w:bCs/>
                <w:color w:val="auto"/>
                <w:sz w:val="24"/>
                <w:highlight w:val="none"/>
                <w:lang w:val="en-US" w:eastAsia="zh-CN"/>
              </w:rPr>
              <w:t>水墨的使用量为10kg/a，总计10桶，包装桶重为0.1kg，则废水墨包装桶的产生量1kg，则废包装的产生量为11.2521t/a，</w:t>
            </w:r>
            <w:r>
              <w:rPr>
                <w:rFonts w:hint="default" w:ascii="Times New Roman" w:hAnsi="Times New Roman" w:eastAsia="Times New Roman" w:cs="Times New Roman"/>
                <w:b w:val="0"/>
                <w:bCs/>
                <w:color w:val="auto"/>
                <w:sz w:val="24"/>
                <w:highlight w:val="none"/>
                <w:lang w:val="en-US" w:eastAsia="zh-CN"/>
              </w:rPr>
              <w:t>收集后在一般</w:t>
            </w:r>
            <w:r>
              <w:rPr>
                <w:rFonts w:hint="default" w:ascii="Times New Roman" w:hAnsi="Times New Roman" w:eastAsia="Times New Roman" w:cs="Times New Roman"/>
                <w:color w:val="auto"/>
                <w:sz w:val="24"/>
                <w:highlight w:val="none"/>
                <w:lang w:val="en-US" w:eastAsia="zh-CN"/>
              </w:rPr>
              <w:t>固废间暂存，定期外售废旧物资回收部门</w:t>
            </w:r>
            <w:r>
              <w:rPr>
                <w:rFonts w:hint="default" w:ascii="Times New Roman" w:hAnsi="Times New Roman" w:eastAsia="Times New Roman" w:cs="Times New Roman"/>
                <w:color w:val="auto"/>
                <w:sz w:val="24"/>
                <w:highlight w:val="none"/>
              </w:rPr>
              <w:t>。</w:t>
            </w:r>
          </w:p>
          <w:p w14:paraId="2D2E675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lang w:val="en-US" w:eastAsia="zh-CN"/>
              </w:rPr>
              <w:t>4.1.2</w:t>
            </w:r>
            <w:r>
              <w:rPr>
                <w:rFonts w:hint="default" w:ascii="Times New Roman" w:hAnsi="Times New Roman" w:eastAsia="Times New Roman" w:cs="Times New Roman"/>
                <w:b/>
                <w:color w:val="auto"/>
                <w:kern w:val="0"/>
                <w:sz w:val="24"/>
                <w:highlight w:val="none"/>
              </w:rPr>
              <w:t>边角料、不合格产品</w:t>
            </w:r>
          </w:p>
          <w:p w14:paraId="6603092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val="0"/>
                <w:bCs/>
                <w:color w:val="auto"/>
                <w:kern w:val="0"/>
                <w:sz w:val="24"/>
                <w:highlight w:val="none"/>
                <w:lang w:val="en-US" w:eastAsia="zh-CN"/>
              </w:rPr>
            </w:pPr>
            <w:r>
              <w:rPr>
                <w:rFonts w:hint="eastAsia" w:eastAsia="Times New Roman" w:cs="Times New Roman"/>
                <w:bCs/>
                <w:color w:val="auto"/>
                <w:sz w:val="24"/>
                <w:highlight w:val="none"/>
                <w:lang w:val="en-US" w:eastAsia="zh-CN"/>
              </w:rPr>
              <w:t>参考</w:t>
            </w:r>
            <w:r>
              <w:rPr>
                <w:rFonts w:hint="default" w:ascii="Times New Roman" w:hAnsi="Times New Roman" w:eastAsia="Times New Roman" w:cs="Times New Roman"/>
                <w:bCs/>
                <w:color w:val="auto"/>
                <w:sz w:val="24"/>
                <w:highlight w:val="none"/>
                <w:lang w:val="en-US" w:eastAsia="zh-CN"/>
              </w:rPr>
              <w:t>《排放源统计调查产排污核算方法和系数手册》（即二污普）中&lt;292塑料制品行业系数手册&gt;</w:t>
            </w:r>
            <w:r>
              <w:rPr>
                <w:rFonts w:hint="eastAsia" w:eastAsia="Times New Roman" w:cs="Times New Roman"/>
                <w:bCs/>
                <w:color w:val="auto"/>
                <w:sz w:val="24"/>
                <w:highlight w:val="none"/>
                <w:lang w:val="en-US" w:eastAsia="zh-CN"/>
              </w:rPr>
              <w:t>“</w:t>
            </w:r>
            <w:r>
              <w:rPr>
                <w:rFonts w:hint="default" w:ascii="Times New Roman" w:hAnsi="Times New Roman" w:eastAsia="Times New Roman" w:cs="Times New Roman"/>
                <w:bCs/>
                <w:color w:val="auto"/>
                <w:sz w:val="24"/>
                <w:highlight w:val="none"/>
                <w:lang w:val="en-US" w:eastAsia="zh-CN"/>
              </w:rPr>
              <w:t>2921 塑料薄膜制造行业系数表”，一般固废产生系数</w:t>
            </w:r>
            <w:r>
              <w:rPr>
                <w:rFonts w:hint="eastAsia" w:eastAsia="Times New Roman" w:cs="Times New Roman"/>
                <w:bCs/>
                <w:color w:val="auto"/>
                <w:sz w:val="24"/>
                <w:highlight w:val="none"/>
                <w:lang w:val="en-US" w:eastAsia="zh-CN"/>
              </w:rPr>
              <w:t>3</w:t>
            </w:r>
            <w:r>
              <w:rPr>
                <w:rFonts w:hint="default" w:ascii="Times New Roman" w:hAnsi="Times New Roman" w:eastAsia="Times New Roman" w:cs="Times New Roman"/>
                <w:bCs/>
                <w:color w:val="auto"/>
                <w:sz w:val="24"/>
                <w:highlight w:val="none"/>
                <w:lang w:val="en-US" w:eastAsia="zh-CN"/>
              </w:rPr>
              <w:t>.5kg/t-产品。产品产量</w:t>
            </w:r>
            <w:r>
              <w:rPr>
                <w:rFonts w:hint="eastAsia" w:eastAsia="Times New Roman" w:cs="Times New Roman"/>
                <w:bCs/>
                <w:color w:val="auto"/>
                <w:sz w:val="24"/>
                <w:highlight w:val="none"/>
                <w:lang w:val="en-US" w:eastAsia="zh-CN"/>
              </w:rPr>
              <w:t>为5618.956</w:t>
            </w:r>
            <w:r>
              <w:rPr>
                <w:rFonts w:hint="default" w:ascii="Times New Roman" w:hAnsi="Times New Roman" w:eastAsia="Times New Roman" w:cs="Times New Roman"/>
                <w:bCs/>
                <w:color w:val="auto"/>
                <w:sz w:val="24"/>
                <w:highlight w:val="none"/>
                <w:lang w:val="en-US" w:eastAsia="zh-CN"/>
              </w:rPr>
              <w:t>t/a，产生的边角料、不合格产品合计为</w:t>
            </w:r>
            <w:r>
              <w:rPr>
                <w:rFonts w:hint="eastAsia" w:eastAsia="Times New Roman" w:cs="Times New Roman"/>
                <w:bCs/>
                <w:color w:val="auto"/>
                <w:sz w:val="24"/>
                <w:highlight w:val="none"/>
                <w:lang w:val="en-US" w:eastAsia="zh-CN"/>
              </w:rPr>
              <w:t>19.6663</w:t>
            </w:r>
            <w:r>
              <w:rPr>
                <w:rFonts w:hint="default" w:ascii="Times New Roman" w:hAnsi="Times New Roman" w:eastAsia="Times New Roman" w:cs="Times New Roman"/>
                <w:bCs/>
                <w:color w:val="auto"/>
                <w:sz w:val="24"/>
                <w:highlight w:val="none"/>
                <w:lang w:val="en-US" w:eastAsia="zh-CN"/>
              </w:rPr>
              <w:t>t/a</w:t>
            </w:r>
            <w:r>
              <w:rPr>
                <w:rFonts w:hint="eastAsia" w:eastAsia="Times New Roman" w:cs="Times New Roman"/>
                <w:bCs/>
                <w:color w:val="auto"/>
                <w:sz w:val="24"/>
                <w:highlight w:val="none"/>
                <w:lang w:val="en-US" w:eastAsia="zh-CN"/>
              </w:rPr>
              <w:t>，</w:t>
            </w:r>
            <w:r>
              <w:rPr>
                <w:rFonts w:hint="default" w:ascii="Times New Roman" w:hAnsi="Times New Roman" w:eastAsia="Times New Roman" w:cs="Times New Roman"/>
                <w:bCs/>
                <w:color w:val="auto"/>
                <w:sz w:val="24"/>
                <w:highlight w:val="none"/>
                <w:lang w:val="en-US" w:eastAsia="zh-CN"/>
              </w:rPr>
              <w:t>收集后</w:t>
            </w:r>
            <w:r>
              <w:rPr>
                <w:rFonts w:hint="eastAsia" w:eastAsia="Times New Roman" w:cs="Times New Roman"/>
                <w:bCs/>
                <w:color w:val="auto"/>
                <w:sz w:val="24"/>
                <w:highlight w:val="none"/>
                <w:lang w:val="en-US" w:eastAsia="zh-CN"/>
              </w:rPr>
              <w:t>回用于生产</w:t>
            </w:r>
            <w:r>
              <w:rPr>
                <w:rFonts w:hint="default" w:ascii="Times New Roman" w:hAnsi="Times New Roman" w:eastAsia="宋体" w:cs="Times New Roman"/>
                <w:bCs/>
                <w:color w:val="auto"/>
                <w:sz w:val="24"/>
                <w:highlight w:val="none"/>
                <w:lang w:val="en-US" w:eastAsia="zh-CN"/>
              </w:rPr>
              <w:t>。</w:t>
            </w:r>
          </w:p>
          <w:p w14:paraId="0D6CB79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color w:val="auto"/>
                <w:sz w:val="24"/>
                <w:highlight w:val="none"/>
              </w:rPr>
            </w:pPr>
            <w:r>
              <w:rPr>
                <w:rFonts w:hint="default" w:ascii="Times New Roman" w:hAnsi="Times New Roman" w:eastAsia="Times New Roman" w:cs="Times New Roman"/>
                <w:b/>
                <w:color w:val="auto"/>
                <w:sz w:val="24"/>
                <w:highlight w:val="none"/>
                <w:lang w:val="en-US" w:eastAsia="zh-CN"/>
              </w:rPr>
              <w:t>4.1.</w:t>
            </w:r>
            <w:r>
              <w:rPr>
                <w:rFonts w:hint="eastAsia" w:ascii="Times New Roman" w:hAnsi="Times New Roman" w:eastAsia="Times New Roman" w:cs="Times New Roman"/>
                <w:b/>
                <w:color w:val="auto"/>
                <w:sz w:val="24"/>
                <w:highlight w:val="none"/>
                <w:lang w:val="en-US" w:eastAsia="zh-CN"/>
              </w:rPr>
              <w:t>3</w:t>
            </w:r>
            <w:r>
              <w:rPr>
                <w:rFonts w:hint="default" w:ascii="Times New Roman" w:hAnsi="Times New Roman" w:eastAsia="Times New Roman" w:cs="Times New Roman"/>
                <w:b/>
                <w:color w:val="auto"/>
                <w:sz w:val="24"/>
                <w:highlight w:val="none"/>
              </w:rPr>
              <w:t>生活垃圾</w:t>
            </w:r>
          </w:p>
          <w:p w14:paraId="63A079B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项目职工</w:t>
            </w:r>
            <w:r>
              <w:rPr>
                <w:rFonts w:hint="eastAsia" w:eastAsia="宋体" w:cs="Times New Roman"/>
                <w:color w:val="auto"/>
                <w:sz w:val="24"/>
                <w:highlight w:val="none"/>
                <w:lang w:val="en-US" w:eastAsia="zh-CN"/>
              </w:rPr>
              <w:t>20</w:t>
            </w:r>
            <w:r>
              <w:rPr>
                <w:rFonts w:hint="default" w:ascii="Times New Roman" w:hAnsi="Times New Roman" w:eastAsia="Times New Roman" w:cs="Times New Roman"/>
                <w:color w:val="auto"/>
                <w:sz w:val="24"/>
                <w:highlight w:val="none"/>
              </w:rPr>
              <w:t>人，</w:t>
            </w:r>
            <w:r>
              <w:rPr>
                <w:rFonts w:hint="default" w:ascii="Times New Roman" w:hAnsi="Times New Roman" w:eastAsia="Times New Roman" w:cs="Times New Roman"/>
                <w:bCs/>
                <w:color w:val="auto"/>
                <w:spacing w:val="6"/>
                <w:sz w:val="24"/>
                <w:highlight w:val="none"/>
              </w:rPr>
              <w:t>年工作时间</w:t>
            </w:r>
            <w:r>
              <w:rPr>
                <w:rFonts w:hint="eastAsia" w:eastAsia="宋体" w:cs="Times New Roman"/>
                <w:bCs/>
                <w:color w:val="auto"/>
                <w:spacing w:val="6"/>
                <w:sz w:val="24"/>
                <w:highlight w:val="none"/>
                <w:lang w:val="en-US" w:eastAsia="zh-CN"/>
              </w:rPr>
              <w:t>3</w:t>
            </w:r>
            <w:r>
              <w:rPr>
                <w:rFonts w:hint="eastAsia" w:cs="Times New Roman"/>
                <w:bCs/>
                <w:color w:val="auto"/>
                <w:spacing w:val="6"/>
                <w:sz w:val="24"/>
                <w:highlight w:val="none"/>
                <w:lang w:val="en-US" w:eastAsia="zh-CN"/>
              </w:rPr>
              <w:t>00天</w:t>
            </w:r>
            <w:r>
              <w:rPr>
                <w:rFonts w:hint="default" w:ascii="Times New Roman" w:hAnsi="Times New Roman" w:eastAsia="Times New Roman" w:cs="Times New Roman"/>
                <w:bCs/>
                <w:color w:val="auto"/>
                <w:spacing w:val="6"/>
                <w:sz w:val="24"/>
                <w:highlight w:val="none"/>
              </w:rPr>
              <w:t>，生活垃圾产生量按0.5kg/（人·d）计，则生活垃圾产生量为</w:t>
            </w:r>
            <w:r>
              <w:rPr>
                <w:rFonts w:hint="eastAsia" w:eastAsia="宋体" w:cs="Times New Roman"/>
                <w:bCs/>
                <w:color w:val="auto"/>
                <w:spacing w:val="6"/>
                <w:sz w:val="24"/>
                <w:highlight w:val="none"/>
                <w:lang w:val="en-US" w:eastAsia="zh-CN"/>
              </w:rPr>
              <w:t>3</w:t>
            </w:r>
            <w:r>
              <w:rPr>
                <w:rFonts w:hint="default" w:ascii="Times New Roman" w:hAnsi="Times New Roman" w:eastAsia="Times New Roman" w:cs="Times New Roman"/>
                <w:bCs/>
                <w:color w:val="auto"/>
                <w:spacing w:val="6"/>
                <w:sz w:val="24"/>
                <w:highlight w:val="none"/>
              </w:rPr>
              <w:t>t/a。经垃圾箱</w:t>
            </w:r>
            <w:r>
              <w:rPr>
                <w:rFonts w:hint="default" w:ascii="Times New Roman" w:hAnsi="Times New Roman" w:eastAsia="Times New Roman" w:cs="Times New Roman"/>
                <w:color w:val="auto"/>
                <w:sz w:val="24"/>
                <w:highlight w:val="none"/>
              </w:rPr>
              <w:t>收集后，由环卫部门定期清运。</w:t>
            </w:r>
          </w:p>
          <w:p w14:paraId="186E75B6">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highlight w:val="none"/>
                <w:vertAlign w:val="baseline"/>
                <w:lang w:val="en-US" w:eastAsia="zh-CN"/>
              </w:rPr>
            </w:pPr>
            <w:r>
              <w:rPr>
                <w:rFonts w:hint="default" w:ascii="Times New Roman" w:hAnsi="Times New Roman" w:eastAsia="Times New Roman" w:cs="Times New Roman"/>
                <w:b w:val="0"/>
                <w:bCs w:val="0"/>
                <w:color w:val="auto"/>
                <w:kern w:val="0"/>
                <w:sz w:val="24"/>
                <w:highlight w:val="none"/>
                <w:lang w:val="en-US" w:eastAsia="zh-CN"/>
              </w:rPr>
              <w:t>废包装、边角料、不合格产品在1座</w:t>
            </w:r>
            <w:r>
              <w:rPr>
                <w:rFonts w:hint="eastAsia" w:eastAsia="Times New Roman" w:cs="Times New Roman"/>
                <w:b w:val="0"/>
                <w:bCs w:val="0"/>
                <w:color w:val="auto"/>
                <w:kern w:val="0"/>
                <w:sz w:val="24"/>
                <w:highlight w:val="none"/>
                <w:lang w:val="en-US" w:eastAsia="zh-CN"/>
              </w:rPr>
              <w:t>5</w:t>
            </w:r>
            <w:r>
              <w:rPr>
                <w:rFonts w:hint="default" w:ascii="Times New Roman" w:hAnsi="Times New Roman" w:eastAsia="Times New Roman" w:cs="Times New Roman"/>
                <w:b w:val="0"/>
                <w:bCs w:val="0"/>
                <w:color w:val="auto"/>
                <w:kern w:val="0"/>
                <w:sz w:val="24"/>
                <w:highlight w:val="none"/>
                <w:lang w:val="en-US" w:eastAsia="zh-CN"/>
              </w:rPr>
              <w:t>m</w:t>
            </w:r>
            <w:r>
              <w:rPr>
                <w:rFonts w:hint="default" w:ascii="Times New Roman" w:hAnsi="Times New Roman" w:eastAsia="Times New Roman" w:cs="Times New Roman"/>
                <w:b w:val="0"/>
                <w:bCs w:val="0"/>
                <w:color w:val="auto"/>
                <w:kern w:val="0"/>
                <w:sz w:val="24"/>
                <w:highlight w:val="none"/>
                <w:vertAlign w:val="superscript"/>
                <w:lang w:val="en-US" w:eastAsia="zh-CN"/>
              </w:rPr>
              <w:t>2</w:t>
            </w:r>
            <w:r>
              <w:rPr>
                <w:rFonts w:hint="default" w:ascii="Times New Roman" w:hAnsi="Times New Roman" w:eastAsia="Times New Roman" w:cs="Times New Roman"/>
                <w:b w:val="0"/>
                <w:bCs w:val="0"/>
                <w:color w:val="auto"/>
                <w:kern w:val="0"/>
                <w:sz w:val="24"/>
                <w:highlight w:val="none"/>
                <w:vertAlign w:val="baseline"/>
                <w:lang w:val="en-US" w:eastAsia="zh-CN"/>
              </w:rPr>
              <w:t>一般固废间分区暂存。</w:t>
            </w:r>
          </w:p>
          <w:p w14:paraId="0740EFA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color w:val="auto"/>
                <w:kern w:val="0"/>
                <w:sz w:val="24"/>
                <w:highlight w:val="none"/>
              </w:rPr>
            </w:pPr>
            <w:r>
              <w:rPr>
                <w:rFonts w:hint="default" w:ascii="Times New Roman" w:hAnsi="Times New Roman" w:eastAsia="Times New Roman" w:cs="Times New Roman"/>
                <w:b/>
                <w:color w:val="auto"/>
                <w:kern w:val="0"/>
                <w:sz w:val="24"/>
                <w:highlight w:val="none"/>
                <w:lang w:val="en-US" w:eastAsia="zh-CN"/>
              </w:rPr>
              <w:t>4.2</w:t>
            </w:r>
            <w:r>
              <w:rPr>
                <w:rFonts w:hint="default" w:ascii="Times New Roman" w:hAnsi="Times New Roman" w:eastAsia="Times New Roman" w:cs="Times New Roman"/>
                <w:b/>
                <w:color w:val="auto"/>
                <w:kern w:val="0"/>
                <w:sz w:val="24"/>
                <w:highlight w:val="none"/>
              </w:rPr>
              <w:t>危险废物</w:t>
            </w:r>
          </w:p>
          <w:p w14:paraId="45A76696">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
                <w:bCs/>
                <w:color w:val="auto"/>
                <w:kern w:val="0"/>
                <w:sz w:val="24"/>
                <w:highlight w:val="none"/>
                <w:shd w:val="clear" w:color="auto" w:fill="auto"/>
                <w:lang w:val="en-US" w:eastAsia="zh-CN"/>
              </w:rPr>
            </w:pPr>
            <w:r>
              <w:rPr>
                <w:rFonts w:hint="default" w:ascii="Times New Roman" w:hAnsi="Times New Roman" w:eastAsia="Times New Roman" w:cs="Times New Roman"/>
                <w:b/>
                <w:bCs/>
                <w:color w:val="auto"/>
                <w:kern w:val="0"/>
                <w:sz w:val="24"/>
                <w:highlight w:val="none"/>
                <w:shd w:val="clear" w:color="auto" w:fill="auto"/>
                <w:lang w:val="en-US" w:eastAsia="zh-CN"/>
              </w:rPr>
              <w:t>废润滑油</w:t>
            </w:r>
            <w:r>
              <w:rPr>
                <w:rFonts w:hint="eastAsia" w:eastAsia="Times New Roman" w:cs="Times New Roman"/>
                <w:b/>
                <w:bCs/>
                <w:color w:val="auto"/>
                <w:kern w:val="0"/>
                <w:sz w:val="24"/>
                <w:highlight w:val="none"/>
                <w:shd w:val="clear" w:color="auto" w:fill="auto"/>
                <w:lang w:val="en-US" w:eastAsia="zh-CN"/>
              </w:rPr>
              <w:t>桶</w:t>
            </w:r>
          </w:p>
          <w:p w14:paraId="065567BB">
            <w:pPr>
              <w:pStyle w:val="2"/>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leftChars="0" w:right="0" w:firstLine="504" w:firstLineChars="200"/>
              <w:textAlignment w:val="auto"/>
              <w:rPr>
                <w:rFonts w:hint="default" w:ascii="Times New Roman" w:hAnsi="Times New Roman" w:eastAsia="Times New Roman" w:cs="Times New Roman"/>
                <w:bCs/>
                <w:color w:val="auto"/>
                <w:spacing w:val="6"/>
                <w:sz w:val="24"/>
                <w:highlight w:val="none"/>
              </w:rPr>
            </w:pPr>
            <w:r>
              <w:rPr>
                <w:rFonts w:hint="default" w:ascii="Times New Roman" w:hAnsi="Times New Roman" w:eastAsia="Times New Roman" w:cs="Times New Roman"/>
                <w:b w:val="0"/>
                <w:bCs/>
                <w:color w:val="auto"/>
                <w:spacing w:val="6"/>
                <w:kern w:val="2"/>
                <w:sz w:val="24"/>
                <w:szCs w:val="21"/>
                <w:highlight w:val="none"/>
                <w:lang w:val="en-US" w:eastAsia="zh-CN" w:bidi="ar-SA"/>
              </w:rPr>
              <w:t>润滑油用完之后桶中会有些许润滑油挂壁残留，</w:t>
            </w:r>
            <w:r>
              <w:rPr>
                <w:rFonts w:hint="eastAsia" w:ascii="Times New Roman" w:hAnsi="Times New Roman" w:eastAsia="Times New Roman" w:cs="Times New Roman"/>
                <w:b w:val="0"/>
                <w:bCs/>
                <w:color w:val="auto"/>
                <w:spacing w:val="6"/>
                <w:kern w:val="2"/>
                <w:sz w:val="24"/>
                <w:szCs w:val="21"/>
                <w:highlight w:val="none"/>
                <w:lang w:val="en-US" w:eastAsia="zh-CN" w:bidi="ar-SA"/>
              </w:rPr>
              <w:t>废物代码：900-274-08“使用工业齿轮油进行机械设备润滑过程中产生的废润滑油”</w:t>
            </w:r>
            <w:r>
              <w:rPr>
                <w:rFonts w:hint="default" w:ascii="Times New Roman" w:hAnsi="Times New Roman" w:eastAsia="Times New Roman" w:cs="Times New Roman"/>
                <w:b w:val="0"/>
                <w:bCs w:val="0"/>
                <w:color w:val="auto"/>
                <w:kern w:val="0"/>
                <w:sz w:val="24"/>
                <w:highlight w:val="none"/>
                <w:shd w:val="clear" w:color="auto" w:fill="auto"/>
                <w:lang w:val="en-US" w:eastAsia="zh-CN"/>
              </w:rPr>
              <w:t>由于残余量很小且没有泄</w:t>
            </w:r>
            <w:r>
              <w:rPr>
                <w:rFonts w:hint="eastAsia" w:eastAsia="Times New Roman" w:cs="Times New Roman"/>
                <w:b w:val="0"/>
                <w:bCs w:val="0"/>
                <w:color w:val="auto"/>
                <w:kern w:val="0"/>
                <w:sz w:val="24"/>
                <w:highlight w:val="none"/>
                <w:shd w:val="clear" w:color="auto" w:fill="auto"/>
                <w:lang w:val="en-US" w:eastAsia="zh-CN"/>
              </w:rPr>
              <w:t>漏</w:t>
            </w:r>
            <w:r>
              <w:rPr>
                <w:rFonts w:hint="default" w:ascii="Times New Roman" w:hAnsi="Times New Roman" w:eastAsia="Times New Roman" w:cs="Times New Roman"/>
                <w:b w:val="0"/>
                <w:bCs w:val="0"/>
                <w:color w:val="auto"/>
                <w:kern w:val="0"/>
                <w:sz w:val="24"/>
                <w:highlight w:val="none"/>
                <w:shd w:val="clear" w:color="auto" w:fill="auto"/>
                <w:lang w:val="en-US" w:eastAsia="zh-CN"/>
              </w:rPr>
              <w:t>风险，故不再分析。润滑油单桶10kg，项目用量约0.0</w:t>
            </w:r>
            <w:r>
              <w:rPr>
                <w:rFonts w:hint="eastAsia" w:eastAsia="Times New Roman" w:cs="Times New Roman"/>
                <w:b w:val="0"/>
                <w:bCs w:val="0"/>
                <w:color w:val="auto"/>
                <w:kern w:val="0"/>
                <w:sz w:val="24"/>
                <w:highlight w:val="none"/>
                <w:shd w:val="clear" w:color="auto" w:fill="auto"/>
                <w:lang w:val="en-US" w:eastAsia="zh-CN"/>
              </w:rPr>
              <w:t>2</w:t>
            </w:r>
            <w:r>
              <w:rPr>
                <w:rFonts w:hint="default" w:ascii="Times New Roman" w:hAnsi="Times New Roman" w:eastAsia="Times New Roman" w:cs="Times New Roman"/>
                <w:b w:val="0"/>
                <w:bCs w:val="0"/>
                <w:color w:val="auto"/>
                <w:kern w:val="0"/>
                <w:sz w:val="24"/>
                <w:highlight w:val="none"/>
                <w:shd w:val="clear" w:color="auto" w:fill="auto"/>
                <w:lang w:val="en-US" w:eastAsia="zh-CN"/>
              </w:rPr>
              <w:t>t/a，约</w:t>
            </w:r>
            <w:r>
              <w:rPr>
                <w:rFonts w:hint="eastAsia" w:eastAsia="Times New Roman" w:cs="Times New Roman"/>
                <w:b w:val="0"/>
                <w:bCs w:val="0"/>
                <w:color w:val="auto"/>
                <w:kern w:val="0"/>
                <w:sz w:val="24"/>
                <w:highlight w:val="none"/>
                <w:shd w:val="clear" w:color="auto" w:fill="auto"/>
                <w:lang w:val="en-US" w:eastAsia="zh-CN"/>
              </w:rPr>
              <w:t>2</w:t>
            </w:r>
            <w:r>
              <w:rPr>
                <w:rFonts w:hint="default" w:ascii="Times New Roman" w:hAnsi="Times New Roman" w:eastAsia="Times New Roman" w:cs="Times New Roman"/>
                <w:b w:val="0"/>
                <w:bCs w:val="0"/>
                <w:color w:val="auto"/>
                <w:kern w:val="0"/>
                <w:sz w:val="24"/>
                <w:highlight w:val="none"/>
                <w:shd w:val="clear" w:color="auto" w:fill="auto"/>
                <w:lang w:val="en-US" w:eastAsia="zh-CN"/>
              </w:rPr>
              <w:t>桶。润滑油单个空桶重量约1kg，则废润滑油桶产生量0.00</w:t>
            </w:r>
            <w:r>
              <w:rPr>
                <w:rFonts w:hint="eastAsia" w:eastAsia="Times New Roman" w:cs="Times New Roman"/>
                <w:b w:val="0"/>
                <w:bCs w:val="0"/>
                <w:color w:val="auto"/>
                <w:kern w:val="0"/>
                <w:sz w:val="24"/>
                <w:highlight w:val="none"/>
                <w:shd w:val="clear" w:color="auto" w:fill="auto"/>
                <w:lang w:val="en-US" w:eastAsia="zh-CN"/>
              </w:rPr>
              <w:t>2</w:t>
            </w:r>
            <w:r>
              <w:rPr>
                <w:rFonts w:hint="default" w:ascii="Times New Roman" w:hAnsi="Times New Roman" w:eastAsia="Times New Roman" w:cs="Times New Roman"/>
                <w:b w:val="0"/>
                <w:bCs w:val="0"/>
                <w:color w:val="auto"/>
                <w:kern w:val="0"/>
                <w:sz w:val="24"/>
                <w:highlight w:val="none"/>
                <w:shd w:val="clear" w:color="auto" w:fill="auto"/>
                <w:lang w:val="en-US" w:eastAsia="zh-CN"/>
              </w:rPr>
              <w:t>t/a。</w:t>
            </w:r>
            <w:r>
              <w:rPr>
                <w:rFonts w:hint="default" w:ascii="Times New Roman" w:hAnsi="Times New Roman" w:eastAsia="Times New Roman" w:cs="Times New Roman"/>
                <w:b w:val="0"/>
                <w:bCs w:val="0"/>
                <w:color w:val="auto"/>
                <w:sz w:val="24"/>
                <w:szCs w:val="24"/>
                <w:highlight w:val="none"/>
                <w:lang w:val="en-US" w:eastAsia="zh-CN"/>
              </w:rPr>
              <w:t>根据《国家危险废物名录》（2025年版），</w:t>
            </w:r>
            <w:r>
              <w:rPr>
                <w:rFonts w:hint="default" w:ascii="Times New Roman" w:hAnsi="Times New Roman" w:eastAsia="Times New Roman" w:cs="Times New Roman"/>
                <w:b w:val="0"/>
                <w:bCs w:val="0"/>
                <w:color w:val="auto"/>
                <w:kern w:val="0"/>
                <w:sz w:val="24"/>
                <w:highlight w:val="none"/>
                <w:shd w:val="clear" w:color="auto" w:fill="auto"/>
                <w:lang w:val="en-US" w:eastAsia="zh-CN"/>
              </w:rPr>
              <w:t>废润滑油桶</w:t>
            </w:r>
            <w:r>
              <w:rPr>
                <w:rFonts w:hint="default" w:ascii="Times New Roman" w:hAnsi="Times New Roman" w:eastAsia="Times New Roman" w:cs="Times New Roman"/>
                <w:b w:val="0"/>
                <w:bCs w:val="0"/>
                <w:color w:val="auto"/>
                <w:sz w:val="24"/>
                <w:szCs w:val="24"/>
                <w:highlight w:val="none"/>
                <w:lang w:val="en-US" w:eastAsia="zh-CN"/>
              </w:rPr>
              <w:t>属于HW08废矿物油与含矿物油废物</w:t>
            </w:r>
            <w:r>
              <w:rPr>
                <w:rFonts w:hint="default" w:ascii="Times New Roman" w:hAnsi="Times New Roman" w:eastAsia="Times New Roman" w:cs="Times New Roman"/>
                <w:b w:val="0"/>
                <w:bCs w:val="0"/>
                <w:color w:val="auto"/>
                <w:spacing w:val="6"/>
                <w:sz w:val="24"/>
                <w:highlight w:val="none"/>
                <w:lang w:val="en-US" w:eastAsia="zh-CN"/>
              </w:rPr>
              <w:t>，废物代码：900-249-08“其他生产、销售、使用过程中产生的废矿物油及沾染矿物油的废弃包装物”</w:t>
            </w:r>
            <w:r>
              <w:rPr>
                <w:rFonts w:hint="default" w:ascii="Times New Roman" w:hAnsi="Times New Roman" w:eastAsia="Times New Roman" w:cs="Times New Roman"/>
                <w:b w:val="0"/>
                <w:bCs w:val="0"/>
                <w:color w:val="auto"/>
                <w:spacing w:val="6"/>
                <w:sz w:val="24"/>
                <w:highlight w:val="none"/>
              </w:rPr>
              <w:t>。</w:t>
            </w:r>
          </w:p>
          <w:p w14:paraId="7F814FA7">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
                <w:bCs/>
                <w:color w:val="auto"/>
                <w:kern w:val="0"/>
                <w:sz w:val="24"/>
                <w:highlight w:val="none"/>
                <w:shd w:val="clear" w:color="auto" w:fill="auto"/>
                <w:lang w:val="en-US" w:eastAsia="zh-CN"/>
              </w:rPr>
            </w:pPr>
            <w:r>
              <w:rPr>
                <w:rFonts w:hint="default" w:ascii="Times New Roman" w:hAnsi="Times New Roman" w:eastAsia="Times New Roman" w:cs="Times New Roman"/>
                <w:b/>
                <w:bCs/>
                <w:color w:val="auto"/>
                <w:kern w:val="0"/>
                <w:sz w:val="24"/>
                <w:highlight w:val="none"/>
                <w:shd w:val="clear" w:color="auto" w:fill="auto"/>
                <w:lang w:val="en-US" w:eastAsia="zh-CN"/>
              </w:rPr>
              <w:t>废活性炭</w:t>
            </w:r>
            <w:r>
              <w:rPr>
                <w:rFonts w:hint="eastAsia" w:eastAsia="Times New Roman" w:cs="Times New Roman"/>
                <w:b/>
                <w:bCs/>
                <w:color w:val="auto"/>
                <w:kern w:val="0"/>
                <w:sz w:val="24"/>
                <w:highlight w:val="none"/>
                <w:shd w:val="clear" w:color="auto" w:fill="auto"/>
                <w:lang w:val="en-US" w:eastAsia="zh-CN"/>
              </w:rPr>
              <w:t>：</w:t>
            </w:r>
          </w:p>
          <w:p w14:paraId="3758243F">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宋体" w:cs="Times New Roman"/>
                <w:bCs/>
                <w:color w:val="auto"/>
                <w:sz w:val="24"/>
                <w:szCs w:val="24"/>
                <w:highlight w:val="none"/>
                <w:vertAlign w:val="baseline"/>
                <w:lang w:val="en-US" w:eastAsia="zh-CN"/>
              </w:rPr>
            </w:pPr>
            <w:r>
              <w:rPr>
                <w:rFonts w:hint="eastAsia" w:eastAsia="宋体" w:cs="Times New Roman"/>
                <w:bCs/>
                <w:color w:val="auto"/>
                <w:sz w:val="24"/>
                <w:szCs w:val="24"/>
                <w:highlight w:val="none"/>
                <w:lang w:eastAsia="zh-CN"/>
              </w:rPr>
              <w:t>参照</w:t>
            </w:r>
            <w:r>
              <w:rPr>
                <w:rFonts w:hint="default" w:ascii="Times New Roman" w:hAnsi="Times New Roman" w:eastAsia="Times New Roman" w:cs="Times New Roman"/>
                <w:bCs/>
                <w:color w:val="auto"/>
                <w:sz w:val="24"/>
                <w:szCs w:val="24"/>
                <w:highlight w:val="none"/>
              </w:rPr>
              <w:t>《河南省重污染天气</w:t>
            </w:r>
            <w:r>
              <w:rPr>
                <w:rFonts w:hint="default" w:ascii="Times New Roman" w:hAnsi="Times New Roman" w:eastAsia="Times New Roman" w:cs="Times New Roman"/>
                <w:bCs/>
                <w:color w:val="auto"/>
                <w:sz w:val="24"/>
                <w:szCs w:val="24"/>
                <w:highlight w:val="none"/>
                <w:lang w:val="en-US" w:eastAsia="zh-CN"/>
              </w:rPr>
              <w:t>重点</w:t>
            </w:r>
            <w:r>
              <w:rPr>
                <w:rFonts w:hint="default" w:ascii="Times New Roman" w:hAnsi="Times New Roman" w:eastAsia="Times New Roman" w:cs="Times New Roman"/>
                <w:bCs/>
                <w:color w:val="auto"/>
                <w:sz w:val="24"/>
                <w:szCs w:val="24"/>
                <w:highlight w:val="none"/>
              </w:rPr>
              <w:t>行业应急减排措施制定技术指南（202</w:t>
            </w:r>
            <w:r>
              <w:rPr>
                <w:rFonts w:hint="default" w:ascii="Times New Roman" w:hAnsi="Times New Roman" w:eastAsia="Times New Roman" w:cs="Times New Roman"/>
                <w:bCs/>
                <w:color w:val="auto"/>
                <w:sz w:val="24"/>
                <w:szCs w:val="24"/>
                <w:highlight w:val="none"/>
                <w:lang w:val="en-US" w:eastAsia="zh-CN"/>
              </w:rPr>
              <w:t>4</w:t>
            </w:r>
            <w:r>
              <w:rPr>
                <w:rFonts w:hint="default" w:ascii="Times New Roman" w:hAnsi="Times New Roman" w:eastAsia="Times New Roman" w:cs="Times New Roman"/>
                <w:bCs/>
                <w:color w:val="auto"/>
                <w:sz w:val="24"/>
                <w:szCs w:val="24"/>
                <w:highlight w:val="none"/>
              </w:rPr>
              <w:t>年版）》</w:t>
            </w:r>
            <w:r>
              <w:rPr>
                <w:rFonts w:hint="default" w:ascii="Times New Roman" w:hAnsi="Times New Roman" w:eastAsia="Times New Roman" w:cs="Times New Roman"/>
                <w:bCs/>
                <w:color w:val="auto"/>
                <w:sz w:val="24"/>
                <w:szCs w:val="24"/>
                <w:highlight w:val="none"/>
                <w:lang w:val="en-US" w:eastAsia="zh-CN"/>
              </w:rPr>
              <w:t>中塑料制品行业企业A级指标</w:t>
            </w:r>
            <w:r>
              <w:rPr>
                <w:rFonts w:hint="default" w:ascii="Times New Roman" w:hAnsi="Times New Roman" w:eastAsia="Times New Roman" w:cs="Times New Roman"/>
                <w:bCs/>
                <w:color w:val="auto"/>
                <w:sz w:val="24"/>
                <w:szCs w:val="24"/>
                <w:highlight w:val="none"/>
              </w:rPr>
              <w:t>要求</w:t>
            </w:r>
            <w:r>
              <w:rPr>
                <w:rFonts w:hint="eastAsia" w:eastAsia="宋体" w:cs="Times New Roman"/>
                <w:bCs/>
                <w:color w:val="auto"/>
                <w:sz w:val="24"/>
                <w:szCs w:val="24"/>
                <w:highlight w:val="none"/>
                <w:lang w:eastAsia="zh-CN"/>
              </w:rPr>
              <w:t>，活性炭填充量与每小时处理废气量体积之比满足</w:t>
            </w:r>
            <w:r>
              <w:rPr>
                <w:rFonts w:hint="eastAsia" w:eastAsia="宋体" w:cs="Times New Roman"/>
                <w:bCs/>
                <w:color w:val="auto"/>
                <w:sz w:val="24"/>
                <w:szCs w:val="24"/>
                <w:highlight w:val="none"/>
                <w:lang w:val="en-US" w:eastAsia="zh-CN"/>
              </w:rPr>
              <w:t>1:7000的要求，本项目风量为</w:t>
            </w:r>
            <w:r>
              <w:rPr>
                <w:rFonts w:hint="eastAsia" w:cs="Times New Roman"/>
                <w:bCs/>
                <w:color w:val="auto"/>
                <w:sz w:val="24"/>
                <w:szCs w:val="24"/>
                <w:highlight w:val="none"/>
                <w:lang w:val="en-US" w:eastAsia="zh-CN"/>
              </w:rPr>
              <w:t>19000</w:t>
            </w:r>
            <w:r>
              <w:rPr>
                <w:rFonts w:hint="eastAsia" w:eastAsia="宋体" w:cs="Times New Roman"/>
                <w:bCs/>
                <w:color w:val="auto"/>
                <w:sz w:val="24"/>
                <w:szCs w:val="24"/>
                <w:highlight w:val="none"/>
                <w:lang w:val="en-US" w:eastAsia="zh-CN"/>
              </w:rPr>
              <w:t>m</w:t>
            </w:r>
            <w:r>
              <w:rPr>
                <w:rFonts w:hint="eastAsia" w:eastAsia="宋体" w:cs="Times New Roman"/>
                <w:bCs/>
                <w:color w:val="auto"/>
                <w:sz w:val="24"/>
                <w:szCs w:val="24"/>
                <w:highlight w:val="none"/>
                <w:vertAlign w:val="superscript"/>
                <w:lang w:val="en-US" w:eastAsia="zh-CN"/>
              </w:rPr>
              <w:t>3</w:t>
            </w:r>
            <w:r>
              <w:rPr>
                <w:rFonts w:hint="eastAsia" w:eastAsia="宋体" w:cs="Times New Roman"/>
                <w:bCs/>
                <w:color w:val="auto"/>
                <w:sz w:val="24"/>
                <w:szCs w:val="24"/>
                <w:highlight w:val="none"/>
                <w:lang w:val="en-US" w:eastAsia="zh-CN"/>
              </w:rPr>
              <w:t>/</w:t>
            </w:r>
            <w:r>
              <w:rPr>
                <w:rFonts w:hint="eastAsia" w:cs="Times New Roman"/>
                <w:bCs/>
                <w:color w:val="auto"/>
                <w:sz w:val="24"/>
                <w:szCs w:val="24"/>
                <w:highlight w:val="none"/>
                <w:lang w:val="en-US" w:eastAsia="zh-CN"/>
              </w:rPr>
              <w:t>h</w:t>
            </w:r>
            <w:r>
              <w:rPr>
                <w:rFonts w:hint="eastAsia" w:eastAsia="宋体" w:cs="Times New Roman"/>
                <w:bCs/>
                <w:color w:val="auto"/>
                <w:sz w:val="24"/>
                <w:szCs w:val="24"/>
                <w:highlight w:val="none"/>
                <w:lang w:val="en-US" w:eastAsia="zh-CN"/>
              </w:rPr>
              <w:t>，则</w:t>
            </w:r>
            <w:r>
              <w:rPr>
                <w:rFonts w:hint="eastAsia" w:cs="Times New Roman"/>
                <w:bCs/>
                <w:color w:val="auto"/>
                <w:sz w:val="24"/>
                <w:szCs w:val="24"/>
                <w:highlight w:val="none"/>
                <w:lang w:val="en-US" w:eastAsia="zh-CN"/>
              </w:rPr>
              <w:t>活性炭填充量</w:t>
            </w:r>
            <w:r>
              <w:rPr>
                <w:rFonts w:hint="eastAsia" w:eastAsia="宋体" w:cs="Times New Roman"/>
                <w:bCs/>
                <w:color w:val="auto"/>
                <w:sz w:val="24"/>
                <w:szCs w:val="24"/>
                <w:highlight w:val="none"/>
                <w:lang w:val="en-US" w:eastAsia="zh-CN"/>
              </w:rPr>
              <w:t>最少为</w:t>
            </w:r>
            <w:r>
              <w:rPr>
                <w:rFonts w:hint="eastAsia" w:cs="Times New Roman"/>
                <w:bCs/>
                <w:color w:val="auto"/>
                <w:sz w:val="24"/>
                <w:szCs w:val="24"/>
                <w:highlight w:val="none"/>
                <w:lang w:val="en-US" w:eastAsia="zh-CN"/>
              </w:rPr>
              <w:t>2.7142</w:t>
            </w:r>
            <w:r>
              <w:rPr>
                <w:rFonts w:hint="eastAsia" w:eastAsia="宋体" w:cs="Times New Roman"/>
                <w:bCs/>
                <w:color w:val="auto"/>
                <w:sz w:val="24"/>
                <w:szCs w:val="24"/>
                <w:highlight w:val="none"/>
                <w:lang w:val="en-US" w:eastAsia="zh-CN"/>
              </w:rPr>
              <w:t>m</w:t>
            </w:r>
            <w:r>
              <w:rPr>
                <w:rFonts w:hint="eastAsia" w:eastAsia="宋体" w:cs="Times New Roman"/>
                <w:bCs/>
                <w:color w:val="auto"/>
                <w:sz w:val="24"/>
                <w:szCs w:val="24"/>
                <w:highlight w:val="none"/>
                <w:vertAlign w:val="superscript"/>
                <w:lang w:val="en-US" w:eastAsia="zh-CN"/>
              </w:rPr>
              <w:t>3</w:t>
            </w:r>
            <w:r>
              <w:rPr>
                <w:rFonts w:hint="eastAsia" w:eastAsia="宋体" w:cs="Times New Roman"/>
                <w:bCs/>
                <w:color w:val="auto"/>
                <w:sz w:val="24"/>
                <w:szCs w:val="24"/>
                <w:highlight w:val="none"/>
                <w:vertAlign w:val="baseline"/>
                <w:lang w:val="en-US" w:eastAsia="zh-CN"/>
              </w:rPr>
              <w:t>。</w:t>
            </w:r>
            <w:r>
              <w:rPr>
                <w:rFonts w:hint="eastAsia" w:cs="Times New Roman"/>
                <w:bCs/>
                <w:color w:val="auto"/>
                <w:sz w:val="24"/>
                <w:szCs w:val="24"/>
                <w:highlight w:val="none"/>
                <w:vertAlign w:val="baseline"/>
                <w:lang w:val="en-US" w:eastAsia="zh-CN"/>
              </w:rPr>
              <w:t>本项目活性炭为蜂窝活性炭，蜂窝活性炭的密度一般在0.35-0.6t/</w:t>
            </w:r>
            <w:r>
              <w:rPr>
                <w:rFonts w:hint="eastAsia" w:eastAsia="宋体" w:cs="Times New Roman"/>
                <w:bCs/>
                <w:color w:val="auto"/>
                <w:sz w:val="24"/>
                <w:szCs w:val="24"/>
                <w:highlight w:val="none"/>
                <w:lang w:val="en-US" w:eastAsia="zh-CN"/>
              </w:rPr>
              <w:t>m</w:t>
            </w:r>
            <w:r>
              <w:rPr>
                <w:rFonts w:hint="eastAsia" w:eastAsia="宋体" w:cs="Times New Roman"/>
                <w:bCs/>
                <w:color w:val="auto"/>
                <w:sz w:val="24"/>
                <w:szCs w:val="24"/>
                <w:highlight w:val="none"/>
                <w:vertAlign w:val="superscript"/>
                <w:lang w:val="en-US" w:eastAsia="zh-CN"/>
              </w:rPr>
              <w:t>3</w:t>
            </w:r>
            <w:r>
              <w:rPr>
                <w:rFonts w:hint="eastAsia" w:cs="Times New Roman"/>
                <w:bCs/>
                <w:color w:val="auto"/>
                <w:sz w:val="24"/>
                <w:szCs w:val="24"/>
                <w:highlight w:val="none"/>
                <w:vertAlign w:val="baseline"/>
                <w:lang w:val="en-US" w:eastAsia="zh-CN"/>
              </w:rPr>
              <w:t>之间，本次取0.5t/</w:t>
            </w:r>
            <w:r>
              <w:rPr>
                <w:rFonts w:hint="eastAsia" w:eastAsia="宋体" w:cs="Times New Roman"/>
                <w:bCs/>
                <w:color w:val="auto"/>
                <w:sz w:val="24"/>
                <w:szCs w:val="24"/>
                <w:highlight w:val="none"/>
                <w:lang w:val="en-US" w:eastAsia="zh-CN"/>
              </w:rPr>
              <w:t>m</w:t>
            </w:r>
            <w:r>
              <w:rPr>
                <w:rFonts w:hint="eastAsia" w:eastAsia="宋体" w:cs="Times New Roman"/>
                <w:bCs/>
                <w:color w:val="auto"/>
                <w:sz w:val="24"/>
                <w:szCs w:val="24"/>
                <w:highlight w:val="none"/>
                <w:vertAlign w:val="superscript"/>
                <w:lang w:val="en-US" w:eastAsia="zh-CN"/>
              </w:rPr>
              <w:t>3</w:t>
            </w:r>
            <w:r>
              <w:rPr>
                <w:rFonts w:hint="eastAsia" w:cs="Times New Roman"/>
                <w:bCs/>
                <w:color w:val="auto"/>
                <w:sz w:val="24"/>
                <w:szCs w:val="24"/>
                <w:highlight w:val="none"/>
                <w:vertAlign w:val="baseline"/>
                <w:lang w:val="en-US" w:eastAsia="zh-CN"/>
              </w:rPr>
              <w:t>，则活性炭的填充量为1.3571t。</w:t>
            </w:r>
          </w:p>
          <w:p w14:paraId="6DB019CB">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eastAsia" w:eastAsia="宋体" w:cs="Times New Roman"/>
                <w:b w:val="0"/>
                <w:bCs w:val="0"/>
                <w:color w:val="auto"/>
                <w:sz w:val="24"/>
                <w:szCs w:val="24"/>
                <w:highlight w:val="none"/>
                <w:shd w:val="clear" w:color="auto" w:fill="auto"/>
                <w:lang w:val="en-US" w:eastAsia="zh-CN"/>
              </w:rPr>
            </w:pPr>
            <w:r>
              <w:rPr>
                <w:rFonts w:hint="eastAsia" w:cs="Times New Roman"/>
                <w:b w:val="0"/>
                <w:bCs w:val="0"/>
                <w:color w:val="auto"/>
                <w:sz w:val="24"/>
                <w:szCs w:val="24"/>
                <w:highlight w:val="none"/>
                <w:shd w:val="clear" w:color="auto" w:fill="auto"/>
                <w:lang w:val="en-US" w:eastAsia="zh-CN"/>
              </w:rPr>
              <w:t>再生周期：</w:t>
            </w:r>
          </w:p>
          <w:p w14:paraId="4E70CE7E">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cs="Times New Roman"/>
                <w:color w:val="auto"/>
                <w:sz w:val="24"/>
                <w:szCs w:val="24"/>
                <w:highlight w:val="none"/>
                <w:shd w:val="clear" w:color="auto" w:fill="auto"/>
                <w:lang w:eastAsia="zh-CN"/>
              </w:rPr>
            </w:pPr>
            <w:r>
              <w:rPr>
                <w:rFonts w:hint="eastAsia" w:eastAsia="宋体" w:cs="Times New Roman"/>
                <w:color w:val="auto"/>
                <w:sz w:val="24"/>
                <w:szCs w:val="24"/>
                <w:highlight w:val="none"/>
                <w:shd w:val="clear" w:color="auto" w:fill="auto"/>
                <w:lang w:val="en-US" w:eastAsia="zh-CN"/>
              </w:rPr>
              <w:t>根据安阳市生态环境局《关于加快低效挥发性有机物治理设施淘汰整治的通知》</w:t>
            </w:r>
            <w:r>
              <w:rPr>
                <w:rFonts w:hint="eastAsia" w:cs="Times New Roman"/>
                <w:color w:val="auto"/>
                <w:sz w:val="24"/>
                <w:szCs w:val="24"/>
                <w:highlight w:val="none"/>
                <w:shd w:val="clear" w:color="auto" w:fill="auto"/>
                <w:lang w:val="en-US" w:eastAsia="zh-CN"/>
              </w:rPr>
              <w:t>附件2中</w:t>
            </w:r>
            <w:r>
              <w:rPr>
                <w:rFonts w:hint="eastAsia" w:eastAsia="宋体" w:cs="Times New Roman"/>
                <w:color w:val="auto"/>
                <w:sz w:val="24"/>
                <w:szCs w:val="24"/>
                <w:highlight w:val="none"/>
                <w:shd w:val="clear" w:color="auto" w:fill="auto"/>
                <w:lang w:val="en-US" w:eastAsia="zh-CN"/>
              </w:rPr>
              <w:t>废气收集参数和最少活性炭装填量参考表</w:t>
            </w:r>
            <w:r>
              <w:rPr>
                <w:rFonts w:hint="eastAsia" w:cs="Times New Roman"/>
                <w:color w:val="auto"/>
                <w:sz w:val="24"/>
                <w:szCs w:val="24"/>
                <w:highlight w:val="none"/>
                <w:shd w:val="clear" w:color="auto" w:fill="auto"/>
                <w:lang w:val="en-US" w:eastAsia="zh-CN"/>
              </w:rPr>
              <w:t>，</w:t>
            </w:r>
            <w:r>
              <w:rPr>
                <w:rFonts w:hint="eastAsia" w:eastAsia="宋体" w:cs="Times New Roman"/>
                <w:color w:val="auto"/>
                <w:sz w:val="24"/>
                <w:szCs w:val="24"/>
                <w:highlight w:val="none"/>
                <w:shd w:val="clear" w:color="auto" w:fill="auto"/>
                <w:lang w:val="en-US" w:eastAsia="zh-CN"/>
              </w:rPr>
              <w:t>本项目活性炭吸附、脱附+催化燃烧装置风量为</w:t>
            </w:r>
            <w:r>
              <w:rPr>
                <w:rFonts w:hint="eastAsia" w:cs="Times New Roman"/>
                <w:color w:val="auto"/>
                <w:sz w:val="24"/>
                <w:szCs w:val="24"/>
                <w:highlight w:val="none"/>
                <w:shd w:val="clear" w:color="auto" w:fill="auto"/>
                <w:lang w:val="en-US" w:eastAsia="zh-CN"/>
              </w:rPr>
              <w:t>19000</w:t>
            </w:r>
            <w:r>
              <w:rPr>
                <w:rFonts w:hint="eastAsia" w:eastAsia="宋体" w:cs="Times New Roman"/>
                <w:color w:val="auto"/>
                <w:sz w:val="24"/>
                <w:szCs w:val="24"/>
                <w:highlight w:val="none"/>
                <w:shd w:val="clear" w:color="auto" w:fill="auto"/>
                <w:lang w:val="en-US" w:eastAsia="zh-CN"/>
              </w:rPr>
              <w:t>m</w:t>
            </w:r>
            <w:r>
              <w:rPr>
                <w:rFonts w:hint="eastAsia" w:eastAsia="宋体" w:cs="Times New Roman"/>
                <w:color w:val="auto"/>
                <w:sz w:val="24"/>
                <w:szCs w:val="24"/>
                <w:highlight w:val="none"/>
                <w:shd w:val="clear" w:color="auto" w:fill="auto"/>
                <w:vertAlign w:val="superscript"/>
                <w:lang w:val="en-US" w:eastAsia="zh-CN"/>
              </w:rPr>
              <w:t>3</w:t>
            </w:r>
            <w:r>
              <w:rPr>
                <w:rFonts w:hint="eastAsia" w:eastAsia="宋体" w:cs="Times New Roman"/>
                <w:color w:val="auto"/>
                <w:sz w:val="24"/>
                <w:szCs w:val="24"/>
                <w:highlight w:val="none"/>
                <w:shd w:val="clear" w:color="auto" w:fill="auto"/>
                <w:lang w:val="en-US" w:eastAsia="zh-CN"/>
              </w:rPr>
              <w:t>/h</w:t>
            </w:r>
            <w:r>
              <w:rPr>
                <w:rFonts w:hint="eastAsia" w:cs="Times New Roman"/>
                <w:color w:val="auto"/>
                <w:sz w:val="24"/>
                <w:szCs w:val="24"/>
                <w:highlight w:val="none"/>
                <w:shd w:val="clear" w:color="auto" w:fill="auto"/>
                <w:lang w:val="en-US" w:eastAsia="zh-CN"/>
              </w:rPr>
              <w:t>，</w:t>
            </w:r>
            <w:r>
              <w:rPr>
                <w:rFonts w:hint="eastAsia" w:eastAsia="宋体" w:cs="Times New Roman"/>
                <w:color w:val="auto"/>
                <w:sz w:val="24"/>
                <w:szCs w:val="24"/>
                <w:highlight w:val="none"/>
                <w:shd w:val="clear" w:color="auto" w:fill="auto"/>
                <w:lang w:val="en-US" w:eastAsia="zh-CN"/>
              </w:rPr>
              <w:t>VOCs初始浓度为</w:t>
            </w:r>
            <w:r>
              <w:rPr>
                <w:rFonts w:hint="eastAsia" w:cs="Times New Roman"/>
                <w:color w:val="auto"/>
                <w:sz w:val="24"/>
                <w:szCs w:val="24"/>
                <w:highlight w:val="none"/>
                <w:shd w:val="clear" w:color="auto" w:fill="auto"/>
                <w:lang w:val="en-US" w:eastAsia="zh-CN"/>
              </w:rPr>
              <w:t>135.8</w:t>
            </w:r>
            <w:r>
              <w:rPr>
                <w:rFonts w:hint="eastAsia" w:eastAsia="宋体" w:cs="Times New Roman"/>
                <w:color w:val="auto"/>
                <w:sz w:val="24"/>
                <w:szCs w:val="24"/>
                <w:highlight w:val="none"/>
                <w:shd w:val="clear" w:color="auto" w:fill="auto"/>
                <w:lang w:val="en-US" w:eastAsia="zh-CN"/>
              </w:rPr>
              <w:t>mg/m</w:t>
            </w:r>
            <w:r>
              <w:rPr>
                <w:rFonts w:hint="eastAsia" w:eastAsia="宋体" w:cs="Times New Roman"/>
                <w:color w:val="auto"/>
                <w:sz w:val="24"/>
                <w:szCs w:val="24"/>
                <w:highlight w:val="none"/>
                <w:shd w:val="clear" w:color="auto" w:fill="auto"/>
                <w:vertAlign w:val="superscript"/>
                <w:lang w:val="en-US" w:eastAsia="zh-CN"/>
              </w:rPr>
              <w:t>3</w:t>
            </w:r>
            <w:r>
              <w:rPr>
                <w:rFonts w:hint="eastAsia" w:eastAsia="宋体" w:cs="Times New Roman"/>
                <w:color w:val="auto"/>
                <w:sz w:val="24"/>
                <w:szCs w:val="24"/>
                <w:highlight w:val="none"/>
                <w:shd w:val="clear" w:color="auto" w:fill="auto"/>
                <w:lang w:val="en-US" w:eastAsia="zh-CN"/>
              </w:rPr>
              <w:t>，</w:t>
            </w:r>
            <w:r>
              <w:rPr>
                <w:rFonts w:hint="eastAsia" w:cs="Times New Roman"/>
                <w:color w:val="auto"/>
                <w:sz w:val="24"/>
                <w:szCs w:val="24"/>
                <w:highlight w:val="none"/>
                <w:shd w:val="clear" w:color="auto" w:fill="auto"/>
                <w:lang w:val="en-US" w:eastAsia="zh-CN"/>
              </w:rPr>
              <w:t>排放浓度为8.1</w:t>
            </w:r>
            <w:r>
              <w:rPr>
                <w:rFonts w:hint="eastAsia" w:eastAsia="宋体" w:cs="Times New Roman"/>
                <w:color w:val="auto"/>
                <w:sz w:val="24"/>
                <w:szCs w:val="24"/>
                <w:highlight w:val="none"/>
                <w:shd w:val="clear" w:color="auto" w:fill="auto"/>
                <w:lang w:val="en-US" w:eastAsia="zh-CN"/>
              </w:rPr>
              <w:t>mg/m</w:t>
            </w:r>
            <w:r>
              <w:rPr>
                <w:rFonts w:hint="eastAsia" w:eastAsia="宋体" w:cs="Times New Roman"/>
                <w:color w:val="auto"/>
                <w:sz w:val="24"/>
                <w:szCs w:val="24"/>
                <w:highlight w:val="none"/>
                <w:shd w:val="clear" w:color="auto" w:fill="auto"/>
                <w:vertAlign w:val="superscript"/>
                <w:lang w:val="en-US" w:eastAsia="zh-CN"/>
              </w:rPr>
              <w:t>3</w:t>
            </w:r>
            <w:r>
              <w:rPr>
                <w:rFonts w:hint="eastAsia" w:eastAsia="宋体" w:cs="Times New Roman"/>
                <w:color w:val="auto"/>
                <w:sz w:val="24"/>
                <w:szCs w:val="24"/>
                <w:highlight w:val="none"/>
                <w:shd w:val="clear" w:color="auto" w:fill="auto"/>
                <w:lang w:val="en-US" w:eastAsia="zh-CN"/>
              </w:rPr>
              <w:t>，活性炭吸附装置活性炭装填量为</w:t>
            </w:r>
            <w:r>
              <w:rPr>
                <w:rFonts w:hint="eastAsia" w:cs="Times New Roman"/>
                <w:color w:val="auto"/>
                <w:sz w:val="24"/>
                <w:szCs w:val="24"/>
                <w:highlight w:val="none"/>
                <w:shd w:val="clear" w:color="auto" w:fill="auto"/>
                <w:lang w:val="en-US" w:eastAsia="zh-CN"/>
              </w:rPr>
              <w:t>1.3571t</w:t>
            </w:r>
            <w:r>
              <w:rPr>
                <w:rFonts w:hint="default" w:cs="Times New Roman"/>
                <w:color w:val="auto"/>
                <w:sz w:val="24"/>
                <w:szCs w:val="24"/>
                <w:highlight w:val="none"/>
                <w:shd w:val="clear" w:color="auto" w:fill="auto"/>
                <w:lang w:eastAsia="zh-CN"/>
              </w:rPr>
              <w:t>。</w:t>
            </w:r>
          </w:p>
          <w:p w14:paraId="6A624E6F">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根据安阳市生态环境局文件《安阳市生态环境局关于规范挥发性有机物活性炭吸附处理设施建设和运行管理的通知》（安环文〔2022〕130号），活性炭</w:t>
            </w:r>
            <w:r>
              <w:rPr>
                <w:rFonts w:hint="eastAsia" w:eastAsia="Times New Roman" w:cs="Times New Roman"/>
                <w:color w:val="auto"/>
                <w:sz w:val="24"/>
                <w:szCs w:val="24"/>
                <w:highlight w:val="none"/>
                <w:lang w:val="en-US" w:eastAsia="zh-CN"/>
              </w:rPr>
              <w:t>脱附</w:t>
            </w:r>
            <w:r>
              <w:rPr>
                <w:rFonts w:hint="default" w:ascii="Times New Roman" w:hAnsi="Times New Roman" w:eastAsia="Times New Roman" w:cs="Times New Roman"/>
                <w:color w:val="auto"/>
                <w:sz w:val="24"/>
                <w:szCs w:val="24"/>
                <w:highlight w:val="none"/>
                <w:lang w:val="en-US" w:eastAsia="zh-CN"/>
              </w:rPr>
              <w:t>周期计算如下：</w:t>
            </w:r>
          </w:p>
          <w:p w14:paraId="2A6A2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T=m×s÷（c×10</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-6</w:t>
            </w:r>
            <w:r>
              <w:rPr>
                <w:rFonts w:hint="default" w:ascii="Times New Roman" w:hAnsi="Times New Roman" w:eastAsia="宋体" w:cs="Times New Roman"/>
                <w:b w:val="0"/>
                <w:bCs w:val="0"/>
                <w:color w:val="auto"/>
                <w:sz w:val="24"/>
                <w:szCs w:val="24"/>
                <w:highlight w:val="none"/>
                <w:u w:val="none" w:color="auto"/>
                <w:lang w:val="en-US" w:eastAsia="zh-CN"/>
              </w:rPr>
              <w:t>×Q×t）</w:t>
            </w:r>
          </w:p>
          <w:p w14:paraId="538EB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式中：</w:t>
            </w:r>
          </w:p>
          <w:p w14:paraId="2C4D80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T—</w:t>
            </w:r>
            <w:r>
              <w:rPr>
                <w:rFonts w:hint="eastAsia" w:cs="Times New Roman"/>
                <w:b w:val="0"/>
                <w:bCs w:val="0"/>
                <w:color w:val="auto"/>
                <w:sz w:val="24"/>
                <w:szCs w:val="24"/>
                <w:highlight w:val="none"/>
                <w:u w:val="none" w:color="auto"/>
                <w:lang w:val="en-US" w:eastAsia="zh-CN"/>
              </w:rPr>
              <w:t>脱附</w:t>
            </w:r>
            <w:r>
              <w:rPr>
                <w:rFonts w:hint="default" w:ascii="Times New Roman" w:hAnsi="Times New Roman" w:eastAsia="宋体" w:cs="Times New Roman"/>
                <w:b w:val="0"/>
                <w:bCs w:val="0"/>
                <w:color w:val="auto"/>
                <w:sz w:val="24"/>
                <w:szCs w:val="24"/>
                <w:highlight w:val="none"/>
                <w:u w:val="none" w:color="auto"/>
                <w:lang w:val="en-US" w:eastAsia="zh-CN"/>
              </w:rPr>
              <w:t>周期，天；</w:t>
            </w:r>
          </w:p>
          <w:p w14:paraId="5EA9E6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m—活性炭的用量，kg，按</w:t>
            </w:r>
            <w:r>
              <w:rPr>
                <w:rFonts w:hint="eastAsia" w:cs="Times New Roman"/>
                <w:b w:val="0"/>
                <w:bCs w:val="0"/>
                <w:color w:val="auto"/>
                <w:sz w:val="24"/>
                <w:szCs w:val="24"/>
                <w:highlight w:val="none"/>
                <w:u w:val="none" w:color="auto"/>
                <w:lang w:val="en-US" w:eastAsia="zh-CN"/>
              </w:rPr>
              <w:t>1357.1kg</w:t>
            </w:r>
            <w:r>
              <w:rPr>
                <w:rFonts w:hint="default" w:ascii="Times New Roman" w:hAnsi="Times New Roman" w:eastAsia="宋体" w:cs="Times New Roman"/>
                <w:b w:val="0"/>
                <w:bCs w:val="0"/>
                <w:color w:val="auto"/>
                <w:sz w:val="24"/>
                <w:szCs w:val="24"/>
                <w:highlight w:val="none"/>
                <w:u w:val="none" w:color="auto"/>
                <w:lang w:val="en-US" w:eastAsia="zh-CN"/>
              </w:rPr>
              <w:t>计算；</w:t>
            </w:r>
          </w:p>
          <w:p w14:paraId="18CE1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s—动态吸附量，%；（一般取值15%）</w:t>
            </w:r>
          </w:p>
          <w:p w14:paraId="0C2DE3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c—活性炭削减的VOCs浓度，mg/m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，根据废气源强，活性炭吸附装置VOCs（以非甲烷总烃计）削减浓度为</w:t>
            </w:r>
            <w:bookmarkStart w:id="12" w:name="OLE_LINK45"/>
            <w:r>
              <w:rPr>
                <w:rFonts w:hint="eastAsia" w:cs="Times New Roman"/>
                <w:b w:val="0"/>
                <w:bCs w:val="0"/>
                <w:color w:val="auto"/>
                <w:sz w:val="24"/>
                <w:szCs w:val="24"/>
                <w:highlight w:val="none"/>
                <w:u w:val="none" w:color="auto"/>
                <w:lang w:val="en-US" w:eastAsia="zh-CN"/>
              </w:rPr>
              <w:t>129</w:t>
            </w:r>
            <w:r>
              <w:rPr>
                <w:rFonts w:hint="default" w:ascii="Times New Roman" w:hAnsi="Times New Roman" w:eastAsia="宋体" w:cs="Times New Roman"/>
                <w:b w:val="0"/>
                <w:bCs w:val="0"/>
                <w:color w:val="auto"/>
                <w:sz w:val="24"/>
                <w:szCs w:val="24"/>
                <w:highlight w:val="none"/>
                <w:u w:val="none" w:color="auto"/>
                <w:lang w:val="en-US" w:eastAsia="zh-CN"/>
              </w:rPr>
              <w:t>mg/m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bookmarkEnd w:id="12"/>
            <w:r>
              <w:rPr>
                <w:rFonts w:hint="eastAsia" w:ascii="Times New Roman" w:hAnsi="Times New Roman" w:eastAsia="宋体" w:cs="Times New Roman"/>
                <w:b w:val="0"/>
                <w:bCs w:val="0"/>
                <w:color w:val="auto"/>
                <w:sz w:val="24"/>
                <w:szCs w:val="24"/>
                <w:highlight w:val="none"/>
                <w:u w:val="none" w:color="auto"/>
                <w:lang w:val="en-US" w:eastAsia="zh-CN"/>
              </w:rPr>
              <w:t>；</w:t>
            </w:r>
          </w:p>
          <w:p w14:paraId="4797A3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Q—风量，单位m</w:t>
            </w:r>
            <w:r>
              <w:rPr>
                <w:rFonts w:hint="default" w:ascii="Times New Roman" w:hAnsi="Times New Roman" w:eastAsia="宋体" w:cs="Times New Roman"/>
                <w:b w:val="0"/>
                <w:bCs w:val="0"/>
                <w:color w:val="auto"/>
                <w:sz w:val="24"/>
                <w:szCs w:val="24"/>
                <w:highlight w:val="none"/>
                <w:u w:val="none" w:color="auto"/>
                <w:vertAlign w:val="superscript"/>
                <w:lang w:val="en-US" w:eastAsia="zh-CN"/>
              </w:rPr>
              <w:t>3</w:t>
            </w:r>
            <w:r>
              <w:rPr>
                <w:rFonts w:hint="default" w:ascii="Times New Roman" w:hAnsi="Times New Roman" w:eastAsia="宋体" w:cs="Times New Roman"/>
                <w:b w:val="0"/>
                <w:bCs w:val="0"/>
                <w:color w:val="auto"/>
                <w:sz w:val="24"/>
                <w:szCs w:val="24"/>
                <w:highlight w:val="none"/>
                <w:u w:val="none" w:color="auto"/>
                <w:lang w:val="en-US" w:eastAsia="zh-CN"/>
              </w:rPr>
              <w:t>/h；</w:t>
            </w:r>
          </w:p>
          <w:p w14:paraId="13463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t—运行时间，单位h/d，项目取值</w:t>
            </w:r>
            <w:r>
              <w:rPr>
                <w:rFonts w:hint="eastAsia" w:ascii="Times New Roman" w:hAnsi="Times New Roman" w:eastAsia="宋体" w:cs="Times New Roman"/>
                <w:b w:val="0"/>
                <w:bCs w:val="0"/>
                <w:color w:val="auto"/>
                <w:sz w:val="24"/>
                <w:szCs w:val="24"/>
                <w:highlight w:val="none"/>
                <w:u w:val="none" w:color="auto"/>
                <w:lang w:val="en-US" w:eastAsia="zh-CN"/>
              </w:rPr>
              <w:t>24</w:t>
            </w:r>
            <w:r>
              <w:rPr>
                <w:rFonts w:hint="default" w:ascii="Times New Roman" w:hAnsi="Times New Roman" w:eastAsia="宋体" w:cs="Times New Roman"/>
                <w:b w:val="0"/>
                <w:bCs w:val="0"/>
                <w:color w:val="auto"/>
                <w:sz w:val="24"/>
                <w:szCs w:val="24"/>
                <w:highlight w:val="none"/>
                <w:u w:val="none" w:color="auto"/>
                <w:lang w:val="en-US" w:eastAsia="zh-CN"/>
              </w:rPr>
              <w:t>h/d。</w:t>
            </w:r>
          </w:p>
          <w:p w14:paraId="4FDC0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经计算，活性炭吸附装置</w:t>
            </w:r>
            <w:r>
              <w:rPr>
                <w:rFonts w:hint="eastAsia" w:cs="Times New Roman"/>
                <w:b w:val="0"/>
                <w:bCs w:val="0"/>
                <w:color w:val="auto"/>
                <w:sz w:val="24"/>
                <w:szCs w:val="24"/>
                <w:highlight w:val="none"/>
                <w:u w:val="none" w:color="auto"/>
                <w:lang w:val="en-US" w:eastAsia="zh-CN"/>
              </w:rPr>
              <w:t>脱附</w:t>
            </w:r>
            <w:r>
              <w:rPr>
                <w:rFonts w:hint="default" w:ascii="Times New Roman" w:hAnsi="Times New Roman" w:eastAsia="宋体" w:cs="Times New Roman"/>
                <w:b w:val="0"/>
                <w:bCs w:val="0"/>
                <w:color w:val="auto"/>
                <w:sz w:val="24"/>
                <w:szCs w:val="24"/>
                <w:highlight w:val="none"/>
                <w:u w:val="none" w:color="auto"/>
                <w:lang w:val="en-US" w:eastAsia="zh-CN"/>
              </w:rPr>
              <w:t>周期约为</w:t>
            </w:r>
            <w:r>
              <w:rPr>
                <w:rFonts w:hint="eastAsia" w:cs="Times New Roman"/>
                <w:b w:val="0"/>
                <w:bCs w:val="0"/>
                <w:color w:val="auto"/>
                <w:sz w:val="24"/>
                <w:szCs w:val="24"/>
                <w:highlight w:val="none"/>
                <w:u w:val="none" w:color="auto"/>
                <w:lang w:val="en-US" w:eastAsia="zh-CN"/>
              </w:rPr>
              <w:t>3.5</w:t>
            </w:r>
            <w:r>
              <w:rPr>
                <w:rFonts w:hint="default" w:ascii="Times New Roman" w:hAnsi="Times New Roman" w:eastAsia="宋体" w:cs="Times New Roman"/>
                <w:b w:val="0"/>
                <w:bCs w:val="0"/>
                <w:color w:val="auto"/>
                <w:sz w:val="24"/>
                <w:szCs w:val="24"/>
                <w:highlight w:val="none"/>
                <w:u w:val="none" w:color="auto"/>
                <w:lang w:val="en-US" w:eastAsia="zh-CN"/>
              </w:rPr>
              <w:t>天，</w:t>
            </w:r>
            <w:r>
              <w:rPr>
                <w:rFonts w:hint="eastAsia" w:cs="Times New Roman"/>
                <w:b w:val="0"/>
                <w:bCs w:val="0"/>
                <w:color w:val="auto"/>
                <w:sz w:val="24"/>
                <w:szCs w:val="24"/>
                <w:highlight w:val="none"/>
                <w:u w:val="none" w:color="auto"/>
                <w:lang w:val="en-US" w:eastAsia="zh-CN"/>
              </w:rPr>
              <w:t>84</w:t>
            </w:r>
            <w:r>
              <w:rPr>
                <w:rFonts w:hint="default" w:ascii="Times New Roman" w:hAnsi="Times New Roman" w:eastAsia="宋体" w:cs="Times New Roman"/>
                <w:b w:val="0"/>
                <w:bCs w:val="0"/>
                <w:color w:val="auto"/>
                <w:sz w:val="24"/>
                <w:szCs w:val="24"/>
                <w:highlight w:val="none"/>
                <w:u w:val="none" w:color="auto"/>
                <w:lang w:val="en-US" w:eastAsia="zh-CN"/>
              </w:rPr>
              <w:t>h</w:t>
            </w:r>
            <w:r>
              <w:rPr>
                <w:rFonts w:hint="eastAsia" w:cs="Times New Roman"/>
                <w:b w:val="0"/>
                <w:bCs w:val="0"/>
                <w:color w:val="auto"/>
                <w:sz w:val="24"/>
                <w:szCs w:val="24"/>
                <w:highlight w:val="none"/>
                <w:u w:val="none" w:color="auto"/>
                <w:lang w:val="en-US" w:eastAsia="zh-CN"/>
              </w:rPr>
              <w:t>。</w:t>
            </w:r>
          </w:p>
          <w:p w14:paraId="590D7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更换周期</w:t>
            </w:r>
            <w:r>
              <w:rPr>
                <w:rFonts w:hint="eastAsia" w:cs="Times New Roman"/>
                <w:b w:val="0"/>
                <w:bCs w:val="0"/>
                <w:color w:val="auto"/>
                <w:sz w:val="24"/>
                <w:szCs w:val="24"/>
                <w:highlight w:val="none"/>
                <w:u w:val="none" w:color="auto"/>
                <w:lang w:val="en-US" w:eastAsia="zh-CN"/>
              </w:rPr>
              <w:t>：</w:t>
            </w:r>
          </w:p>
          <w:p w14:paraId="3A4AA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val="0"/>
                <w:bCs w:val="0"/>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参考《温州市生态环境局关于加强2022年度挥发性有机物活性炭吸附处理设施运行管理工作的通知》（温环发〔2022〕13号），“用于吸附脱附燃烧废气处理设施的活性炭使用寿命原则上不超过6个月”。本次项目活性炭按照半年更换一次。</w:t>
            </w:r>
            <w:r>
              <w:rPr>
                <w:rFonts w:hint="eastAsia" w:cs="Times New Roman"/>
                <w:b w:val="0"/>
                <w:bCs w:val="0"/>
                <w:color w:val="auto"/>
                <w:sz w:val="24"/>
                <w:szCs w:val="24"/>
                <w:highlight w:val="none"/>
                <w:u w:val="none" w:color="auto"/>
                <w:lang w:val="en-US" w:eastAsia="zh-CN"/>
              </w:rPr>
              <w:t>活性炭吸附的</w:t>
            </w:r>
            <w:r>
              <w:rPr>
                <w:rFonts w:hint="default" w:ascii="Times New Roman" w:hAnsi="Times New Roman" w:eastAsia="Times New Roman" w:cs="Times New Roman"/>
                <w:bCs/>
                <w:color w:val="auto"/>
                <w:spacing w:val="6"/>
                <w:sz w:val="24"/>
                <w:highlight w:val="none"/>
                <w:lang w:val="en-US" w:eastAsia="zh-CN"/>
              </w:rPr>
              <w:t>VOCs</w:t>
            </w:r>
            <w:r>
              <w:rPr>
                <w:rFonts w:hint="eastAsia" w:ascii="Times New Roman" w:hAnsi="Times New Roman" w:eastAsia="Times New Roman" w:cs="Times New Roman"/>
                <w:bCs/>
                <w:color w:val="auto"/>
                <w:spacing w:val="6"/>
                <w:sz w:val="24"/>
                <w:highlight w:val="none"/>
                <w:lang w:val="en-US" w:eastAsia="zh-CN"/>
              </w:rPr>
              <w:t>经催化燃烧处理，残留量很少，则</w:t>
            </w:r>
            <w:r>
              <w:rPr>
                <w:rFonts w:hint="default" w:ascii="Times New Roman" w:hAnsi="Times New Roman" w:eastAsia="宋体" w:cs="Times New Roman"/>
                <w:b w:val="0"/>
                <w:bCs w:val="0"/>
                <w:color w:val="auto"/>
                <w:sz w:val="24"/>
                <w:szCs w:val="24"/>
                <w:highlight w:val="none"/>
                <w:u w:val="none" w:color="auto"/>
                <w:lang w:val="en-US" w:eastAsia="zh-CN"/>
              </w:rPr>
              <w:t>有机废气治理过程产生的废活性炭更换量约</w:t>
            </w:r>
            <w:r>
              <w:rPr>
                <w:rFonts w:hint="eastAsia" w:cs="Times New Roman"/>
                <w:b w:val="0"/>
                <w:bCs w:val="0"/>
                <w:color w:val="auto"/>
                <w:sz w:val="24"/>
                <w:szCs w:val="24"/>
                <w:highlight w:val="none"/>
                <w:u w:val="none" w:color="auto"/>
                <w:lang w:val="en-US" w:eastAsia="zh-CN"/>
              </w:rPr>
              <w:t>2.7142</w:t>
            </w:r>
            <w:r>
              <w:rPr>
                <w:rFonts w:hint="default" w:ascii="Times New Roman" w:hAnsi="Times New Roman" w:eastAsia="宋体" w:cs="Times New Roman"/>
                <w:b w:val="0"/>
                <w:bCs w:val="0"/>
                <w:color w:val="auto"/>
                <w:sz w:val="24"/>
                <w:szCs w:val="24"/>
                <w:highlight w:val="none"/>
                <w:u w:val="none" w:color="auto"/>
                <w:lang w:val="en-US" w:eastAsia="zh-CN"/>
              </w:rPr>
              <w:t>t/a。</w:t>
            </w:r>
          </w:p>
          <w:p w14:paraId="4C147C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bCs/>
                <w:color w:val="auto"/>
                <w:sz w:val="24"/>
                <w:szCs w:val="24"/>
                <w:highlight w:val="none"/>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环评要求企业有机废气处理时采用的活性炭碘值不低于800毫克/克，并按设计要求足量添加、及时更换。</w:t>
            </w:r>
          </w:p>
          <w:p w14:paraId="13D548E9">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kern w:val="0"/>
                <w:sz w:val="24"/>
                <w:highlight w:val="none"/>
                <w:lang w:val="en-US" w:eastAsia="zh-CN"/>
              </w:rPr>
            </w:pPr>
            <w:r>
              <w:rPr>
                <w:rFonts w:hint="default" w:ascii="Times New Roman" w:hAnsi="Times New Roman" w:eastAsia="Times New Roman" w:cs="Times New Roman"/>
                <w:color w:val="auto"/>
                <w:sz w:val="24"/>
                <w:szCs w:val="24"/>
                <w:highlight w:val="none"/>
              </w:rPr>
              <w:t>废活性炭</w:t>
            </w:r>
            <w:r>
              <w:rPr>
                <w:rFonts w:hint="default" w:ascii="Times New Roman" w:hAnsi="Times New Roman" w:eastAsia="Times New Roman" w:cs="Times New Roman"/>
                <w:color w:val="auto"/>
                <w:sz w:val="24"/>
                <w:szCs w:val="24"/>
                <w:highlight w:val="none"/>
                <w:lang w:val="en-US" w:eastAsia="zh-CN"/>
              </w:rPr>
              <w:t>属于</w:t>
            </w:r>
            <w:r>
              <w:rPr>
                <w:rFonts w:hint="default" w:ascii="Times New Roman" w:hAnsi="Times New Roman" w:eastAsia="Times New Roman" w:cs="Times New Roman"/>
                <w:bCs/>
                <w:color w:val="auto"/>
                <w:spacing w:val="6"/>
                <w:sz w:val="24"/>
                <w:highlight w:val="none"/>
              </w:rPr>
              <w:t>HW</w:t>
            </w:r>
            <w:r>
              <w:rPr>
                <w:rFonts w:hint="default" w:ascii="Times New Roman" w:hAnsi="Times New Roman" w:eastAsia="Times New Roman" w:cs="Times New Roman"/>
                <w:bCs/>
                <w:color w:val="auto"/>
                <w:spacing w:val="6"/>
                <w:sz w:val="24"/>
                <w:highlight w:val="none"/>
                <w:lang w:val="en-US" w:eastAsia="zh-CN"/>
              </w:rPr>
              <w:t>49其他废物，废物代码：900-039-49“烟气、VOCs治理过程（不包括餐饮行业油烟治理过程）产生的废活性炭，化学原料和化学制品脱色（不包括有机合成食品添加剂脱色）、除杂、净化过程产生的废活性炭（不包括900-405-06、772-005-18、261-053-29、265-002-29、384-003-29、387-001-29类废物）”</w:t>
            </w:r>
            <w:r>
              <w:rPr>
                <w:rFonts w:hint="default" w:ascii="Times New Roman" w:hAnsi="Times New Roman" w:eastAsia="Times New Roman" w:cs="Times New Roman"/>
                <w:bCs/>
                <w:color w:val="auto"/>
                <w:spacing w:val="6"/>
                <w:sz w:val="24"/>
                <w:highlight w:val="none"/>
              </w:rPr>
              <w:t>。</w:t>
            </w:r>
          </w:p>
          <w:p w14:paraId="5682BCC3">
            <w:pPr>
              <w:keepNext w:val="0"/>
              <w:keepLines w:val="0"/>
              <w:pageBreakBefore w:val="0"/>
              <w:suppressLineNumbers w:val="0"/>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
                <w:bCs w:val="0"/>
                <w:color w:val="auto"/>
                <w:sz w:val="24"/>
                <w:szCs w:val="24"/>
                <w:highlight w:val="none"/>
                <w:lang w:val="en-US" w:eastAsia="zh-CN"/>
              </w:rPr>
            </w:pPr>
            <w:r>
              <w:rPr>
                <w:rFonts w:hint="default" w:ascii="Times New Roman" w:hAnsi="Times New Roman" w:eastAsia="Times New Roman" w:cs="Times New Roman"/>
                <w:b/>
                <w:bCs w:val="0"/>
                <w:color w:val="auto"/>
                <w:sz w:val="24"/>
                <w:szCs w:val="24"/>
                <w:highlight w:val="none"/>
                <w:lang w:val="en-US" w:eastAsia="zh-CN"/>
              </w:rPr>
              <w:t>废催化剂</w:t>
            </w:r>
          </w:p>
          <w:p w14:paraId="2B3D6628">
            <w:pPr>
              <w:keepNext w:val="0"/>
              <w:keepLines w:val="0"/>
              <w:pageBreakBefore w:val="0"/>
              <w:suppressLineNumbers w:val="0"/>
              <w:tabs>
                <w:tab w:val="left" w:pos="2310"/>
              </w:tabs>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Cs/>
                <w:color w:val="auto"/>
                <w:sz w:val="24"/>
                <w:szCs w:val="24"/>
                <w:highlight w:val="none"/>
                <w:lang w:val="en-US" w:eastAsia="zh-CN"/>
              </w:rPr>
            </w:pPr>
            <w:r>
              <w:rPr>
                <w:rFonts w:hint="default" w:ascii="Times New Roman" w:hAnsi="Times New Roman" w:eastAsia="Times New Roman" w:cs="Times New Roman"/>
                <w:bCs/>
                <w:color w:val="auto"/>
                <w:sz w:val="24"/>
                <w:szCs w:val="24"/>
                <w:highlight w:val="none"/>
                <w:lang w:val="en-US" w:eastAsia="zh-CN"/>
              </w:rPr>
              <w:t>本项目</w:t>
            </w:r>
            <w:r>
              <w:rPr>
                <w:rFonts w:hint="eastAsia" w:eastAsia="Times New Roman" w:cs="Times New Roman"/>
                <w:bCs/>
                <w:color w:val="auto"/>
                <w:sz w:val="24"/>
                <w:szCs w:val="24"/>
                <w:highlight w:val="none"/>
                <w:lang w:val="en-US" w:eastAsia="zh-CN"/>
              </w:rPr>
              <w:t>使用铂钯</w:t>
            </w:r>
            <w:r>
              <w:rPr>
                <w:rFonts w:hint="default" w:ascii="Times New Roman" w:hAnsi="Times New Roman" w:eastAsia="Times New Roman" w:cs="Times New Roman"/>
                <w:bCs/>
                <w:color w:val="auto"/>
                <w:sz w:val="24"/>
                <w:szCs w:val="24"/>
                <w:highlight w:val="none"/>
                <w:lang w:val="en-US" w:eastAsia="zh-CN"/>
              </w:rPr>
              <w:t>催化剂，使用量为</w:t>
            </w:r>
            <w:r>
              <w:rPr>
                <w:rFonts w:hint="eastAsia" w:eastAsia="Times New Roman" w:cs="Times New Roman"/>
                <w:bCs/>
                <w:color w:val="auto"/>
                <w:sz w:val="24"/>
                <w:szCs w:val="24"/>
                <w:highlight w:val="none"/>
                <w:lang w:val="en-US" w:eastAsia="zh-CN"/>
              </w:rPr>
              <w:t>0.04</w:t>
            </w:r>
            <w:r>
              <w:rPr>
                <w:rFonts w:hint="default" w:ascii="Times New Roman" w:hAnsi="Times New Roman" w:eastAsia="Times New Roman" w:cs="Times New Roman"/>
                <w:bCs/>
                <w:color w:val="auto"/>
                <w:sz w:val="24"/>
                <w:szCs w:val="24"/>
                <w:highlight w:val="none"/>
                <w:lang w:val="en-US" w:eastAsia="zh-CN"/>
              </w:rPr>
              <w:t>t/a，催化剂使用寿命约2年，则平均每年废催化剂的产生量为</w:t>
            </w:r>
            <w:r>
              <w:rPr>
                <w:rFonts w:hint="eastAsia" w:eastAsia="Times New Roman" w:cs="Times New Roman"/>
                <w:bCs/>
                <w:color w:val="auto"/>
                <w:sz w:val="24"/>
                <w:szCs w:val="24"/>
                <w:highlight w:val="none"/>
                <w:lang w:val="en-US" w:eastAsia="zh-CN"/>
              </w:rPr>
              <w:t>0.02</w:t>
            </w:r>
            <w:r>
              <w:rPr>
                <w:rFonts w:hint="default" w:ascii="Times New Roman" w:hAnsi="Times New Roman" w:eastAsia="Times New Roman" w:cs="Times New Roman"/>
                <w:bCs/>
                <w:color w:val="auto"/>
                <w:sz w:val="24"/>
                <w:szCs w:val="24"/>
                <w:highlight w:val="none"/>
                <w:lang w:val="en-US" w:eastAsia="zh-CN"/>
              </w:rPr>
              <w:t>t/a。</w:t>
            </w:r>
            <w:r>
              <w:rPr>
                <w:rFonts w:hint="eastAsia" w:eastAsia="Times New Roman" w:cs="Times New Roman"/>
                <w:bCs/>
                <w:color w:val="auto"/>
                <w:sz w:val="24"/>
                <w:szCs w:val="24"/>
                <w:highlight w:val="none"/>
                <w:lang w:val="en-US" w:eastAsia="zh-CN"/>
              </w:rPr>
              <w:t>该催化剂未列入</w:t>
            </w:r>
            <w:r>
              <w:rPr>
                <w:rFonts w:hint="default" w:ascii="Times New Roman" w:hAnsi="Times New Roman" w:eastAsia="Times New Roman" w:cs="Times New Roman"/>
                <w:bCs/>
                <w:color w:val="auto"/>
                <w:sz w:val="24"/>
                <w:szCs w:val="24"/>
                <w:highlight w:val="none"/>
                <w:lang w:val="en-US" w:eastAsia="zh-CN"/>
              </w:rPr>
              <w:t>《国家危险废物名录》（2025年版），</w:t>
            </w:r>
            <w:r>
              <w:rPr>
                <w:rFonts w:hint="eastAsia" w:eastAsia="Times New Roman" w:cs="Times New Roman"/>
                <w:bCs/>
                <w:color w:val="auto"/>
                <w:sz w:val="24"/>
                <w:szCs w:val="24"/>
                <w:highlight w:val="none"/>
                <w:lang w:val="en-US" w:eastAsia="zh-CN"/>
              </w:rPr>
              <w:t>参考安徽省生态环境厅关于CO催化剂（催化燃烧催化剂）是否属于危废的问题的答复，废弃的催化燃烧催化剂（主要活性成分为铂钯）属于危废，危废代码参照HW50 900-049-50。</w:t>
            </w:r>
          </w:p>
          <w:p w14:paraId="59BB2F64">
            <w:pPr>
              <w:keepNext w:val="0"/>
              <w:keepLines w:val="0"/>
              <w:pageBreakBefore w:val="0"/>
              <w:suppressLineNumbers w:val="0"/>
              <w:tabs>
                <w:tab w:val="left" w:pos="2310"/>
              </w:tabs>
              <w:kinsoku/>
              <w:wordWrap/>
              <w:topLinePunct w:val="0"/>
              <w:bidi w:val="0"/>
              <w:adjustRightInd w:val="0"/>
              <w:snapToGrid w:val="0"/>
              <w:spacing w:before="0" w:beforeAutospacing="0" w:after="0" w:afterAutospacing="0" w:line="348" w:lineRule="auto"/>
              <w:ind w:left="0" w:right="0" w:firstLine="480" w:firstLineChars="200"/>
              <w:rPr>
                <w:rFonts w:hint="default" w:ascii="Times New Roman" w:hAnsi="Times New Roman" w:eastAsia="Times New Roman" w:cs="Times New Roman"/>
                <w:bCs/>
                <w:color w:val="auto"/>
                <w:sz w:val="24"/>
                <w:szCs w:val="24"/>
                <w:highlight w:val="none"/>
              </w:rPr>
            </w:pPr>
            <w:r>
              <w:rPr>
                <w:rFonts w:hint="default" w:ascii="Times New Roman" w:hAnsi="Times New Roman" w:eastAsia="Times New Roman" w:cs="Times New Roman"/>
                <w:bCs/>
                <w:color w:val="auto"/>
                <w:sz w:val="24"/>
                <w:szCs w:val="24"/>
                <w:highlight w:val="none"/>
                <w:lang w:val="en-US" w:eastAsia="zh-CN"/>
              </w:rPr>
              <w:t>危险废物经</w:t>
            </w:r>
            <w:r>
              <w:rPr>
                <w:rFonts w:hint="eastAsia" w:eastAsia="Times New Roman" w:cs="Times New Roman"/>
                <w:bCs/>
                <w:color w:val="auto"/>
                <w:sz w:val="24"/>
                <w:szCs w:val="24"/>
                <w:highlight w:val="none"/>
                <w:lang w:val="en-US" w:eastAsia="zh-CN"/>
              </w:rPr>
              <w:t>5</w:t>
            </w:r>
            <w:r>
              <w:rPr>
                <w:rFonts w:hint="default" w:ascii="Times New Roman" w:hAnsi="Times New Roman" w:eastAsia="Times New Roman" w:cs="Times New Roman"/>
                <w:bCs/>
                <w:color w:val="auto"/>
                <w:sz w:val="24"/>
                <w:szCs w:val="24"/>
                <w:highlight w:val="none"/>
                <w:lang w:val="en-US" w:eastAsia="zh-CN"/>
              </w:rPr>
              <w:t>m</w:t>
            </w:r>
            <w:r>
              <w:rPr>
                <w:rFonts w:hint="default" w:ascii="Times New Roman" w:hAnsi="Times New Roman" w:eastAsia="Times New Roman" w:cs="Times New Roman"/>
                <w:bCs/>
                <w:color w:val="auto"/>
                <w:sz w:val="24"/>
                <w:szCs w:val="24"/>
                <w:highlight w:val="none"/>
                <w:vertAlign w:val="superscript"/>
                <w:lang w:val="en-US" w:eastAsia="zh-CN"/>
              </w:rPr>
              <w:t>2</w:t>
            </w:r>
            <w:r>
              <w:rPr>
                <w:rFonts w:hint="default" w:ascii="Times New Roman" w:hAnsi="Times New Roman" w:eastAsia="Times New Roman" w:cs="Times New Roman"/>
                <w:bCs/>
                <w:color w:val="auto"/>
                <w:sz w:val="24"/>
                <w:szCs w:val="24"/>
                <w:highlight w:val="none"/>
                <w:lang w:val="en-US" w:eastAsia="zh-CN"/>
              </w:rPr>
              <w:t>危险废物暂存间暂存后，交由有资质的公司进行处理</w:t>
            </w:r>
            <w:r>
              <w:rPr>
                <w:rFonts w:hint="default" w:ascii="Times New Roman" w:hAnsi="Times New Roman" w:eastAsia="Times New Roman" w:cs="Times New Roman"/>
                <w:bCs/>
                <w:color w:val="auto"/>
                <w:sz w:val="24"/>
                <w:szCs w:val="24"/>
                <w:highlight w:val="none"/>
              </w:rPr>
              <w:t>。</w:t>
            </w:r>
          </w:p>
          <w:p w14:paraId="54A7A313">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auto"/>
                <w:spacing w:val="6"/>
                <w:sz w:val="24"/>
                <w:szCs w:val="21"/>
                <w:highlight w:val="none"/>
              </w:rPr>
            </w:pPr>
            <w:r>
              <w:rPr>
                <w:rFonts w:hint="default" w:ascii="Times New Roman" w:hAnsi="Times New Roman" w:eastAsia="Times New Roman" w:cs="Times New Roman"/>
                <w:b/>
                <w:bCs/>
                <w:color w:val="auto"/>
                <w:spacing w:val="6"/>
                <w:sz w:val="24"/>
                <w:highlight w:val="none"/>
              </w:rPr>
              <w:t>危险废物汇总表</w:t>
            </w:r>
          </w:p>
          <w:tbl>
            <w:tblPr>
              <w:tblStyle w:val="26"/>
              <w:tblW w:w="4996"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317"/>
              <w:gridCol w:w="1626"/>
              <w:gridCol w:w="1350"/>
              <w:gridCol w:w="1148"/>
              <w:gridCol w:w="615"/>
              <w:gridCol w:w="832"/>
              <w:gridCol w:w="832"/>
            </w:tblGrid>
            <w:tr w14:paraId="089560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05" w:type="pct"/>
                  <w:tcBorders>
                    <w:tl2br w:val="nil"/>
                    <w:tr2bl w:val="nil"/>
                  </w:tcBorders>
                  <w:noWrap w:val="0"/>
                  <w:vAlign w:val="center"/>
                </w:tcPr>
                <w:p w14:paraId="1A4507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危险废物名称</w:t>
                  </w:r>
                </w:p>
              </w:tc>
              <w:tc>
                <w:tcPr>
                  <w:tcW w:w="749" w:type="pct"/>
                  <w:tcBorders>
                    <w:tl2br w:val="nil"/>
                    <w:tr2bl w:val="nil"/>
                  </w:tcBorders>
                  <w:noWrap w:val="0"/>
                  <w:vAlign w:val="center"/>
                </w:tcPr>
                <w:p w14:paraId="037C0C3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危险废物类别</w:t>
                  </w:r>
                </w:p>
              </w:tc>
              <w:tc>
                <w:tcPr>
                  <w:tcW w:w="925" w:type="pct"/>
                  <w:tcBorders>
                    <w:tl2br w:val="nil"/>
                    <w:tr2bl w:val="nil"/>
                  </w:tcBorders>
                  <w:noWrap w:val="0"/>
                  <w:vAlign w:val="center"/>
                </w:tcPr>
                <w:p w14:paraId="6DEF546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危险废物代码</w:t>
                  </w:r>
                </w:p>
              </w:tc>
              <w:tc>
                <w:tcPr>
                  <w:tcW w:w="768" w:type="pct"/>
                  <w:tcBorders>
                    <w:tl2br w:val="nil"/>
                    <w:tr2bl w:val="nil"/>
                  </w:tcBorders>
                  <w:noWrap w:val="0"/>
                  <w:vAlign w:val="center"/>
                </w:tcPr>
                <w:p w14:paraId="7143A35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产生量</w:t>
                  </w:r>
                </w:p>
              </w:tc>
              <w:tc>
                <w:tcPr>
                  <w:tcW w:w="653" w:type="pct"/>
                  <w:tcBorders>
                    <w:tl2br w:val="nil"/>
                    <w:tr2bl w:val="nil"/>
                  </w:tcBorders>
                  <w:noWrap w:val="0"/>
                  <w:vAlign w:val="center"/>
                </w:tcPr>
                <w:p w14:paraId="7B397DE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产生工序及装置</w:t>
                  </w:r>
                </w:p>
              </w:tc>
              <w:tc>
                <w:tcPr>
                  <w:tcW w:w="350" w:type="pct"/>
                  <w:tcBorders>
                    <w:tl2br w:val="nil"/>
                    <w:tr2bl w:val="nil"/>
                  </w:tcBorders>
                  <w:noWrap w:val="0"/>
                  <w:vAlign w:val="center"/>
                </w:tcPr>
                <w:p w14:paraId="79E8490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形态</w:t>
                  </w:r>
                </w:p>
              </w:tc>
              <w:tc>
                <w:tcPr>
                  <w:tcW w:w="473" w:type="pct"/>
                  <w:tcBorders>
                    <w:tl2br w:val="nil"/>
                    <w:tr2bl w:val="nil"/>
                  </w:tcBorders>
                  <w:noWrap w:val="0"/>
                  <w:vAlign w:val="center"/>
                </w:tcPr>
                <w:p w14:paraId="40092DB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有害成分</w:t>
                  </w:r>
                </w:p>
              </w:tc>
              <w:tc>
                <w:tcPr>
                  <w:tcW w:w="473" w:type="pct"/>
                  <w:tcBorders>
                    <w:tl2br w:val="nil"/>
                    <w:tr2bl w:val="nil"/>
                  </w:tcBorders>
                  <w:noWrap w:val="0"/>
                  <w:vAlign w:val="center"/>
                </w:tcPr>
                <w:p w14:paraId="40B9896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危险特性</w:t>
                  </w:r>
                </w:p>
              </w:tc>
            </w:tr>
            <w:tr w14:paraId="4CD3A6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5" w:type="pct"/>
                  <w:tcBorders>
                    <w:tl2br w:val="nil"/>
                    <w:tr2bl w:val="nil"/>
                  </w:tcBorders>
                  <w:noWrap w:val="0"/>
                  <w:vAlign w:val="center"/>
                </w:tcPr>
                <w:p w14:paraId="52511ED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Times New Roman" w:cs="Times New Roman"/>
                      <w:b w:val="0"/>
                      <w:bCs w:val="0"/>
                      <w:color w:val="auto"/>
                      <w:sz w:val="21"/>
                      <w:szCs w:val="21"/>
                      <w:highlight w:val="none"/>
                    </w:rPr>
                    <w:t>废润滑油桶</w:t>
                  </w:r>
                </w:p>
              </w:tc>
              <w:tc>
                <w:tcPr>
                  <w:tcW w:w="749" w:type="pct"/>
                  <w:tcBorders>
                    <w:tl2br w:val="nil"/>
                    <w:tr2bl w:val="nil"/>
                  </w:tcBorders>
                  <w:noWrap w:val="0"/>
                  <w:vAlign w:val="center"/>
                </w:tcPr>
                <w:p w14:paraId="58881E8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rPr>
                    <w:t>HW</w:t>
                  </w:r>
                  <w:r>
                    <w:rPr>
                      <w:rFonts w:hint="default" w:ascii="Times New Roman" w:hAnsi="Times New Roman" w:eastAsia="Times New Roman" w:cs="Times New Roman"/>
                      <w:bCs/>
                      <w:color w:val="auto"/>
                      <w:sz w:val="21"/>
                      <w:szCs w:val="21"/>
                      <w:highlight w:val="none"/>
                      <w:lang w:val="en-US" w:eastAsia="zh-CN"/>
                    </w:rPr>
                    <w:t>08</w:t>
                  </w:r>
                </w:p>
              </w:tc>
              <w:tc>
                <w:tcPr>
                  <w:tcW w:w="925" w:type="pct"/>
                  <w:tcBorders>
                    <w:tl2br w:val="nil"/>
                    <w:tr2bl w:val="nil"/>
                  </w:tcBorders>
                  <w:noWrap w:val="0"/>
                  <w:vAlign w:val="center"/>
                </w:tcPr>
                <w:p w14:paraId="08E98F7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val="0"/>
                      <w:bCs w:val="0"/>
                      <w:color w:val="auto"/>
                      <w:sz w:val="21"/>
                      <w:szCs w:val="21"/>
                      <w:highlight w:val="none"/>
                    </w:rPr>
                    <w:t>900-249-08</w:t>
                  </w:r>
                </w:p>
              </w:tc>
              <w:tc>
                <w:tcPr>
                  <w:tcW w:w="768" w:type="pct"/>
                  <w:tcBorders>
                    <w:tl2br w:val="nil"/>
                    <w:tr2bl w:val="nil"/>
                  </w:tcBorders>
                  <w:noWrap w:val="0"/>
                  <w:vAlign w:val="center"/>
                </w:tcPr>
                <w:p w14:paraId="4E09BBE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Times New Roman" w:cs="Times New Roman"/>
                      <w:b w:val="0"/>
                      <w:bCs w:val="0"/>
                      <w:color w:val="auto"/>
                      <w:sz w:val="21"/>
                      <w:szCs w:val="21"/>
                      <w:highlight w:val="none"/>
                      <w:lang w:val="en-US" w:eastAsia="zh-CN"/>
                    </w:rPr>
                    <w:t>0.00</w:t>
                  </w:r>
                  <w:r>
                    <w:rPr>
                      <w:rFonts w:hint="eastAsia" w:eastAsia="Times New Roman" w:cs="Times New Roman"/>
                      <w:b w:val="0"/>
                      <w:bCs w:val="0"/>
                      <w:color w:val="auto"/>
                      <w:sz w:val="21"/>
                      <w:szCs w:val="21"/>
                      <w:highlight w:val="none"/>
                      <w:lang w:val="en-US" w:eastAsia="zh-CN"/>
                    </w:rPr>
                    <w:t>2</w:t>
                  </w:r>
                  <w:r>
                    <w:rPr>
                      <w:rFonts w:hint="default" w:ascii="Times New Roman" w:hAnsi="Times New Roman" w:eastAsia="Times New Roman" w:cs="Times New Roman"/>
                      <w:b w:val="0"/>
                      <w:bCs w:val="0"/>
                      <w:color w:val="auto"/>
                      <w:sz w:val="21"/>
                      <w:szCs w:val="21"/>
                      <w:highlight w:val="none"/>
                      <w:lang w:val="en-US" w:eastAsia="zh-CN"/>
                    </w:rPr>
                    <w:t>t/a</w:t>
                  </w:r>
                </w:p>
              </w:tc>
              <w:tc>
                <w:tcPr>
                  <w:tcW w:w="653" w:type="pct"/>
                  <w:tcBorders>
                    <w:tl2br w:val="nil"/>
                    <w:tr2bl w:val="nil"/>
                  </w:tcBorders>
                  <w:noWrap w:val="0"/>
                  <w:vAlign w:val="center"/>
                </w:tcPr>
                <w:p w14:paraId="68AA26E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生产设备运行</w:t>
                  </w:r>
                </w:p>
              </w:tc>
              <w:tc>
                <w:tcPr>
                  <w:tcW w:w="350" w:type="pct"/>
                  <w:tcBorders>
                    <w:tl2br w:val="nil"/>
                    <w:tr2bl w:val="nil"/>
                  </w:tcBorders>
                  <w:noWrap w:val="0"/>
                  <w:vAlign w:val="center"/>
                </w:tcPr>
                <w:p w14:paraId="2668E3A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Times New Roman" w:cs="Times New Roman"/>
                      <w:b w:val="0"/>
                      <w:bCs w:val="0"/>
                      <w:color w:val="auto"/>
                      <w:sz w:val="21"/>
                      <w:szCs w:val="21"/>
                      <w:highlight w:val="none"/>
                      <w:lang w:val="en-US" w:eastAsia="zh-CN"/>
                    </w:rPr>
                    <w:t>固态</w:t>
                  </w:r>
                </w:p>
              </w:tc>
              <w:tc>
                <w:tcPr>
                  <w:tcW w:w="473" w:type="pct"/>
                  <w:tcBorders>
                    <w:tl2br w:val="nil"/>
                    <w:tr2bl w:val="nil"/>
                  </w:tcBorders>
                  <w:noWrap w:val="0"/>
                  <w:vAlign w:val="center"/>
                </w:tcPr>
                <w:p w14:paraId="3D99F62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val="0"/>
                      <w:bCs w:val="0"/>
                      <w:color w:val="auto"/>
                      <w:sz w:val="21"/>
                      <w:szCs w:val="21"/>
                      <w:highlight w:val="none"/>
                      <w:lang w:val="en-US" w:eastAsia="zh-CN"/>
                    </w:rPr>
                    <w:t>废矿物油</w:t>
                  </w:r>
                </w:p>
              </w:tc>
              <w:tc>
                <w:tcPr>
                  <w:tcW w:w="473" w:type="pct"/>
                  <w:tcBorders>
                    <w:tl2br w:val="nil"/>
                    <w:tr2bl w:val="nil"/>
                  </w:tcBorders>
                  <w:noWrap w:val="0"/>
                  <w:vAlign w:val="center"/>
                </w:tcPr>
                <w:p w14:paraId="3286B74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Times New Roman" w:cs="Times New Roman"/>
                      <w:b w:val="0"/>
                      <w:bCs w:val="0"/>
                      <w:color w:val="auto"/>
                      <w:sz w:val="21"/>
                      <w:szCs w:val="21"/>
                      <w:highlight w:val="none"/>
                    </w:rPr>
                    <w:t>T，I</w:t>
                  </w:r>
                </w:p>
              </w:tc>
            </w:tr>
            <w:tr w14:paraId="709A58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05" w:type="pct"/>
                  <w:tcBorders>
                    <w:tl2br w:val="nil"/>
                    <w:tr2bl w:val="nil"/>
                  </w:tcBorders>
                  <w:noWrap w:val="0"/>
                  <w:vAlign w:val="center"/>
                </w:tcPr>
                <w:p w14:paraId="4A1B85E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废活性炭</w:t>
                  </w:r>
                </w:p>
              </w:tc>
              <w:tc>
                <w:tcPr>
                  <w:tcW w:w="749" w:type="pct"/>
                  <w:tcBorders>
                    <w:tl2br w:val="nil"/>
                    <w:tr2bl w:val="nil"/>
                  </w:tcBorders>
                  <w:noWrap w:val="0"/>
                  <w:vAlign w:val="center"/>
                </w:tcPr>
                <w:p w14:paraId="601BB4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HW49</w:t>
                  </w:r>
                </w:p>
              </w:tc>
              <w:tc>
                <w:tcPr>
                  <w:tcW w:w="925" w:type="pct"/>
                  <w:tcBorders>
                    <w:tl2br w:val="nil"/>
                    <w:tr2bl w:val="nil"/>
                  </w:tcBorders>
                  <w:noWrap w:val="0"/>
                  <w:vAlign w:val="center"/>
                </w:tcPr>
                <w:p w14:paraId="126E6F2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pacing w:val="6"/>
                      <w:sz w:val="21"/>
                      <w:szCs w:val="21"/>
                      <w:highlight w:val="none"/>
                      <w:lang w:val="en-US" w:eastAsia="zh-CN"/>
                    </w:rPr>
                  </w:pPr>
                  <w:r>
                    <w:rPr>
                      <w:rFonts w:hint="default" w:ascii="Times New Roman" w:hAnsi="Times New Roman" w:eastAsia="Times New Roman" w:cs="Times New Roman"/>
                      <w:bCs/>
                      <w:color w:val="auto"/>
                      <w:spacing w:val="6"/>
                      <w:sz w:val="21"/>
                      <w:szCs w:val="21"/>
                      <w:highlight w:val="none"/>
                      <w:lang w:val="en-US" w:eastAsia="zh-CN"/>
                    </w:rPr>
                    <w:t>900-039-49</w:t>
                  </w:r>
                </w:p>
              </w:tc>
              <w:tc>
                <w:tcPr>
                  <w:tcW w:w="768" w:type="pct"/>
                  <w:tcBorders>
                    <w:tl2br w:val="nil"/>
                    <w:tr2bl w:val="nil"/>
                  </w:tcBorders>
                  <w:noWrap w:val="0"/>
                  <w:vAlign w:val="center"/>
                </w:tcPr>
                <w:p w14:paraId="385FE04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lang w:eastAsia="zh-CN"/>
                    </w:rPr>
                  </w:pPr>
                  <w:r>
                    <w:rPr>
                      <w:rFonts w:hint="eastAsia" w:eastAsia="Times New Roman" w:cs="Times New Roman"/>
                      <w:bCs/>
                      <w:color w:val="auto"/>
                      <w:sz w:val="21"/>
                      <w:szCs w:val="21"/>
                      <w:highlight w:val="none"/>
                      <w:lang w:val="en-US" w:eastAsia="zh-CN"/>
                    </w:rPr>
                    <w:t>2.7142t</w:t>
                  </w:r>
                  <w:r>
                    <w:rPr>
                      <w:rFonts w:hint="default" w:ascii="Times New Roman" w:hAnsi="Times New Roman" w:eastAsia="Times New Roman" w:cs="Times New Roman"/>
                      <w:bCs/>
                      <w:color w:val="auto"/>
                      <w:sz w:val="21"/>
                      <w:szCs w:val="21"/>
                      <w:highlight w:val="none"/>
                      <w:lang w:eastAsia="zh-CN"/>
                    </w:rPr>
                    <w:t>/a</w:t>
                  </w:r>
                </w:p>
              </w:tc>
              <w:tc>
                <w:tcPr>
                  <w:tcW w:w="653" w:type="pct"/>
                  <w:vMerge w:val="restart"/>
                  <w:tcBorders>
                    <w:tl2br w:val="nil"/>
                    <w:tr2bl w:val="nil"/>
                  </w:tcBorders>
                  <w:noWrap w:val="0"/>
                  <w:vAlign w:val="center"/>
                </w:tcPr>
                <w:p w14:paraId="6171073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lang w:val="en-US" w:eastAsia="zh-CN"/>
                    </w:rPr>
                    <w:t>环保设施运行</w:t>
                  </w:r>
                </w:p>
              </w:tc>
              <w:tc>
                <w:tcPr>
                  <w:tcW w:w="350" w:type="pct"/>
                  <w:tcBorders>
                    <w:tl2br w:val="nil"/>
                    <w:tr2bl w:val="nil"/>
                  </w:tcBorders>
                  <w:noWrap w:val="0"/>
                  <w:vAlign w:val="center"/>
                </w:tcPr>
                <w:p w14:paraId="003257A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固态</w:t>
                  </w:r>
                </w:p>
              </w:tc>
              <w:tc>
                <w:tcPr>
                  <w:tcW w:w="473" w:type="pct"/>
                  <w:tcBorders>
                    <w:tl2br w:val="nil"/>
                    <w:tr2bl w:val="nil"/>
                  </w:tcBorders>
                  <w:noWrap w:val="0"/>
                  <w:vAlign w:val="center"/>
                </w:tcPr>
                <w:p w14:paraId="6024B9F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有机物</w:t>
                  </w:r>
                </w:p>
              </w:tc>
              <w:tc>
                <w:tcPr>
                  <w:tcW w:w="473" w:type="pct"/>
                  <w:tcBorders>
                    <w:tl2br w:val="nil"/>
                    <w:tr2bl w:val="nil"/>
                  </w:tcBorders>
                  <w:noWrap w:val="0"/>
                  <w:vAlign w:val="center"/>
                </w:tcPr>
                <w:p w14:paraId="21E55A2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T</w:t>
                  </w:r>
                </w:p>
              </w:tc>
            </w:tr>
            <w:tr w14:paraId="5177D8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pct"/>
                  <w:tcBorders>
                    <w:tl2br w:val="nil"/>
                    <w:tr2bl w:val="nil"/>
                  </w:tcBorders>
                  <w:noWrap w:val="0"/>
                  <w:vAlign w:val="center"/>
                </w:tcPr>
                <w:p w14:paraId="5D8CB87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bCs/>
                      <w:color w:val="auto"/>
                      <w:sz w:val="21"/>
                      <w:szCs w:val="21"/>
                      <w:highlight w:val="none"/>
                      <w:lang w:eastAsia="zh-CN"/>
                    </w:rPr>
                    <w:t>废催化剂</w:t>
                  </w:r>
                </w:p>
              </w:tc>
              <w:tc>
                <w:tcPr>
                  <w:tcW w:w="749" w:type="pct"/>
                  <w:tcBorders>
                    <w:tl2br w:val="nil"/>
                    <w:tr2bl w:val="nil"/>
                  </w:tcBorders>
                  <w:noWrap w:val="0"/>
                  <w:vAlign w:val="center"/>
                </w:tcPr>
                <w:p w14:paraId="28263FC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r>
                    <w:rPr>
                      <w:rFonts w:hint="default" w:ascii="Times New Roman" w:hAnsi="Times New Roman" w:eastAsia="Times New Roman" w:cs="Times New Roman"/>
                      <w:bCs/>
                      <w:color w:val="auto"/>
                      <w:sz w:val="21"/>
                      <w:szCs w:val="21"/>
                      <w:highlight w:val="none"/>
                    </w:rPr>
                    <w:t>HW50</w:t>
                  </w:r>
                </w:p>
              </w:tc>
              <w:tc>
                <w:tcPr>
                  <w:tcW w:w="925" w:type="pct"/>
                  <w:tcBorders>
                    <w:tl2br w:val="nil"/>
                    <w:tr2bl w:val="nil"/>
                  </w:tcBorders>
                  <w:noWrap w:val="0"/>
                  <w:vAlign w:val="center"/>
                </w:tcPr>
                <w:p w14:paraId="120E8BD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pacing w:val="6"/>
                      <w:sz w:val="21"/>
                      <w:szCs w:val="21"/>
                      <w:highlight w:val="none"/>
                      <w:lang w:val="en-US" w:eastAsia="zh-CN"/>
                    </w:rPr>
                  </w:pPr>
                  <w:r>
                    <w:rPr>
                      <w:rFonts w:hint="eastAsia" w:eastAsia="Times New Roman" w:cs="Times New Roman"/>
                      <w:bCs/>
                      <w:color w:val="auto"/>
                      <w:sz w:val="24"/>
                      <w:szCs w:val="24"/>
                      <w:highlight w:val="none"/>
                      <w:lang w:val="en-US" w:eastAsia="zh-CN"/>
                    </w:rPr>
                    <w:t>900-049-50</w:t>
                  </w:r>
                </w:p>
              </w:tc>
              <w:tc>
                <w:tcPr>
                  <w:tcW w:w="768" w:type="pct"/>
                  <w:tcBorders>
                    <w:tl2br w:val="nil"/>
                    <w:tr2bl w:val="nil"/>
                  </w:tcBorders>
                  <w:noWrap w:val="0"/>
                  <w:vAlign w:val="center"/>
                </w:tcPr>
                <w:p w14:paraId="30216B3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lang w:eastAsia="zh-CN"/>
                    </w:rPr>
                  </w:pPr>
                  <w:r>
                    <w:rPr>
                      <w:rFonts w:hint="eastAsia" w:eastAsia="Times New Roman" w:cs="Times New Roman"/>
                      <w:bCs/>
                      <w:color w:val="auto"/>
                      <w:sz w:val="21"/>
                      <w:szCs w:val="21"/>
                      <w:highlight w:val="none"/>
                      <w:lang w:val="en-US" w:eastAsia="zh-CN"/>
                    </w:rPr>
                    <w:t>0.02</w:t>
                  </w:r>
                  <w:r>
                    <w:rPr>
                      <w:rFonts w:hint="default" w:ascii="Times New Roman" w:hAnsi="Times New Roman" w:eastAsia="Times New Roman" w:cs="Times New Roman"/>
                      <w:bCs/>
                      <w:color w:val="auto"/>
                      <w:sz w:val="21"/>
                      <w:szCs w:val="21"/>
                      <w:highlight w:val="none"/>
                      <w:lang w:eastAsia="zh-CN"/>
                    </w:rPr>
                    <w:t>t/a</w:t>
                  </w:r>
                </w:p>
              </w:tc>
              <w:tc>
                <w:tcPr>
                  <w:tcW w:w="653" w:type="pct"/>
                  <w:vMerge w:val="continue"/>
                  <w:tcBorders>
                    <w:tl2br w:val="nil"/>
                    <w:tr2bl w:val="nil"/>
                  </w:tcBorders>
                  <w:noWrap w:val="0"/>
                  <w:vAlign w:val="center"/>
                </w:tcPr>
                <w:p w14:paraId="2F02C62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Times New Roman" w:cs="Times New Roman"/>
                      <w:bCs/>
                      <w:color w:val="auto"/>
                      <w:sz w:val="21"/>
                      <w:szCs w:val="21"/>
                      <w:highlight w:val="none"/>
                    </w:rPr>
                  </w:pPr>
                </w:p>
              </w:tc>
              <w:tc>
                <w:tcPr>
                  <w:tcW w:w="350" w:type="pct"/>
                  <w:tcBorders>
                    <w:tl2br w:val="nil"/>
                    <w:tr2bl w:val="nil"/>
                  </w:tcBorders>
                  <w:noWrap w:val="0"/>
                  <w:vAlign w:val="center"/>
                </w:tcPr>
                <w:p w14:paraId="20087A5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bCs/>
                      <w:color w:val="auto"/>
                      <w:sz w:val="21"/>
                      <w:szCs w:val="21"/>
                      <w:highlight w:val="none"/>
                      <w:lang w:eastAsia="zh-CN"/>
                    </w:rPr>
                    <w:t>固态</w:t>
                  </w:r>
                </w:p>
              </w:tc>
              <w:tc>
                <w:tcPr>
                  <w:tcW w:w="792" w:type="dxa"/>
                  <w:tcBorders>
                    <w:tl2br w:val="nil"/>
                    <w:tr2bl w:val="nil"/>
                  </w:tcBorders>
                  <w:noWrap w:val="0"/>
                  <w:vAlign w:val="center"/>
                </w:tcPr>
                <w:p w14:paraId="745021F1">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eastAsia="Times New Roman" w:cs="Times New Roman"/>
                      <w:bCs/>
                      <w:color w:val="auto"/>
                      <w:sz w:val="21"/>
                      <w:szCs w:val="21"/>
                      <w:highlight w:val="none"/>
                    </w:rPr>
                    <w:t>有机物</w:t>
                  </w:r>
                </w:p>
              </w:tc>
              <w:tc>
                <w:tcPr>
                  <w:tcW w:w="792" w:type="dxa"/>
                  <w:tcBorders>
                    <w:tl2br w:val="nil"/>
                    <w:tr2bl w:val="nil"/>
                  </w:tcBorders>
                  <w:noWrap w:val="0"/>
                  <w:vAlign w:val="center"/>
                </w:tcPr>
                <w:p w14:paraId="0406ED90">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Times New Roman" w:cs="Times New Roman"/>
                      <w:bCs/>
                      <w:color w:val="auto"/>
                      <w:sz w:val="21"/>
                      <w:szCs w:val="21"/>
                      <w:highlight w:val="none"/>
                    </w:rPr>
                    <w:t>T</w:t>
                  </w:r>
                </w:p>
              </w:tc>
            </w:tr>
          </w:tbl>
          <w:p w14:paraId="42E7DD5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项目固废均合理处置或综合利用，对周围环境造成的影响很小。</w:t>
            </w:r>
          </w:p>
          <w:p w14:paraId="3F3FF46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宋体" w:cs="Times New Roman"/>
                <w:b/>
                <w:color w:val="auto"/>
                <w:sz w:val="24"/>
                <w:highlight w:val="none"/>
                <w:lang w:val="en-US" w:eastAsia="zh-CN"/>
              </w:rPr>
            </w:pPr>
            <w:r>
              <w:rPr>
                <w:rFonts w:hint="default" w:ascii="Times New Roman" w:hAnsi="Times New Roman" w:eastAsia="Times New Roman" w:cs="Times New Roman"/>
                <w:b/>
                <w:color w:val="auto"/>
                <w:sz w:val="24"/>
                <w:highlight w:val="none"/>
                <w:lang w:val="en-US" w:eastAsia="zh-CN"/>
              </w:rPr>
              <w:t>4.3</w:t>
            </w:r>
            <w:r>
              <w:rPr>
                <w:rFonts w:hint="default" w:ascii="Times New Roman" w:hAnsi="Times New Roman" w:eastAsia="Times New Roman" w:cs="Times New Roman"/>
                <w:b/>
                <w:color w:val="auto"/>
                <w:sz w:val="24"/>
                <w:highlight w:val="none"/>
              </w:rPr>
              <w:t>固废暂存措施</w:t>
            </w:r>
            <w:r>
              <w:rPr>
                <w:rFonts w:hint="default" w:ascii="Times New Roman" w:hAnsi="Times New Roman" w:eastAsia="Times New Roman" w:cs="Times New Roman"/>
                <w:b/>
                <w:color w:val="auto"/>
                <w:sz w:val="24"/>
                <w:highlight w:val="none"/>
                <w:lang w:val="en-US" w:eastAsia="zh-CN"/>
              </w:rPr>
              <w:t>分析</w:t>
            </w:r>
          </w:p>
          <w:p w14:paraId="42A0DB5C">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（1）包装要求</w:t>
            </w:r>
          </w:p>
          <w:p w14:paraId="3DC6ED4B">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lang w:eastAsia="zh-CN"/>
              </w:rPr>
              <w:t>根据</w:t>
            </w:r>
            <w:r>
              <w:rPr>
                <w:rFonts w:hint="eastAsia"/>
                <w:color w:val="auto"/>
                <w:sz w:val="24"/>
              </w:rPr>
              <w:t>《危险废物贮存污染控制标准》（</w:t>
            </w:r>
            <w:r>
              <w:rPr>
                <w:rFonts w:hint="default"/>
                <w:color w:val="auto"/>
                <w:sz w:val="24"/>
              </w:rPr>
              <w:t>GB18597-20</w:t>
            </w:r>
            <w:r>
              <w:rPr>
                <w:rFonts w:hint="eastAsia"/>
                <w:color w:val="auto"/>
                <w:sz w:val="24"/>
              </w:rPr>
              <w:t>23），危废容器和包装物要求如下：</w:t>
            </w:r>
          </w:p>
          <w:p w14:paraId="65B7E0D2">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①容器和包装物材质、内衬与盛装的危险废物兼容。</w:t>
            </w:r>
          </w:p>
          <w:p w14:paraId="213E3E38">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②容器和包装物应满足相应的防渗、防漏、防腐和强度等要求。</w:t>
            </w:r>
          </w:p>
          <w:p w14:paraId="7232A11C">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③硬质容器和包装物及其支护结构堆叠码放时不应有明显变形，无破损泄漏。</w:t>
            </w:r>
          </w:p>
          <w:p w14:paraId="5E45B20C">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④柔性容器和包装物堆叠码放时应封口严密，无破损泄漏。</w:t>
            </w:r>
          </w:p>
          <w:p w14:paraId="57BB21A3">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⑤容器和包装物外表面应保持清洁。</w:t>
            </w:r>
          </w:p>
          <w:p w14:paraId="5E8807B8">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（2）危废间设置要求</w:t>
            </w:r>
          </w:p>
          <w:p w14:paraId="4BF5A3FE">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危废间应按照《危险废物贮存污染控制标准》（</w:t>
            </w:r>
            <w:r>
              <w:rPr>
                <w:rFonts w:hint="default"/>
                <w:color w:val="auto"/>
                <w:sz w:val="24"/>
              </w:rPr>
              <w:t>GB18597-20</w:t>
            </w:r>
            <w:r>
              <w:rPr>
                <w:rFonts w:hint="eastAsia"/>
                <w:color w:val="auto"/>
                <w:sz w:val="24"/>
              </w:rPr>
              <w:t>23）中相关要求规范设置，采取必要的防风、防晒、防雨、防漏、防渗、防腐以及其他环境污染防治措施。结合本项目，危废暂存间设置要求如下：</w:t>
            </w:r>
          </w:p>
          <w:p w14:paraId="0501017C">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①暂存间内地面、墙面裙脚、堵截泄漏的围堰、接触危险废物的隔板和墙体等应采用坚固的材料建造，表面无裂缝；</w:t>
            </w:r>
          </w:p>
          <w:p w14:paraId="2A51401C">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rPr>
            </w:pPr>
            <w:r>
              <w:rPr>
                <w:rFonts w:hint="eastAsia"/>
                <w:color w:val="auto"/>
                <w:sz w:val="24"/>
              </w:rPr>
              <w:t>②暂存间地面与裙脚应采取表面防渗措施；</w:t>
            </w:r>
          </w:p>
          <w:p w14:paraId="429A95A1">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③设有安全照明设施和观察窗口，暂存间配有防护服及工具；</w:t>
            </w:r>
          </w:p>
          <w:p w14:paraId="2F9F8205">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④危险废物贮存设施设置警示标志，暂存区周围设置围堰；</w:t>
            </w:r>
          </w:p>
          <w:p w14:paraId="2C081A88">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⑤危险暂存间安排专人进行管理，禁止无关人员进入；</w:t>
            </w:r>
          </w:p>
          <w:p w14:paraId="4FB5A6B7">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⑥做好危险废物情况的记录，记录上须注明危险废物的名称、来源、数量、特性和包装容器的类别、入库日期、出库日期及接收单位名称，危险废物的记录和货单在危险废物回取后应继续保留三年。</w:t>
            </w:r>
          </w:p>
          <w:p w14:paraId="602587B7">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⑦危废间设置导流沟和收集池，用于事故废</w:t>
            </w:r>
            <w:r>
              <w:rPr>
                <w:rFonts w:hint="eastAsia"/>
                <w:color w:val="auto"/>
                <w:sz w:val="24"/>
                <w:lang w:eastAsia="zh-CN"/>
              </w:rPr>
              <w:t>液</w:t>
            </w:r>
            <w:r>
              <w:rPr>
                <w:rFonts w:hint="eastAsia"/>
                <w:color w:val="auto"/>
                <w:sz w:val="24"/>
              </w:rPr>
              <w:t>收集。</w:t>
            </w:r>
          </w:p>
          <w:p w14:paraId="23CDB614">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项目</w:t>
            </w:r>
            <w:r>
              <w:rPr>
                <w:rFonts w:hint="eastAsia"/>
                <w:color w:val="auto"/>
                <w:sz w:val="24"/>
                <w:lang w:eastAsia="zh-CN"/>
              </w:rPr>
              <w:t>危废间位于厂区东北侧，大小为</w:t>
            </w:r>
            <w:r>
              <w:rPr>
                <w:rFonts w:hint="eastAsia"/>
                <w:color w:val="auto"/>
                <w:sz w:val="24"/>
                <w:lang w:val="en-US" w:eastAsia="zh-CN"/>
              </w:rPr>
              <w:t>5m</w:t>
            </w:r>
            <w:r>
              <w:rPr>
                <w:rFonts w:hint="eastAsia"/>
                <w:color w:val="auto"/>
                <w:sz w:val="24"/>
                <w:vertAlign w:val="superscript"/>
                <w:lang w:val="en-US" w:eastAsia="zh-CN"/>
              </w:rPr>
              <w:t>2</w:t>
            </w:r>
            <w:r>
              <w:rPr>
                <w:rFonts w:hint="eastAsia"/>
                <w:color w:val="auto"/>
                <w:sz w:val="24"/>
              </w:rPr>
              <w:t>。项目建成后，危废间满足《危险废物贮存污染控制标准》（</w:t>
            </w:r>
            <w:r>
              <w:rPr>
                <w:rFonts w:hint="default"/>
                <w:color w:val="auto"/>
                <w:sz w:val="24"/>
              </w:rPr>
              <w:t>GB18597-20</w:t>
            </w:r>
            <w:r>
              <w:rPr>
                <w:rFonts w:hint="eastAsia"/>
                <w:color w:val="auto"/>
                <w:sz w:val="24"/>
              </w:rPr>
              <w:t>23）中相关要求。</w:t>
            </w:r>
          </w:p>
          <w:p w14:paraId="1FB1D083">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危险废物转移管理办法</w:t>
            </w:r>
          </w:p>
          <w:p w14:paraId="45DA607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运营后产生的危险废物按要求填写危险废物转移联单和签订委托处置合同。根据《危险废物转移管理办法》（部令第23号</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，转移危险废物的，应当通过国家危险废物信息管理系统（以下简称信息系统）填写、运行危险废物电子转移联单，并依照国家有关规定公开危险废物转移相关污染环境防治信息。</w:t>
            </w:r>
          </w:p>
          <w:p w14:paraId="113F7BD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危险废物移出人、危险废物承运人、危险废物接受人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以下分别简称移出人、承运人和接受人</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在危险废物转移过程中应当采取防扬散、防流失防渗漏或者其他防止污染环境的措施，不得擅自倾倒、堆放、丢弃、遗撒危险废物，并对所造成的环境污染及生态破坏依法承担责任。</w:t>
            </w:r>
          </w:p>
          <w:p w14:paraId="44C8DB4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w:t>
            </w:r>
          </w:p>
          <w:p w14:paraId="5837ACBF">
            <w:pPr>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危险废物转移联单的运行和管理</w:t>
            </w:r>
          </w:p>
          <w:p w14:paraId="1E69A0EE">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危险废物转移联单应当根据危险废物管理计划中填报的危险废物转移等备案信息填写、运行。</w:t>
            </w:r>
          </w:p>
          <w:p w14:paraId="483C51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14:paraId="7D40FDE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w:t>
            </w:r>
          </w:p>
          <w:p w14:paraId="013BDEE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使用同一车（船或者其他运输工具）一次为多个移出人转移危险废物的，每个移出人应当分别填写、运行危险废物转移联单。</w:t>
            </w:r>
          </w:p>
          <w:p w14:paraId="03ED511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采用联运方式转移危险废物的，前一承运人和后一承运人应当明确运输交接的时间和地点。后一承运人应当核实危险废物转移联单确定的移出人信息、前一承运人信息及危险废物相关信息。</w:t>
            </w:r>
          </w:p>
          <w:p w14:paraId="1D7F1525">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危废运输由危废资质单位负责运输和处理。项目危险废物采用专门的车辆，密闭运输，严格禁止抛洒滴漏，杜绝在运输过程中造成环境的二次污染。在危险废物的运输中执行《危险废物转移联单管理办法》中有关的规定和要求。同时对运输路线的选择要尽量避开敏感点，减少对敏感点产生影响的风险。</w:t>
            </w:r>
          </w:p>
          <w:p w14:paraId="40347A7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eastAsia="zh-CN"/>
              </w:rPr>
              <w:t>（</w:t>
            </w:r>
            <w:r>
              <w:rPr>
                <w:rFonts w:hint="eastAsia" w:eastAsia="宋体" w:cs="Times New Roman"/>
                <w:b/>
                <w:color w:val="auto"/>
                <w:sz w:val="24"/>
                <w:highlight w:val="none"/>
                <w:lang w:val="en-US" w:eastAsia="zh-CN"/>
              </w:rPr>
              <w:t>5</w:t>
            </w:r>
            <w:r>
              <w:rPr>
                <w:rFonts w:hint="eastAsia" w:eastAsia="宋体" w:cs="Times New Roman"/>
                <w:b/>
                <w:color w:val="auto"/>
                <w:sz w:val="24"/>
                <w:highlight w:val="none"/>
                <w:lang w:eastAsia="zh-CN"/>
              </w:rPr>
              <w:t>）</w:t>
            </w:r>
            <w:r>
              <w:rPr>
                <w:rFonts w:hint="default" w:ascii="Times New Roman" w:hAnsi="Times New Roman" w:eastAsia="Times New Roman" w:cs="Times New Roman"/>
                <w:b/>
                <w:color w:val="auto"/>
                <w:sz w:val="24"/>
                <w:highlight w:val="none"/>
              </w:rPr>
              <w:t>一般固废暂存</w:t>
            </w:r>
          </w:p>
          <w:p w14:paraId="38ECF775">
            <w:pPr>
              <w:keepNext w:val="0"/>
              <w:keepLines w:val="0"/>
              <w:pageBreakBefore w:val="0"/>
              <w:suppressLineNumbers w:val="0"/>
              <w:tabs>
                <w:tab w:val="left" w:pos="3052"/>
              </w:tabs>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auto"/>
                <w:sz w:val="24"/>
                <w:highlight w:val="none"/>
              </w:rPr>
            </w:pPr>
            <w:r>
              <w:rPr>
                <w:rFonts w:hint="default" w:ascii="Times New Roman" w:hAnsi="Times New Roman" w:eastAsia="Times New Roman" w:cs="Times New Roman"/>
                <w:color w:val="auto"/>
                <w:sz w:val="24"/>
                <w:highlight w:val="none"/>
              </w:rPr>
              <w:t>各类一般固体废物分类有序堆存，同时设置一般固体废物标识牌，一般固废暂存处应满足《一般工业固体废物贮存和填埋污染控制标准》（GB18599-2020）相关要求。</w:t>
            </w:r>
          </w:p>
          <w:p w14:paraId="3697D8C1">
            <w:pPr>
              <w:keepNext w:val="0"/>
              <w:keepLines w:val="0"/>
              <w:pageBreakBefore w:val="0"/>
              <w:suppressLineNumbers w:val="0"/>
              <w:tabs>
                <w:tab w:val="left" w:pos="3052"/>
              </w:tabs>
              <w:kinsoku/>
              <w:wordWrap/>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Times New Roman" w:cs="Times New Roman"/>
                <w:b/>
                <w:color w:val="auto"/>
                <w:sz w:val="24"/>
                <w:highlight w:val="none"/>
              </w:rPr>
            </w:pPr>
            <w:r>
              <w:rPr>
                <w:rFonts w:hint="eastAsia" w:eastAsia="宋体" w:cs="Times New Roman"/>
                <w:b/>
                <w:color w:val="auto"/>
                <w:sz w:val="24"/>
                <w:highlight w:val="none"/>
                <w:lang w:eastAsia="zh-CN"/>
              </w:rPr>
              <w:t>（</w:t>
            </w:r>
            <w:r>
              <w:rPr>
                <w:rFonts w:hint="eastAsia" w:eastAsia="宋体" w:cs="Times New Roman"/>
                <w:b/>
                <w:color w:val="auto"/>
                <w:sz w:val="24"/>
                <w:highlight w:val="none"/>
                <w:lang w:val="en-US" w:eastAsia="zh-CN"/>
              </w:rPr>
              <w:t>6</w:t>
            </w:r>
            <w:r>
              <w:rPr>
                <w:rFonts w:hint="eastAsia" w:eastAsia="宋体" w:cs="Times New Roman"/>
                <w:b/>
                <w:color w:val="auto"/>
                <w:sz w:val="24"/>
                <w:highlight w:val="none"/>
                <w:lang w:eastAsia="zh-CN"/>
              </w:rPr>
              <w:t>）</w:t>
            </w:r>
            <w:r>
              <w:rPr>
                <w:rFonts w:hint="default" w:ascii="Times New Roman" w:hAnsi="Times New Roman" w:eastAsia="Times New Roman" w:cs="Times New Roman"/>
                <w:b/>
                <w:color w:val="auto"/>
                <w:sz w:val="24"/>
                <w:highlight w:val="none"/>
              </w:rPr>
              <w:t>其他要求</w:t>
            </w:r>
          </w:p>
          <w:p w14:paraId="543D72CC">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按照《中华人民共和国固体废物污染环境防治法》、《排污许可证申请与核发技术规范 工业固体废物（试行）》（HJ1200-2021）相关要求，评价要求企业应做到以下几点要求：</w:t>
            </w:r>
          </w:p>
          <w:p w14:paraId="125D5C0A">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①对工业固体废物采取防扬散、防流失、防渗漏或者其他防止污染环境的措施，不得擅自倾倒、堆放、丢弃、遗撒工业固体废物。</w:t>
            </w:r>
          </w:p>
          <w:p w14:paraId="15D62FD1">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②</w:t>
            </w:r>
            <w:r>
              <w:rPr>
                <w:rFonts w:hint="default"/>
                <w:color w:val="auto"/>
                <w:sz w:val="24"/>
              </w:rPr>
              <w:t>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6C65A24B">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rPr>
              <w:t>③</w:t>
            </w:r>
            <w:r>
              <w:rPr>
                <w:rFonts w:hint="default"/>
                <w:color w:val="auto"/>
                <w:sz w:val="24"/>
              </w:rPr>
              <w:t>禁止向生活垃圾收集设施中投放工业固体废物。</w:t>
            </w:r>
          </w:p>
          <w:p w14:paraId="77C25A32">
            <w:pPr>
              <w:keepNext w:val="0"/>
              <w:keepLines w:val="0"/>
              <w:suppressLineNumbers w:val="0"/>
              <w:tabs>
                <w:tab w:val="left" w:pos="3052"/>
              </w:tabs>
              <w:adjustRightInd w:val="0"/>
              <w:snapToGrid w:val="0"/>
              <w:spacing w:before="0" w:beforeAutospacing="0" w:after="0" w:afterAutospacing="0" w:line="360" w:lineRule="auto"/>
              <w:ind w:left="0" w:right="0" w:firstLine="480" w:firstLineChars="200"/>
              <w:rPr>
                <w:rFonts w:hint="default"/>
                <w:color w:val="auto"/>
                <w:sz w:val="24"/>
              </w:rPr>
            </w:pPr>
            <w:r>
              <w:rPr>
                <w:rFonts w:hint="eastAsia"/>
                <w:color w:val="auto"/>
                <w:sz w:val="24"/>
              </w:rPr>
              <w:t>④</w:t>
            </w:r>
            <w:r>
              <w:rPr>
                <w:rFonts w:hint="default"/>
                <w:color w:val="auto"/>
                <w:sz w:val="24"/>
              </w:rPr>
              <w:t>应当向所在地生态环境主管部门提供工业固体废物的种类、数量、流向、贮存、利用、处置等有关资料，以及减少工业固体废物产生、促进综合利用的具体措施，并执行排污许可管理制度的相关规定。</w:t>
            </w:r>
          </w:p>
          <w:p w14:paraId="27719AE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eastAsia"/>
                <w:color w:val="auto"/>
                <w:sz w:val="24"/>
              </w:rPr>
              <w:t>⑤</w:t>
            </w:r>
            <w:r>
              <w:rPr>
                <w:rFonts w:hint="eastAsia" w:hAnsi="宋体"/>
                <w:bCs/>
                <w:color w:val="auto"/>
                <w:sz w:val="24"/>
              </w:rPr>
              <w:t>企业固体废物涉及危险废物，依据《中华人民共和国固体废物污染环境防治法（</w:t>
            </w:r>
            <w:r>
              <w:rPr>
                <w:rFonts w:hint="default" w:hAnsi="宋体"/>
                <w:bCs/>
                <w:color w:val="auto"/>
                <w:sz w:val="24"/>
              </w:rPr>
              <w:t>2020</w:t>
            </w:r>
            <w:r>
              <w:rPr>
                <w:rFonts w:hint="eastAsia" w:hAnsi="宋体"/>
                <w:bCs/>
                <w:color w:val="auto"/>
                <w:sz w:val="24"/>
              </w:rPr>
              <w:t>年修订）》（中华人民共和国主席令第四十三号）要求，需制定危险废物意外事故防范措施和应急预案。</w:t>
            </w:r>
          </w:p>
          <w:p w14:paraId="432A1719">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企业不涉及危险废物的运输，均由有相应危废处置资质的单位拉运处理。</w:t>
            </w:r>
          </w:p>
          <w:p w14:paraId="311115A1">
            <w:pPr>
              <w:keepNext w:val="0"/>
              <w:keepLines w:val="0"/>
              <w:pageBreakBefore w:val="0"/>
              <w:widowControl w:val="0"/>
              <w:suppressLineNumbers w:val="0"/>
              <w:tabs>
                <w:tab w:val="left" w:pos="3052"/>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4"/>
                <w:szCs w:val="24"/>
                <w:highlight w:val="none"/>
              </w:rPr>
              <w:t>综上所述，本项目在采取上述治理措施的情况下，固废均得到综合利用或妥善处置，不会产生二次污染，对周边环境影响较小。</w:t>
            </w:r>
          </w:p>
          <w:p w14:paraId="19D7CAA5">
            <w:pPr>
              <w:keepNext w:val="0"/>
              <w:keepLines w:val="0"/>
              <w:pageBreakBefore w:val="0"/>
              <w:suppressLineNumbers w:val="0"/>
              <w:tabs>
                <w:tab w:val="left" w:pos="8841"/>
              </w:tabs>
              <w:kinsoku/>
              <w:wordWrap/>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color w:val="auto"/>
                <w:sz w:val="24"/>
                <w:szCs w:val="24"/>
                <w:highlight w:val="none"/>
                <w:lang w:eastAsia="zh-CN"/>
              </w:rPr>
            </w:pPr>
            <w:r>
              <w:rPr>
                <w:rFonts w:hint="default" w:ascii="Times New Roman" w:hAnsi="Times New Roman" w:eastAsia="Times New Roman" w:cs="Times New Roman"/>
                <w:b/>
                <w:color w:val="auto"/>
                <w:sz w:val="24"/>
                <w:highlight w:val="none"/>
                <w:lang w:val="en-US" w:eastAsia="zh-CN"/>
              </w:rPr>
              <w:t>5.</w:t>
            </w:r>
            <w:r>
              <w:rPr>
                <w:rFonts w:hint="default" w:ascii="Times New Roman" w:hAnsi="Times New Roman" w:eastAsia="Times New Roman" w:cs="Times New Roman"/>
                <w:b/>
                <w:bCs/>
                <w:color w:val="auto"/>
                <w:sz w:val="24"/>
                <w:szCs w:val="24"/>
                <w:highlight w:val="none"/>
              </w:rPr>
              <w:t>土壤</w:t>
            </w:r>
            <w:r>
              <w:rPr>
                <w:rFonts w:hint="default" w:ascii="Times New Roman" w:hAnsi="Times New Roman" w:eastAsia="Times New Roman" w:cs="Times New Roman"/>
                <w:b/>
                <w:bCs/>
                <w:color w:val="auto"/>
                <w:sz w:val="24"/>
                <w:szCs w:val="24"/>
                <w:highlight w:val="none"/>
                <w:lang w:eastAsia="zh-CN"/>
              </w:rPr>
              <w:t>评价</w:t>
            </w:r>
          </w:p>
          <w:p w14:paraId="5E334B5E">
            <w:pPr>
              <w:keepNext w:val="0"/>
              <w:keepLines w:val="0"/>
              <w:suppressLineNumbers w:val="0"/>
              <w:tabs>
                <w:tab w:val="left" w:pos="720"/>
              </w:tabs>
              <w:adjustRightInd w:val="0"/>
              <w:snapToGrid w:val="0"/>
              <w:spacing w:before="0" w:beforeAutospacing="0" w:after="0" w:afterAutospacing="0" w:line="360" w:lineRule="auto"/>
              <w:ind w:left="0" w:right="0" w:firstLine="482"/>
              <w:rPr>
                <w:rFonts w:hint="default"/>
                <w:color w:val="auto"/>
                <w:sz w:val="24"/>
              </w:rPr>
            </w:pPr>
            <w:r>
              <w:rPr>
                <w:rFonts w:hint="default"/>
                <w:color w:val="auto"/>
                <w:sz w:val="24"/>
              </w:rPr>
              <w:t>本项目生产过程无废水产生，生活废水经化粪池处理后通过市政污水管网排入</w:t>
            </w:r>
            <w:r>
              <w:rPr>
                <w:rFonts w:hint="eastAsia"/>
                <w:color w:val="auto"/>
                <w:kern w:val="0"/>
                <w:sz w:val="24"/>
                <w:szCs w:val="20"/>
              </w:rPr>
              <w:t>汤阴固现污水处理有限公司</w:t>
            </w:r>
            <w:r>
              <w:rPr>
                <w:rFonts w:hint="default"/>
                <w:color w:val="auto"/>
                <w:sz w:val="24"/>
              </w:rPr>
              <w:t>进一步处理。化粪池做好防渗后基本不会产生废水污染地下水和土壤的现象。</w:t>
            </w:r>
          </w:p>
          <w:p w14:paraId="0244337A">
            <w:pPr>
              <w:keepNext w:val="0"/>
              <w:keepLines w:val="0"/>
              <w:suppressLineNumbers w:val="0"/>
              <w:tabs>
                <w:tab w:val="left" w:pos="720"/>
              </w:tabs>
              <w:adjustRightInd w:val="0"/>
              <w:snapToGrid w:val="0"/>
              <w:spacing w:before="0" w:beforeAutospacing="0" w:after="0" w:afterAutospacing="0" w:line="360" w:lineRule="auto"/>
              <w:ind w:left="0" w:right="0" w:firstLine="482"/>
              <w:rPr>
                <w:rFonts w:hint="default"/>
                <w:color w:val="auto"/>
              </w:rPr>
            </w:pPr>
            <w:r>
              <w:rPr>
                <w:rFonts w:hint="default"/>
                <w:color w:val="auto"/>
                <w:sz w:val="24"/>
              </w:rPr>
              <w:t>项目营运期对地下水、土壤的污染主要为</w:t>
            </w:r>
            <w:r>
              <w:rPr>
                <w:rFonts w:hint="eastAsia"/>
                <w:color w:val="auto"/>
                <w:sz w:val="24"/>
              </w:rPr>
              <w:t>聚乙烯颗粒、聚乙烯丝、钙基润滑脂（黄油）等</w:t>
            </w:r>
            <w:r>
              <w:rPr>
                <w:rFonts w:hint="default"/>
                <w:color w:val="auto"/>
                <w:sz w:val="24"/>
              </w:rPr>
              <w:t>暂存、使用不当会对地下水、土壤造成污染。可能发生渗漏的区域包括危废暂存间及生产车间，建设单位采取分区防控措施，危废暂存间作为重点防渗区，生产车间作为一般防渗区，采取相应的防渗措施，防渗措施满足相关规定的防渗要求，阻断各污染物污染土壤的途径。加强对设备的维护、检修，杜绝“跑、冒、滴、漏”现象发生，同时定期检查，即使发现事故隐患，采取有效的应对措施以防事故的发生，从而有效防止项目运营过程对地下水或通过下渗作用对土壤造成影响。</w:t>
            </w:r>
          </w:p>
          <w:p w14:paraId="087951A7">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6.地下水环境影响分析</w:t>
            </w:r>
          </w:p>
          <w:p w14:paraId="492569AC">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Times New Roman" w:cs="Times New Roman"/>
                <w:b w:val="0"/>
                <w:bCs w:val="0"/>
                <w:color w:val="auto"/>
                <w:sz w:val="24"/>
                <w:szCs w:val="24"/>
                <w:highlight w:val="none"/>
                <w:lang w:val="en-US" w:eastAsia="zh-CN"/>
              </w:rPr>
            </w:pPr>
            <w:r>
              <w:rPr>
                <w:rFonts w:hint="default" w:ascii="Times New Roman" w:hAnsi="Times New Roman" w:eastAsia="宋体" w:cs="Times New Roman"/>
                <w:bCs/>
                <w:color w:val="auto"/>
                <w:kern w:val="2"/>
                <w:sz w:val="24"/>
                <w:szCs w:val="24"/>
                <w:lang w:val="en-US" w:eastAsia="zh-CN" w:bidi="ar"/>
              </w:rPr>
              <w:t>本项目不涉及地下水与土壤污染源，根据《建设项目环境影响报告表编制技术指南》（污染影响类）（试行），本工程不开展地下水、土壤环境影响分析。</w:t>
            </w:r>
          </w:p>
          <w:p w14:paraId="33AC1A4C">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7.环境风险影响分析</w:t>
            </w:r>
          </w:p>
          <w:p w14:paraId="6A73C608">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7.1物质危险性识别</w:t>
            </w:r>
          </w:p>
          <w:p w14:paraId="1C5963BB">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w:t>
            </w:r>
            <w:r>
              <w:rPr>
                <w:rFonts w:hint="default" w:ascii="Times New Roman" w:hAnsi="Times New Roman" w:eastAsia="Times New Roman" w:cs="Times New Roman"/>
                <w:color w:val="auto"/>
                <w:sz w:val="24"/>
                <w:szCs w:val="24"/>
                <w:highlight w:val="none"/>
                <w:lang w:val="zh-CN"/>
              </w:rPr>
              <w:t>企业突发环境事件风险分级方法</w:t>
            </w:r>
            <w:r>
              <w:rPr>
                <w:rFonts w:hint="default" w:ascii="Times New Roman" w:hAnsi="Times New Roman" w:eastAsia="宋体" w:cs="Times New Roman"/>
                <w:color w:val="auto"/>
                <w:sz w:val="24"/>
                <w:highlight w:val="none"/>
                <w:lang w:val="en-US" w:eastAsia="zh-CN"/>
              </w:rPr>
              <w:t>》（HJ941-2018）、</w:t>
            </w:r>
            <w:r>
              <w:rPr>
                <w:rFonts w:hint="default" w:ascii="Times New Roman" w:hAnsi="Times New Roman" w:eastAsia="宋体" w:cs="Times New Roman"/>
                <w:color w:val="auto"/>
                <w:sz w:val="24"/>
                <w:highlight w:val="none"/>
              </w:rPr>
              <w:t>《建设项目环境风险评价技术导则》（HJ/T 169-2018）</w:t>
            </w:r>
            <w:r>
              <w:rPr>
                <w:rFonts w:hint="default" w:ascii="Times New Roman" w:hAnsi="Times New Roman" w:eastAsia="宋体" w:cs="Times New Roman"/>
                <w:color w:val="auto"/>
                <w:sz w:val="24"/>
                <w:highlight w:val="none"/>
                <w:lang w:val="en-US" w:eastAsia="zh-CN"/>
              </w:rPr>
              <w:t>等文件，对比</w:t>
            </w:r>
            <w:r>
              <w:rPr>
                <w:rFonts w:hint="default" w:ascii="Times New Roman" w:hAnsi="Times New Roman" w:eastAsia="宋体" w:cs="Times New Roman"/>
                <w:color w:val="auto"/>
                <w:sz w:val="24"/>
                <w:highlight w:val="none"/>
              </w:rPr>
              <w:t>项目原辅料、产品及三废污染物。</w:t>
            </w:r>
            <w:r>
              <w:rPr>
                <w:rFonts w:hint="default" w:ascii="Times New Roman" w:hAnsi="Times New Roman" w:eastAsia="宋体" w:cs="Times New Roman"/>
                <w:color w:val="auto"/>
                <w:sz w:val="24"/>
                <w:highlight w:val="none"/>
                <w:lang w:val="en-US" w:eastAsia="zh-CN"/>
              </w:rPr>
              <w:t>企业涉及风险物质主要包括非甲烷总烃、润滑油、危险废物及火灾爆炸次生废物等。</w:t>
            </w:r>
          </w:p>
          <w:p w14:paraId="3045C154">
            <w:pPr>
              <w:keepNext w:val="0"/>
              <w:keepLines w:val="0"/>
              <w:suppressLineNumbers w:val="0"/>
              <w:spacing w:before="0" w:beforeAutospacing="0" w:after="0" w:afterAutospacing="0" w:line="360" w:lineRule="auto"/>
              <w:ind w:left="0" w:right="0" w:firstLine="480" w:firstLineChars="200"/>
              <w:rPr>
                <w:rFonts w:hint="eastAsia"/>
                <w:b/>
                <w:color w:val="auto"/>
                <w:sz w:val="24"/>
                <w:szCs w:val="24"/>
              </w:rPr>
            </w:pPr>
            <w:r>
              <w:rPr>
                <w:rFonts w:hint="eastAsia"/>
                <w:color w:val="auto"/>
                <w:sz w:val="24"/>
                <w:szCs w:val="24"/>
              </w:rPr>
              <w:t>根据《建设项目环境风险评价技术导则》（HJ169-2018）中附录B.1突发环境事件风险物质及临界量表，以及《化学品分类和标签规范 第18部分</w:t>
            </w:r>
            <w:r>
              <w:rPr>
                <w:rFonts w:hint="eastAsia"/>
                <w:color w:val="auto"/>
                <w:sz w:val="24"/>
                <w:szCs w:val="24"/>
                <w:lang w:eastAsia="zh-CN"/>
              </w:rPr>
              <w:t>：</w:t>
            </w:r>
            <w:r>
              <w:rPr>
                <w:rFonts w:hint="eastAsia"/>
                <w:color w:val="auto"/>
                <w:sz w:val="24"/>
                <w:szCs w:val="24"/>
              </w:rPr>
              <w:t>急性毒性》（GB30000.18-2013）、《化学品分类和标签规范 第28部分：对水生环境的危害》（GB30000.28-2013）等文件进行，对原辅料、三废、产品等进行风险物质识别。</w:t>
            </w:r>
          </w:p>
          <w:p w14:paraId="182D258B">
            <w:pPr>
              <w:keepNext w:val="0"/>
              <w:keepLines w:val="0"/>
              <w:suppressLineNumbers w:val="0"/>
              <w:tabs>
                <w:tab w:val="left" w:pos="2325"/>
              </w:tabs>
              <w:adjustRightInd w:val="0"/>
              <w:snapToGrid w:val="0"/>
              <w:spacing w:before="0" w:beforeAutospacing="0" w:after="0" w:afterAutospacing="0"/>
              <w:ind w:left="0" w:right="0"/>
              <w:jc w:val="center"/>
              <w:textAlignment w:val="baseline"/>
              <w:rPr>
                <w:rFonts w:hint="default"/>
                <w:b/>
                <w:color w:val="auto"/>
                <w:sz w:val="24"/>
                <w:szCs w:val="24"/>
              </w:rPr>
            </w:pPr>
            <w:r>
              <w:rPr>
                <w:rFonts w:hint="eastAsia"/>
                <w:b/>
                <w:color w:val="auto"/>
                <w:sz w:val="24"/>
                <w:szCs w:val="24"/>
              </w:rPr>
              <w:t>风险物质</w:t>
            </w:r>
            <w:r>
              <w:rPr>
                <w:rFonts w:hint="default"/>
                <w:b/>
                <w:color w:val="auto"/>
                <w:sz w:val="24"/>
                <w:szCs w:val="24"/>
              </w:rPr>
              <w:t>识别</w:t>
            </w:r>
          </w:p>
          <w:tbl>
            <w:tblPr>
              <w:tblStyle w:val="26"/>
              <w:tblW w:w="498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79"/>
              <w:gridCol w:w="309"/>
              <w:gridCol w:w="1264"/>
              <w:gridCol w:w="1697"/>
              <w:gridCol w:w="2013"/>
              <w:gridCol w:w="1037"/>
              <w:gridCol w:w="601"/>
              <w:gridCol w:w="1572"/>
            </w:tblGrid>
            <w:tr w14:paraId="11F363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45" w:hRule="atLeast"/>
                <w:jc w:val="center"/>
              </w:trPr>
              <w:tc>
                <w:tcPr>
                  <w:tcW w:w="335" w:type="pct"/>
                  <w:gridSpan w:val="2"/>
                  <w:noWrap w:val="0"/>
                  <w:vAlign w:val="center"/>
                </w:tcPr>
                <w:p w14:paraId="3555306D">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项目</w:t>
                  </w:r>
                </w:p>
              </w:tc>
              <w:tc>
                <w:tcPr>
                  <w:tcW w:w="720" w:type="pct"/>
                  <w:noWrap w:val="0"/>
                  <w:vAlign w:val="center"/>
                </w:tcPr>
                <w:p w14:paraId="08725A58">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default"/>
                      <w:b/>
                      <w:bCs/>
                      <w:color w:val="auto"/>
                      <w:sz w:val="21"/>
                      <w:szCs w:val="21"/>
                      <w:lang w:bidi="ar"/>
                    </w:rPr>
                    <w:t>危险物品名称</w:t>
                  </w:r>
                </w:p>
              </w:tc>
              <w:tc>
                <w:tcPr>
                  <w:tcW w:w="967" w:type="pct"/>
                  <w:noWrap w:val="0"/>
                  <w:vAlign w:val="center"/>
                </w:tcPr>
                <w:p w14:paraId="6DC0DF26">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主要成分</w:t>
                  </w:r>
                </w:p>
              </w:tc>
              <w:tc>
                <w:tcPr>
                  <w:tcW w:w="1147" w:type="pct"/>
                  <w:noWrap w:val="0"/>
                  <w:vAlign w:val="center"/>
                </w:tcPr>
                <w:p w14:paraId="10895538">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CAS号</w:t>
                  </w:r>
                </w:p>
              </w:tc>
              <w:tc>
                <w:tcPr>
                  <w:tcW w:w="591" w:type="pct"/>
                  <w:noWrap w:val="0"/>
                  <w:vAlign w:val="center"/>
                </w:tcPr>
                <w:p w14:paraId="596922A1">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GHS危害性类别</w:t>
                  </w:r>
                </w:p>
              </w:tc>
              <w:tc>
                <w:tcPr>
                  <w:tcW w:w="342" w:type="pct"/>
                  <w:noWrap w:val="0"/>
                  <w:vAlign w:val="center"/>
                </w:tcPr>
                <w:p w14:paraId="02006151">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是否风险物质</w:t>
                  </w:r>
                </w:p>
              </w:tc>
              <w:tc>
                <w:tcPr>
                  <w:tcW w:w="895" w:type="pct"/>
                  <w:noWrap w:val="0"/>
                  <w:vAlign w:val="center"/>
                </w:tcPr>
                <w:p w14:paraId="70685CB4">
                  <w:pPr>
                    <w:keepNext w:val="0"/>
                    <w:keepLines w:val="0"/>
                    <w:suppressLineNumbers w:val="0"/>
                    <w:adjustRightInd w:val="0"/>
                    <w:snapToGrid w:val="0"/>
                    <w:spacing w:before="0" w:beforeAutospacing="0" w:after="0" w:afterAutospacing="0"/>
                    <w:ind w:left="0" w:right="0"/>
                    <w:jc w:val="center"/>
                    <w:rPr>
                      <w:rFonts w:hint="default"/>
                      <w:b/>
                      <w:bCs/>
                      <w:color w:val="auto"/>
                      <w:sz w:val="21"/>
                      <w:szCs w:val="21"/>
                      <w:lang w:bidi="ar"/>
                    </w:rPr>
                  </w:pPr>
                  <w:r>
                    <w:rPr>
                      <w:rFonts w:hint="eastAsia"/>
                      <w:b/>
                      <w:bCs/>
                      <w:color w:val="auto"/>
                      <w:sz w:val="21"/>
                      <w:szCs w:val="21"/>
                      <w:lang w:bidi="ar"/>
                    </w:rPr>
                    <w:t>类别</w:t>
                  </w:r>
                </w:p>
              </w:tc>
            </w:tr>
            <w:tr w14:paraId="7421A3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8" w:hRule="atLeast"/>
                <w:jc w:val="center"/>
              </w:trPr>
              <w:tc>
                <w:tcPr>
                  <w:tcW w:w="335" w:type="pct"/>
                  <w:gridSpan w:val="2"/>
                  <w:vMerge w:val="restart"/>
                  <w:noWrap w:val="0"/>
                  <w:vAlign w:val="center"/>
                </w:tcPr>
                <w:p w14:paraId="2676BC1C">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原辅材料</w:t>
                  </w:r>
                </w:p>
              </w:tc>
              <w:tc>
                <w:tcPr>
                  <w:tcW w:w="720" w:type="pct"/>
                  <w:noWrap w:val="0"/>
                  <w:vAlign w:val="center"/>
                </w:tcPr>
                <w:p w14:paraId="40D4E5DD">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default" w:ascii="Times New Roman" w:hAnsi="Times New Roman" w:cs="Times New Roman"/>
                      <w:color w:val="auto"/>
                      <w:sz w:val="21"/>
                      <w:szCs w:val="21"/>
                    </w:rPr>
                    <w:t>钙基润滑脂（黄油）</w:t>
                  </w:r>
                </w:p>
              </w:tc>
              <w:tc>
                <w:tcPr>
                  <w:tcW w:w="967" w:type="pct"/>
                  <w:noWrap w:val="0"/>
                  <w:vAlign w:val="center"/>
                </w:tcPr>
                <w:p w14:paraId="03422CAF">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润滑油</w:t>
                  </w:r>
                </w:p>
              </w:tc>
              <w:tc>
                <w:tcPr>
                  <w:tcW w:w="1147" w:type="pct"/>
                  <w:noWrap w:val="0"/>
                  <w:vAlign w:val="center"/>
                </w:tcPr>
                <w:p w14:paraId="22E346ED">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default"/>
                      <w:color w:val="auto"/>
                      <w:sz w:val="21"/>
                      <w:szCs w:val="21"/>
                      <w:lang w:bidi="ar"/>
                    </w:rPr>
                    <w:t>74869-22-0</w:t>
                  </w:r>
                </w:p>
              </w:tc>
              <w:tc>
                <w:tcPr>
                  <w:tcW w:w="591" w:type="pct"/>
                  <w:noWrap w:val="0"/>
                  <w:vAlign w:val="center"/>
                </w:tcPr>
                <w:p w14:paraId="04C5C20B">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342" w:type="pct"/>
                  <w:noWrap w:val="0"/>
                  <w:vAlign w:val="center"/>
                </w:tcPr>
                <w:p w14:paraId="59DFFB8E">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是</w:t>
                  </w:r>
                </w:p>
              </w:tc>
              <w:tc>
                <w:tcPr>
                  <w:tcW w:w="895" w:type="pct"/>
                  <w:noWrap w:val="0"/>
                  <w:vAlign w:val="center"/>
                </w:tcPr>
                <w:p w14:paraId="42CFE0CA">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HJ 169-2018，B.1序号381</w:t>
                  </w:r>
                </w:p>
              </w:tc>
            </w:tr>
            <w:tr w14:paraId="3FF2C0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7" w:hRule="atLeast"/>
                <w:jc w:val="center"/>
              </w:trPr>
              <w:tc>
                <w:tcPr>
                  <w:tcW w:w="335" w:type="pct"/>
                  <w:gridSpan w:val="2"/>
                  <w:vMerge w:val="continue"/>
                  <w:noWrap w:val="0"/>
                  <w:vAlign w:val="center"/>
                </w:tcPr>
                <w:p w14:paraId="633F1B7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p>
              </w:tc>
              <w:tc>
                <w:tcPr>
                  <w:tcW w:w="720" w:type="pct"/>
                  <w:noWrap w:val="0"/>
                  <w:vAlign w:val="center"/>
                </w:tcPr>
                <w:p w14:paraId="36CAE287">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油墨</w:t>
                  </w:r>
                </w:p>
              </w:tc>
              <w:tc>
                <w:tcPr>
                  <w:tcW w:w="967" w:type="pct"/>
                  <w:noWrap w:val="0"/>
                  <w:vAlign w:val="center"/>
                </w:tcPr>
                <w:p w14:paraId="0D0C41D5">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丙烯酸树脂</w:t>
                  </w:r>
                </w:p>
              </w:tc>
              <w:tc>
                <w:tcPr>
                  <w:tcW w:w="1147" w:type="pct"/>
                  <w:noWrap w:val="0"/>
                  <w:vAlign w:val="center"/>
                </w:tcPr>
                <w:p w14:paraId="5FB10659">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9003-01-4</w:t>
                  </w:r>
                </w:p>
              </w:tc>
              <w:tc>
                <w:tcPr>
                  <w:tcW w:w="591" w:type="pct"/>
                  <w:noWrap w:val="0"/>
                  <w:vAlign w:val="center"/>
                </w:tcPr>
                <w:p w14:paraId="2FD1608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342" w:type="pct"/>
                  <w:noWrap w:val="0"/>
                  <w:vAlign w:val="center"/>
                </w:tcPr>
                <w:p w14:paraId="2FF2C1E2">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否</w:t>
                  </w:r>
                </w:p>
              </w:tc>
              <w:tc>
                <w:tcPr>
                  <w:tcW w:w="895" w:type="pct"/>
                  <w:noWrap w:val="0"/>
                  <w:vAlign w:val="center"/>
                </w:tcPr>
                <w:p w14:paraId="42EEE1A2">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0578FB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8" w:hRule="atLeast"/>
                <w:jc w:val="center"/>
              </w:trPr>
              <w:tc>
                <w:tcPr>
                  <w:tcW w:w="335" w:type="pct"/>
                  <w:gridSpan w:val="2"/>
                  <w:vMerge w:val="continue"/>
                  <w:noWrap w:val="0"/>
                  <w:vAlign w:val="center"/>
                </w:tcPr>
                <w:p w14:paraId="1D310D7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p>
              </w:tc>
              <w:tc>
                <w:tcPr>
                  <w:tcW w:w="720" w:type="pct"/>
                  <w:noWrap w:val="0"/>
                  <w:vAlign w:val="center"/>
                </w:tcPr>
                <w:p w14:paraId="2BFF8363">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制冷剂</w:t>
                  </w:r>
                </w:p>
              </w:tc>
              <w:tc>
                <w:tcPr>
                  <w:tcW w:w="967" w:type="pct"/>
                  <w:noWrap w:val="0"/>
                  <w:vAlign w:val="center"/>
                </w:tcPr>
                <w:p w14:paraId="0C5C6603">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color w:val="auto"/>
                      <w:sz w:val="21"/>
                      <w:szCs w:val="21"/>
                      <w:lang w:val="en-US" w:eastAsia="zh-CN" w:bidi="ar"/>
                    </w:rPr>
                    <w:t>CO</w:t>
                  </w:r>
                  <w:r>
                    <w:rPr>
                      <w:rFonts w:hint="eastAsia"/>
                      <w:color w:val="auto"/>
                      <w:sz w:val="21"/>
                      <w:szCs w:val="21"/>
                      <w:vertAlign w:val="subscript"/>
                      <w:lang w:val="en-US" w:eastAsia="zh-CN" w:bidi="ar"/>
                    </w:rPr>
                    <w:t>2</w:t>
                  </w:r>
                </w:p>
              </w:tc>
              <w:tc>
                <w:tcPr>
                  <w:tcW w:w="1147" w:type="pct"/>
                  <w:noWrap w:val="0"/>
                  <w:vAlign w:val="center"/>
                </w:tcPr>
                <w:p w14:paraId="13760BAA">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default"/>
                      <w:color w:val="auto"/>
                      <w:sz w:val="21"/>
                      <w:szCs w:val="21"/>
                      <w:lang w:bidi="ar"/>
                    </w:rPr>
                    <w:t>124-38-9</w:t>
                  </w:r>
                </w:p>
              </w:tc>
              <w:tc>
                <w:tcPr>
                  <w:tcW w:w="591" w:type="pct"/>
                  <w:noWrap w:val="0"/>
                  <w:vAlign w:val="center"/>
                </w:tcPr>
                <w:p w14:paraId="73065CE4">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62CE36CE">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否</w:t>
                  </w:r>
                </w:p>
              </w:tc>
              <w:tc>
                <w:tcPr>
                  <w:tcW w:w="895" w:type="pct"/>
                  <w:noWrap w:val="0"/>
                  <w:vAlign w:val="center"/>
                </w:tcPr>
                <w:p w14:paraId="48521C86">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00FC6C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3" w:hRule="atLeast"/>
                <w:jc w:val="center"/>
              </w:trPr>
              <w:tc>
                <w:tcPr>
                  <w:tcW w:w="159" w:type="pct"/>
                  <w:vMerge w:val="restart"/>
                  <w:noWrap w:val="0"/>
                  <w:vAlign w:val="center"/>
                </w:tcPr>
                <w:p w14:paraId="5FF415A6">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三废</w:t>
                  </w:r>
                </w:p>
              </w:tc>
              <w:tc>
                <w:tcPr>
                  <w:tcW w:w="175" w:type="pct"/>
                  <w:noWrap w:val="0"/>
                  <w:vAlign w:val="center"/>
                </w:tcPr>
                <w:p w14:paraId="029585AF">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color w:val="auto"/>
                      <w:sz w:val="21"/>
                      <w:szCs w:val="21"/>
                      <w:lang w:val="en-US" w:eastAsia="zh-CN" w:bidi="ar"/>
                    </w:rPr>
                    <w:t>废水</w:t>
                  </w:r>
                </w:p>
              </w:tc>
              <w:tc>
                <w:tcPr>
                  <w:tcW w:w="720" w:type="pct"/>
                  <w:noWrap w:val="0"/>
                  <w:vAlign w:val="center"/>
                </w:tcPr>
                <w:p w14:paraId="7CA0AF30">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生活污水</w:t>
                  </w:r>
                </w:p>
              </w:tc>
              <w:tc>
                <w:tcPr>
                  <w:tcW w:w="967" w:type="pct"/>
                  <w:noWrap w:val="0"/>
                  <w:vAlign w:val="center"/>
                </w:tcPr>
                <w:p w14:paraId="1C6B4480">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bidi="ar"/>
                    </w:rPr>
                    <w:t>COD、</w:t>
                  </w:r>
                  <w:r>
                    <w:rPr>
                      <w:rFonts w:hint="eastAsia"/>
                      <w:color w:val="auto"/>
                      <w:sz w:val="21"/>
                      <w:szCs w:val="21"/>
                      <w:lang w:eastAsia="zh-CN" w:bidi="ar"/>
                    </w:rPr>
                    <w:t>总磷</w:t>
                  </w:r>
                </w:p>
              </w:tc>
              <w:tc>
                <w:tcPr>
                  <w:tcW w:w="1147" w:type="pct"/>
                  <w:noWrap w:val="0"/>
                  <w:vAlign w:val="center"/>
                </w:tcPr>
                <w:p w14:paraId="195842C0">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591" w:type="pct"/>
                  <w:noWrap w:val="0"/>
                  <w:vAlign w:val="center"/>
                </w:tcPr>
                <w:p w14:paraId="2784B78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342" w:type="pct"/>
                  <w:noWrap w:val="0"/>
                  <w:vAlign w:val="center"/>
                </w:tcPr>
                <w:p w14:paraId="0B16050F">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否</w:t>
                  </w:r>
                </w:p>
              </w:tc>
              <w:tc>
                <w:tcPr>
                  <w:tcW w:w="895" w:type="pct"/>
                  <w:noWrap w:val="0"/>
                  <w:vAlign w:val="center"/>
                </w:tcPr>
                <w:p w14:paraId="74EE607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r>
            <w:tr w14:paraId="2BA62C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3" w:hRule="atLeast"/>
                <w:jc w:val="center"/>
              </w:trPr>
              <w:tc>
                <w:tcPr>
                  <w:tcW w:w="159" w:type="pct"/>
                  <w:vMerge w:val="continue"/>
                  <w:noWrap w:val="0"/>
                  <w:vAlign w:val="center"/>
                </w:tcPr>
                <w:p w14:paraId="34649F8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5" w:type="pct"/>
                  <w:noWrap w:val="0"/>
                  <w:vAlign w:val="center"/>
                </w:tcPr>
                <w:p w14:paraId="4CBF64D5">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废气</w:t>
                  </w:r>
                </w:p>
              </w:tc>
              <w:tc>
                <w:tcPr>
                  <w:tcW w:w="720" w:type="pct"/>
                  <w:noWrap w:val="0"/>
                  <w:vAlign w:val="center"/>
                </w:tcPr>
                <w:p w14:paraId="43A2CDA4">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eastAsia="宋体"/>
                      <w:color w:val="auto"/>
                      <w:sz w:val="21"/>
                      <w:szCs w:val="21"/>
                      <w:lang w:eastAsia="zh-CN" w:bidi="ar"/>
                    </w:rPr>
                    <w:t>非甲烷总烃</w:t>
                  </w:r>
                </w:p>
              </w:tc>
              <w:tc>
                <w:tcPr>
                  <w:tcW w:w="967" w:type="pct"/>
                  <w:noWrap w:val="0"/>
                  <w:vAlign w:val="center"/>
                </w:tcPr>
                <w:p w14:paraId="4D2F90A3">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eastAsia="宋体"/>
                      <w:color w:val="auto"/>
                      <w:sz w:val="21"/>
                      <w:szCs w:val="21"/>
                      <w:lang w:eastAsia="zh-CN" w:bidi="ar"/>
                    </w:rPr>
                    <w:t>非甲烷总烃</w:t>
                  </w:r>
                </w:p>
              </w:tc>
              <w:tc>
                <w:tcPr>
                  <w:tcW w:w="1147" w:type="pct"/>
                  <w:noWrap w:val="0"/>
                  <w:vAlign w:val="center"/>
                </w:tcPr>
                <w:p w14:paraId="3DDBC65F">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591" w:type="pct"/>
                  <w:noWrap w:val="0"/>
                  <w:vAlign w:val="center"/>
                </w:tcPr>
                <w:p w14:paraId="3B0B8503">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c>
                <w:tcPr>
                  <w:tcW w:w="342" w:type="pct"/>
                  <w:noWrap w:val="0"/>
                  <w:vAlign w:val="center"/>
                </w:tcPr>
                <w:p w14:paraId="79072890">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否</w:t>
                  </w:r>
                </w:p>
              </w:tc>
              <w:tc>
                <w:tcPr>
                  <w:tcW w:w="895" w:type="pct"/>
                  <w:noWrap w:val="0"/>
                  <w:vAlign w:val="center"/>
                </w:tcPr>
                <w:p w14:paraId="3DCFF1F1">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eastAsia"/>
                      <w:color w:val="auto"/>
                      <w:sz w:val="21"/>
                      <w:szCs w:val="21"/>
                      <w:lang w:bidi="ar"/>
                    </w:rPr>
                    <w:t>/</w:t>
                  </w:r>
                </w:p>
              </w:tc>
            </w:tr>
            <w:tr w14:paraId="36EC6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 w:type="pct"/>
                  <w:vMerge w:val="continue"/>
                  <w:noWrap w:val="0"/>
                  <w:vAlign w:val="center"/>
                </w:tcPr>
                <w:p w14:paraId="57B1D7B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5" w:type="pct"/>
                  <w:vMerge w:val="restart"/>
                  <w:noWrap w:val="0"/>
                  <w:vAlign w:val="center"/>
                </w:tcPr>
                <w:p w14:paraId="77A8B0E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一般固体废物</w:t>
                  </w:r>
                </w:p>
              </w:tc>
              <w:tc>
                <w:tcPr>
                  <w:tcW w:w="720" w:type="pct"/>
                  <w:noWrap w:val="0"/>
                  <w:vAlign w:val="center"/>
                </w:tcPr>
                <w:p w14:paraId="2B62739A">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废包装物</w:t>
                  </w:r>
                </w:p>
              </w:tc>
              <w:tc>
                <w:tcPr>
                  <w:tcW w:w="967" w:type="pct"/>
                  <w:noWrap w:val="0"/>
                  <w:vAlign w:val="center"/>
                </w:tcPr>
                <w:p w14:paraId="2F8DAFCE">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塑料</w:t>
                  </w:r>
                </w:p>
              </w:tc>
              <w:tc>
                <w:tcPr>
                  <w:tcW w:w="1147" w:type="pct"/>
                  <w:noWrap w:val="0"/>
                  <w:vAlign w:val="center"/>
                </w:tcPr>
                <w:p w14:paraId="046B9BD1">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bidi="ar"/>
                    </w:rPr>
                    <w:t>/</w:t>
                  </w:r>
                </w:p>
              </w:tc>
              <w:tc>
                <w:tcPr>
                  <w:tcW w:w="591" w:type="pct"/>
                  <w:noWrap w:val="0"/>
                  <w:vAlign w:val="center"/>
                </w:tcPr>
                <w:p w14:paraId="3C0E8F16">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bidi="ar"/>
                    </w:rPr>
                    <w:t>/</w:t>
                  </w:r>
                </w:p>
              </w:tc>
              <w:tc>
                <w:tcPr>
                  <w:tcW w:w="342" w:type="pct"/>
                  <w:noWrap w:val="0"/>
                  <w:vAlign w:val="center"/>
                </w:tcPr>
                <w:p w14:paraId="3D56C412">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否</w:t>
                  </w:r>
                </w:p>
              </w:tc>
              <w:tc>
                <w:tcPr>
                  <w:tcW w:w="895" w:type="pct"/>
                  <w:noWrap w:val="0"/>
                  <w:vAlign w:val="center"/>
                </w:tcPr>
                <w:p w14:paraId="67A05E43">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bidi="ar"/>
                    </w:rPr>
                    <w:t>/</w:t>
                  </w:r>
                </w:p>
              </w:tc>
            </w:tr>
            <w:tr w14:paraId="7A013E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 w:type="pct"/>
                  <w:vMerge w:val="continue"/>
                  <w:noWrap w:val="0"/>
                  <w:vAlign w:val="center"/>
                </w:tcPr>
                <w:p w14:paraId="074C9F56">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5" w:type="pct"/>
                  <w:vMerge w:val="continue"/>
                  <w:noWrap w:val="0"/>
                  <w:vAlign w:val="center"/>
                </w:tcPr>
                <w:p w14:paraId="6DE1BF1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4A449895">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eastAsia="宋体"/>
                      <w:color w:val="auto"/>
                      <w:sz w:val="21"/>
                      <w:szCs w:val="21"/>
                      <w:lang w:eastAsia="zh-CN" w:bidi="ar"/>
                    </w:rPr>
                    <w:t>边角料、不合格产品</w:t>
                  </w:r>
                </w:p>
              </w:tc>
              <w:tc>
                <w:tcPr>
                  <w:tcW w:w="967" w:type="pct"/>
                  <w:noWrap w:val="0"/>
                  <w:vAlign w:val="center"/>
                </w:tcPr>
                <w:p w14:paraId="43316BB5">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eastAsia="zh-CN" w:bidi="ar"/>
                    </w:rPr>
                    <w:t>聚丙烯、热熔胶、丙纶丝、聚丙烯丝</w:t>
                  </w:r>
                </w:p>
              </w:tc>
              <w:tc>
                <w:tcPr>
                  <w:tcW w:w="1147" w:type="pct"/>
                  <w:noWrap w:val="0"/>
                  <w:vAlign w:val="center"/>
                </w:tcPr>
                <w:p w14:paraId="78F7FE93">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color w:val="auto"/>
                      <w:sz w:val="21"/>
                      <w:szCs w:val="21"/>
                      <w:lang w:val="en-US" w:eastAsia="zh-CN" w:bidi="ar"/>
                    </w:rPr>
                    <w:t>/</w:t>
                  </w:r>
                </w:p>
              </w:tc>
              <w:tc>
                <w:tcPr>
                  <w:tcW w:w="591" w:type="pct"/>
                  <w:noWrap w:val="0"/>
                  <w:vAlign w:val="center"/>
                </w:tcPr>
                <w:p w14:paraId="0F55FBED">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c>
                <w:tcPr>
                  <w:tcW w:w="342" w:type="pct"/>
                  <w:noWrap w:val="0"/>
                  <w:vAlign w:val="center"/>
                </w:tcPr>
                <w:p w14:paraId="0552D67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否</w:t>
                  </w:r>
                </w:p>
              </w:tc>
              <w:tc>
                <w:tcPr>
                  <w:tcW w:w="895" w:type="pct"/>
                  <w:noWrap w:val="0"/>
                  <w:vAlign w:val="center"/>
                </w:tcPr>
                <w:p w14:paraId="25619A62">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val="en-US" w:eastAsia="zh-CN" w:bidi="ar"/>
                    </w:rPr>
                    <w:t>/</w:t>
                  </w:r>
                </w:p>
              </w:tc>
            </w:tr>
            <w:tr w14:paraId="24E6EB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 w:type="pct"/>
                  <w:vMerge w:val="continue"/>
                  <w:noWrap w:val="0"/>
                  <w:vAlign w:val="center"/>
                </w:tcPr>
                <w:p w14:paraId="44A800AF">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5" w:type="pct"/>
                  <w:vMerge w:val="restart"/>
                  <w:noWrap w:val="0"/>
                  <w:vAlign w:val="center"/>
                </w:tcPr>
                <w:p w14:paraId="1250A724">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bidi="ar"/>
                    </w:rPr>
                  </w:pPr>
                  <w:r>
                    <w:rPr>
                      <w:rFonts w:hint="eastAsia"/>
                      <w:color w:val="auto"/>
                      <w:sz w:val="21"/>
                      <w:szCs w:val="21"/>
                      <w:lang w:val="en-US" w:eastAsia="zh-CN" w:bidi="ar"/>
                    </w:rPr>
                    <w:t>危险废物</w:t>
                  </w:r>
                </w:p>
              </w:tc>
              <w:tc>
                <w:tcPr>
                  <w:tcW w:w="720" w:type="pct"/>
                  <w:noWrap w:val="0"/>
                  <w:vAlign w:val="center"/>
                </w:tcPr>
                <w:p w14:paraId="2FF80AB3">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eastAsia="zh-CN" w:bidi="ar"/>
                    </w:rPr>
                  </w:pPr>
                  <w:r>
                    <w:rPr>
                      <w:rFonts w:hint="eastAsia"/>
                      <w:color w:val="auto"/>
                      <w:sz w:val="21"/>
                      <w:szCs w:val="21"/>
                      <w:lang w:bidi="ar"/>
                    </w:rPr>
                    <w:t>废润滑油桶</w:t>
                  </w:r>
                </w:p>
              </w:tc>
              <w:tc>
                <w:tcPr>
                  <w:tcW w:w="967" w:type="pct"/>
                  <w:noWrap w:val="0"/>
                  <w:vAlign w:val="center"/>
                </w:tcPr>
                <w:p w14:paraId="38935D58">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color w:val="auto"/>
                      <w:sz w:val="21"/>
                      <w:szCs w:val="21"/>
                      <w:lang w:eastAsia="zh-CN" w:bidi="ar"/>
                    </w:rPr>
                    <w:t>润滑</w:t>
                  </w:r>
                  <w:r>
                    <w:rPr>
                      <w:rFonts w:hint="eastAsia"/>
                      <w:color w:val="auto"/>
                      <w:sz w:val="21"/>
                      <w:szCs w:val="21"/>
                      <w:lang w:bidi="ar"/>
                    </w:rPr>
                    <w:t>油</w:t>
                  </w:r>
                  <w:r>
                    <w:rPr>
                      <w:rFonts w:hint="eastAsia"/>
                      <w:color w:val="auto"/>
                      <w:sz w:val="21"/>
                      <w:szCs w:val="21"/>
                      <w:lang w:eastAsia="zh-CN" w:bidi="ar"/>
                    </w:rPr>
                    <w:t>、</w:t>
                  </w:r>
                  <w:r>
                    <w:rPr>
                      <w:rFonts w:hint="eastAsia"/>
                      <w:color w:val="auto"/>
                      <w:sz w:val="21"/>
                      <w:szCs w:val="21"/>
                      <w:lang w:val="en-US" w:eastAsia="zh-CN" w:bidi="ar"/>
                    </w:rPr>
                    <w:t>塑料</w:t>
                  </w:r>
                </w:p>
              </w:tc>
              <w:tc>
                <w:tcPr>
                  <w:tcW w:w="1147" w:type="pct"/>
                  <w:noWrap w:val="0"/>
                  <w:vAlign w:val="center"/>
                </w:tcPr>
                <w:p w14:paraId="159A4E8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color w:val="auto"/>
                      <w:sz w:val="21"/>
                      <w:szCs w:val="21"/>
                      <w:lang w:val="en-US" w:eastAsia="zh-CN" w:bidi="ar"/>
                    </w:rPr>
                    <w:t>/</w:t>
                  </w:r>
                </w:p>
              </w:tc>
              <w:tc>
                <w:tcPr>
                  <w:tcW w:w="591" w:type="pct"/>
                  <w:noWrap w:val="0"/>
                  <w:vAlign w:val="center"/>
                </w:tcPr>
                <w:p w14:paraId="342C374F">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eastAsia" w:eastAsia="宋体"/>
                      <w:color w:val="auto"/>
                      <w:sz w:val="21"/>
                      <w:szCs w:val="21"/>
                      <w:lang w:val="en-US" w:eastAsia="zh-CN" w:bidi="ar"/>
                    </w:rPr>
                    <w:t>/</w:t>
                  </w:r>
                </w:p>
              </w:tc>
              <w:tc>
                <w:tcPr>
                  <w:tcW w:w="342" w:type="pct"/>
                  <w:noWrap w:val="0"/>
                  <w:vAlign w:val="center"/>
                </w:tcPr>
                <w:p w14:paraId="6844E74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是</w:t>
                  </w:r>
                </w:p>
              </w:tc>
              <w:tc>
                <w:tcPr>
                  <w:tcW w:w="895" w:type="pct"/>
                  <w:noWrap w:val="0"/>
                  <w:vAlign w:val="center"/>
                </w:tcPr>
                <w:p w14:paraId="30FB5907">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r>
                    <w:rPr>
                      <w:rFonts w:hint="eastAsia" w:eastAsia="宋体"/>
                      <w:color w:val="auto"/>
                      <w:sz w:val="21"/>
                      <w:szCs w:val="21"/>
                      <w:lang w:val="en-US" w:eastAsia="zh-CN" w:bidi="ar"/>
                    </w:rPr>
                    <w:t>/</w:t>
                  </w:r>
                </w:p>
              </w:tc>
            </w:tr>
            <w:tr w14:paraId="20F1CB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 w:type="pct"/>
                  <w:vMerge w:val="continue"/>
                  <w:noWrap w:val="0"/>
                  <w:vAlign w:val="center"/>
                </w:tcPr>
                <w:p w14:paraId="69E1B46D">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5" w:type="pct"/>
                  <w:vMerge w:val="continue"/>
                  <w:noWrap w:val="0"/>
                  <w:vAlign w:val="center"/>
                </w:tcPr>
                <w:p w14:paraId="7079ACB4">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05699C4E">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default" w:ascii="Times New Roman" w:hAnsi="Times New Roman" w:eastAsia="宋体" w:cs="Times New Roman"/>
                      <w:color w:val="auto"/>
                      <w:sz w:val="21"/>
                      <w:szCs w:val="21"/>
                      <w:highlight w:val="none"/>
                      <w:lang w:val="en-US" w:eastAsia="zh-CN"/>
                    </w:rPr>
                    <w:t>废活性炭</w:t>
                  </w:r>
                </w:p>
              </w:tc>
              <w:tc>
                <w:tcPr>
                  <w:tcW w:w="967" w:type="pct"/>
                  <w:noWrap w:val="0"/>
                  <w:vAlign w:val="center"/>
                </w:tcPr>
                <w:p w14:paraId="69C9F960">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活性炭</w:t>
                  </w:r>
                </w:p>
              </w:tc>
              <w:tc>
                <w:tcPr>
                  <w:tcW w:w="1147" w:type="pct"/>
                  <w:noWrap w:val="0"/>
                  <w:vAlign w:val="center"/>
                </w:tcPr>
                <w:p w14:paraId="7CF4F228">
                  <w:pPr>
                    <w:keepNext w:val="0"/>
                    <w:keepLines w:val="0"/>
                    <w:suppressLineNumbers w:val="0"/>
                    <w:adjustRightInd w:val="0"/>
                    <w:snapToGrid w:val="0"/>
                    <w:spacing w:before="0" w:beforeAutospacing="0" w:after="0" w:afterAutospacing="0"/>
                    <w:ind w:left="0" w:right="0"/>
                    <w:jc w:val="center"/>
                    <w:rPr>
                      <w:rFonts w:hint="default"/>
                      <w:color w:val="auto"/>
                      <w:sz w:val="21"/>
                      <w:szCs w:val="21"/>
                      <w:lang w:bidi="ar"/>
                    </w:rPr>
                  </w:pPr>
                  <w:r>
                    <w:rPr>
                      <w:rFonts w:hint="default"/>
                      <w:color w:val="auto"/>
                      <w:sz w:val="21"/>
                      <w:szCs w:val="21"/>
                      <w:lang w:bidi="ar"/>
                    </w:rPr>
                    <w:t>7440-44-0</w:t>
                  </w:r>
                </w:p>
              </w:tc>
              <w:tc>
                <w:tcPr>
                  <w:tcW w:w="591" w:type="pct"/>
                  <w:noWrap w:val="0"/>
                  <w:vAlign w:val="center"/>
                </w:tcPr>
                <w:p w14:paraId="1D721FC1">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eastAsia="宋体"/>
                      <w:color w:val="auto"/>
                      <w:sz w:val="21"/>
                      <w:szCs w:val="21"/>
                      <w:lang w:val="en-US" w:eastAsia="zh-CN" w:bidi="ar"/>
                    </w:rPr>
                    <w:t>/</w:t>
                  </w:r>
                </w:p>
              </w:tc>
              <w:tc>
                <w:tcPr>
                  <w:tcW w:w="342" w:type="pct"/>
                  <w:noWrap w:val="0"/>
                  <w:vAlign w:val="center"/>
                </w:tcPr>
                <w:p w14:paraId="4126A5CD">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是</w:t>
                  </w:r>
                </w:p>
              </w:tc>
              <w:tc>
                <w:tcPr>
                  <w:tcW w:w="895" w:type="pct"/>
                  <w:noWrap w:val="0"/>
                  <w:vAlign w:val="center"/>
                </w:tcPr>
                <w:p w14:paraId="4F60299D">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r>
            <w:tr w14:paraId="1C969B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9" w:type="pct"/>
                  <w:vMerge w:val="continue"/>
                  <w:noWrap w:val="0"/>
                  <w:vAlign w:val="center"/>
                </w:tcPr>
                <w:p w14:paraId="2A1643FC">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p>
              </w:tc>
              <w:tc>
                <w:tcPr>
                  <w:tcW w:w="175" w:type="pct"/>
                  <w:vMerge w:val="continue"/>
                  <w:noWrap w:val="0"/>
                  <w:vAlign w:val="center"/>
                </w:tcPr>
                <w:p w14:paraId="3DBD3CDE">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bidi="ar"/>
                    </w:rPr>
                  </w:pPr>
                </w:p>
              </w:tc>
              <w:tc>
                <w:tcPr>
                  <w:tcW w:w="720" w:type="pct"/>
                  <w:noWrap w:val="0"/>
                  <w:vAlign w:val="center"/>
                </w:tcPr>
                <w:p w14:paraId="4D2C0C0F">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rPr>
                      <w:rFonts w:hint="eastAsia"/>
                      <w:color w:val="auto"/>
                      <w:sz w:val="21"/>
                      <w:szCs w:val="21"/>
                      <w:lang w:eastAsia="zh-CN" w:bidi="ar"/>
                    </w:rPr>
                  </w:pPr>
                  <w:r>
                    <w:rPr>
                      <w:rFonts w:hint="default" w:ascii="Times New Roman" w:hAnsi="Times New Roman" w:eastAsia="宋体" w:cs="Times New Roman"/>
                      <w:color w:val="auto"/>
                      <w:sz w:val="21"/>
                      <w:szCs w:val="21"/>
                      <w:highlight w:val="none"/>
                      <w:lang w:val="en-US" w:eastAsia="zh-CN"/>
                    </w:rPr>
                    <w:t>废催化剂</w:t>
                  </w:r>
                </w:p>
              </w:tc>
              <w:tc>
                <w:tcPr>
                  <w:tcW w:w="967" w:type="pct"/>
                  <w:noWrap w:val="0"/>
                  <w:vAlign w:val="center"/>
                </w:tcPr>
                <w:p w14:paraId="27D0DEF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铜、钯基催化剂</w:t>
                  </w:r>
                </w:p>
              </w:tc>
              <w:tc>
                <w:tcPr>
                  <w:tcW w:w="1147" w:type="pct"/>
                  <w:noWrap w:val="0"/>
                  <w:vAlign w:val="center"/>
                </w:tcPr>
                <w:p w14:paraId="2C7DD87C">
                  <w:pPr>
                    <w:keepNext w:val="0"/>
                    <w:keepLines w:val="0"/>
                    <w:suppressLineNumbers w:val="0"/>
                    <w:adjustRightInd w:val="0"/>
                    <w:snapToGrid w:val="0"/>
                    <w:spacing w:before="0" w:beforeAutospacing="0" w:after="0" w:afterAutospacing="0"/>
                    <w:ind w:left="0" w:right="0"/>
                    <w:jc w:val="center"/>
                    <w:rPr>
                      <w:rFonts w:hint="eastAsia" w:eastAsia="宋体"/>
                      <w:color w:val="auto"/>
                      <w:sz w:val="21"/>
                      <w:szCs w:val="21"/>
                      <w:lang w:val="en-US" w:eastAsia="zh-CN" w:bidi="ar"/>
                    </w:rPr>
                  </w:pPr>
                  <w:r>
                    <w:rPr>
                      <w:rFonts w:hint="default"/>
                      <w:color w:val="auto"/>
                      <w:sz w:val="21"/>
                      <w:szCs w:val="21"/>
                      <w:lang w:bidi="ar"/>
                    </w:rPr>
                    <w:t> 7440-50-8</w:t>
                  </w:r>
                  <w:r>
                    <w:rPr>
                      <w:rFonts w:hint="eastAsia"/>
                      <w:color w:val="auto"/>
                      <w:sz w:val="21"/>
                      <w:szCs w:val="21"/>
                      <w:lang w:val="en-US" w:eastAsia="zh-CN" w:bidi="ar"/>
                    </w:rPr>
                    <w:t>/7440-05-3</w:t>
                  </w:r>
                </w:p>
              </w:tc>
              <w:tc>
                <w:tcPr>
                  <w:tcW w:w="591" w:type="pct"/>
                  <w:noWrap w:val="0"/>
                  <w:vAlign w:val="center"/>
                </w:tcPr>
                <w:p w14:paraId="07FCEFA6">
                  <w:pPr>
                    <w:keepNext w:val="0"/>
                    <w:keepLines w:val="0"/>
                    <w:suppressLineNumbers w:val="0"/>
                    <w:adjustRightInd w:val="0"/>
                    <w:snapToGrid w:val="0"/>
                    <w:spacing w:before="0" w:beforeAutospacing="0" w:after="0" w:afterAutospacing="0"/>
                    <w:ind w:left="0" w:right="0"/>
                    <w:jc w:val="center"/>
                    <w:rPr>
                      <w:rFonts w:hint="default" w:eastAsia="宋体"/>
                      <w:color w:val="auto"/>
                      <w:sz w:val="21"/>
                      <w:szCs w:val="21"/>
                      <w:lang w:val="en-US" w:eastAsia="zh-CN" w:bidi="ar"/>
                    </w:rPr>
                  </w:pPr>
                  <w:r>
                    <w:rPr>
                      <w:rFonts w:hint="eastAsia" w:eastAsia="宋体"/>
                      <w:color w:val="auto"/>
                      <w:sz w:val="21"/>
                      <w:szCs w:val="21"/>
                      <w:lang w:val="en-US" w:eastAsia="zh-CN" w:bidi="ar"/>
                    </w:rPr>
                    <w:t>/</w:t>
                  </w:r>
                </w:p>
              </w:tc>
              <w:tc>
                <w:tcPr>
                  <w:tcW w:w="342" w:type="pct"/>
                  <w:noWrap w:val="0"/>
                  <w:vAlign w:val="center"/>
                </w:tcPr>
                <w:p w14:paraId="4FF6DD58">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eastAsia="zh-CN" w:bidi="ar"/>
                    </w:rPr>
                  </w:pPr>
                  <w:r>
                    <w:rPr>
                      <w:rFonts w:hint="eastAsia"/>
                      <w:color w:val="auto"/>
                      <w:sz w:val="21"/>
                      <w:szCs w:val="21"/>
                      <w:lang w:eastAsia="zh-CN" w:bidi="ar"/>
                    </w:rPr>
                    <w:t>是</w:t>
                  </w:r>
                </w:p>
              </w:tc>
              <w:tc>
                <w:tcPr>
                  <w:tcW w:w="895" w:type="pct"/>
                  <w:noWrap w:val="0"/>
                  <w:vAlign w:val="center"/>
                </w:tcPr>
                <w:p w14:paraId="767FD39E">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r>
            <w:tr w14:paraId="6FF628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6" w:hRule="atLeast"/>
                <w:jc w:val="center"/>
              </w:trPr>
              <w:tc>
                <w:tcPr>
                  <w:tcW w:w="335" w:type="pct"/>
                  <w:gridSpan w:val="2"/>
                  <w:noWrap w:val="0"/>
                  <w:vAlign w:val="center"/>
                </w:tcPr>
                <w:p w14:paraId="03D97283">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产品</w:t>
                  </w:r>
                </w:p>
              </w:tc>
              <w:tc>
                <w:tcPr>
                  <w:tcW w:w="720" w:type="pct"/>
                  <w:noWrap w:val="0"/>
                  <w:vAlign w:val="center"/>
                </w:tcPr>
                <w:p w14:paraId="1B76E1D7">
                  <w:pPr>
                    <w:keepNext w:val="0"/>
                    <w:keepLines w:val="0"/>
                    <w:suppressLineNumbers w:val="0"/>
                    <w:spacing w:before="0" w:beforeAutospacing="0" w:after="0" w:afterAutospacing="0"/>
                    <w:ind w:left="0" w:right="0"/>
                    <w:jc w:val="center"/>
                    <w:rPr>
                      <w:rFonts w:hint="eastAsia" w:eastAsia="宋体"/>
                      <w:color w:val="auto"/>
                      <w:sz w:val="21"/>
                      <w:szCs w:val="21"/>
                      <w:lang w:eastAsia="zh-CN"/>
                    </w:rPr>
                  </w:pPr>
                  <w:r>
                    <w:rPr>
                      <w:rFonts w:hint="eastAsia" w:eastAsia="宋体"/>
                      <w:color w:val="auto"/>
                      <w:sz w:val="21"/>
                      <w:szCs w:val="21"/>
                      <w:lang w:eastAsia="zh-CN"/>
                    </w:rPr>
                    <w:t>编织水带</w:t>
                  </w:r>
                </w:p>
              </w:tc>
              <w:tc>
                <w:tcPr>
                  <w:tcW w:w="967" w:type="pct"/>
                  <w:noWrap w:val="0"/>
                  <w:vAlign w:val="center"/>
                </w:tcPr>
                <w:p w14:paraId="245E6706">
                  <w:pPr>
                    <w:keepNext w:val="0"/>
                    <w:keepLines w:val="0"/>
                    <w:suppressLineNumbers w:val="0"/>
                    <w:spacing w:before="0" w:beforeAutospacing="0" w:after="0" w:afterAutospacing="0"/>
                    <w:ind w:left="0" w:right="0"/>
                    <w:jc w:val="center"/>
                    <w:rPr>
                      <w:rFonts w:hint="default"/>
                      <w:color w:val="auto"/>
                      <w:sz w:val="21"/>
                      <w:szCs w:val="21"/>
                    </w:rPr>
                  </w:pPr>
                  <w:r>
                    <w:rPr>
                      <w:rFonts w:hint="eastAsia"/>
                      <w:color w:val="auto"/>
                      <w:sz w:val="21"/>
                      <w:szCs w:val="21"/>
                    </w:rPr>
                    <w:t>/</w:t>
                  </w:r>
                </w:p>
              </w:tc>
              <w:tc>
                <w:tcPr>
                  <w:tcW w:w="1147" w:type="pct"/>
                  <w:noWrap w:val="0"/>
                  <w:vAlign w:val="center"/>
                </w:tcPr>
                <w:p w14:paraId="1B04DC6A">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591" w:type="pct"/>
                  <w:noWrap w:val="0"/>
                  <w:vAlign w:val="center"/>
                </w:tcPr>
                <w:p w14:paraId="057CC5B0">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c>
                <w:tcPr>
                  <w:tcW w:w="342" w:type="pct"/>
                  <w:noWrap w:val="0"/>
                  <w:vAlign w:val="center"/>
                </w:tcPr>
                <w:p w14:paraId="07E51ED9">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否</w:t>
                  </w:r>
                </w:p>
              </w:tc>
              <w:tc>
                <w:tcPr>
                  <w:tcW w:w="895" w:type="pct"/>
                  <w:noWrap w:val="0"/>
                  <w:vAlign w:val="center"/>
                </w:tcPr>
                <w:p w14:paraId="5FFB7252">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bidi="ar"/>
                    </w:rPr>
                  </w:pPr>
                  <w:r>
                    <w:rPr>
                      <w:rFonts w:hint="eastAsia"/>
                      <w:color w:val="auto"/>
                      <w:sz w:val="21"/>
                      <w:szCs w:val="21"/>
                      <w:lang w:bidi="ar"/>
                    </w:rPr>
                    <w:t>/</w:t>
                  </w:r>
                </w:p>
              </w:tc>
            </w:tr>
          </w:tbl>
          <w:p w14:paraId="2753838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eastAsia"/>
                <w:bCs/>
                <w:color w:val="auto"/>
                <w:sz w:val="24"/>
                <w:szCs w:val="24"/>
              </w:rPr>
              <w:t>本项目涉及的风险物质主要为原辅料中的</w:t>
            </w:r>
            <w:r>
              <w:rPr>
                <w:rFonts w:hint="eastAsia"/>
                <w:bCs/>
                <w:color w:val="auto"/>
                <w:sz w:val="24"/>
                <w:szCs w:val="24"/>
                <w:lang w:eastAsia="zh-CN"/>
              </w:rPr>
              <w:t>润滑油</w:t>
            </w:r>
            <w:r>
              <w:rPr>
                <w:rFonts w:hint="eastAsia"/>
                <w:bCs/>
                <w:color w:val="auto"/>
                <w:sz w:val="24"/>
                <w:szCs w:val="24"/>
              </w:rPr>
              <w:t>以及固废中的危险废物。</w:t>
            </w:r>
          </w:p>
          <w:p w14:paraId="297014F9">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因火灾爆炸次生废物难以统计产生量，本次对其他环境风险物质Q值进行计算，具体见下表。</w:t>
            </w:r>
          </w:p>
          <w:p w14:paraId="3CACC48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pacing w:val="6"/>
                <w:sz w:val="24"/>
                <w:highlight w:val="none"/>
                <w:lang w:val="en-US" w:eastAsia="zh-CN"/>
              </w:rPr>
            </w:pPr>
            <w:r>
              <w:rPr>
                <w:rFonts w:hint="default" w:ascii="Times New Roman" w:hAnsi="Times New Roman" w:eastAsia="宋体" w:cs="Times New Roman"/>
                <w:b/>
                <w:bCs/>
                <w:color w:val="auto"/>
                <w:spacing w:val="6"/>
                <w:sz w:val="24"/>
                <w:highlight w:val="none"/>
                <w:lang w:val="en-US" w:eastAsia="zh-CN"/>
              </w:rPr>
              <w:t>环境风险物质Q值计算一览表</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057"/>
              <w:gridCol w:w="1699"/>
              <w:gridCol w:w="1196"/>
              <w:gridCol w:w="1282"/>
              <w:gridCol w:w="917"/>
              <w:gridCol w:w="1610"/>
            </w:tblGrid>
            <w:tr w14:paraId="0E0FCB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200" w:type="pct"/>
                  <w:gridSpan w:val="2"/>
                  <w:noWrap w:val="0"/>
                  <w:vAlign w:val="center"/>
                </w:tcPr>
                <w:p w14:paraId="3798E6C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类别</w:t>
                  </w:r>
                </w:p>
              </w:tc>
              <w:tc>
                <w:tcPr>
                  <w:tcW w:w="974" w:type="pct"/>
                  <w:noWrap w:val="0"/>
                  <w:vAlign w:val="center"/>
                </w:tcPr>
                <w:p w14:paraId="1632DA3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lang w:val="en-US" w:eastAsia="zh-CN"/>
                    </w:rPr>
                    <w:t>风险物质</w:t>
                  </w:r>
                </w:p>
              </w:tc>
              <w:tc>
                <w:tcPr>
                  <w:tcW w:w="637" w:type="pct"/>
                  <w:noWrap w:val="0"/>
                  <w:vAlign w:val="center"/>
                </w:tcPr>
                <w:p w14:paraId="18DE3F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CAS号</w:t>
                  </w:r>
                </w:p>
              </w:tc>
              <w:tc>
                <w:tcPr>
                  <w:tcW w:w="737" w:type="pct"/>
                  <w:noWrap w:val="0"/>
                  <w:vAlign w:val="center"/>
                </w:tcPr>
                <w:p w14:paraId="0C215F4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最大</w:t>
                  </w:r>
                </w:p>
                <w:p w14:paraId="74E3735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储存量</w:t>
                  </w:r>
                </w:p>
              </w:tc>
              <w:tc>
                <w:tcPr>
                  <w:tcW w:w="529" w:type="pct"/>
                  <w:noWrap w:val="0"/>
                  <w:vAlign w:val="center"/>
                </w:tcPr>
                <w:p w14:paraId="014E00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临界量</w:t>
                  </w:r>
                </w:p>
              </w:tc>
              <w:tc>
                <w:tcPr>
                  <w:tcW w:w="921" w:type="pct"/>
                  <w:noWrap w:val="0"/>
                  <w:vAlign w:val="center"/>
                </w:tcPr>
                <w:p w14:paraId="07E1B49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kern w:val="0"/>
                      <w:sz w:val="21"/>
                      <w:szCs w:val="21"/>
                      <w:highlight w:val="none"/>
                    </w:rPr>
                    <w:t>Q值</w:t>
                  </w:r>
                </w:p>
              </w:tc>
            </w:tr>
            <w:tr w14:paraId="7E8CD2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200" w:type="pct"/>
                  <w:gridSpan w:val="2"/>
                  <w:noWrap w:val="0"/>
                  <w:vAlign w:val="center"/>
                </w:tcPr>
                <w:p w14:paraId="3C75530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rPr>
                    <w:t>原</w:t>
                  </w:r>
                  <w:r>
                    <w:rPr>
                      <w:rFonts w:hint="default" w:ascii="Times New Roman" w:hAnsi="Times New Roman" w:eastAsia="宋体" w:cs="Times New Roman"/>
                      <w:b w:val="0"/>
                      <w:bCs/>
                      <w:color w:val="auto"/>
                      <w:kern w:val="0"/>
                      <w:sz w:val="21"/>
                      <w:szCs w:val="21"/>
                      <w:highlight w:val="none"/>
                      <w:lang w:val="en-US" w:eastAsia="zh-CN"/>
                    </w:rPr>
                    <w:t>辅</w:t>
                  </w:r>
                  <w:r>
                    <w:rPr>
                      <w:rFonts w:hint="default" w:ascii="Times New Roman" w:hAnsi="Times New Roman" w:eastAsia="宋体" w:cs="Times New Roman"/>
                      <w:b w:val="0"/>
                      <w:bCs/>
                      <w:color w:val="auto"/>
                      <w:kern w:val="0"/>
                      <w:sz w:val="21"/>
                      <w:szCs w:val="21"/>
                      <w:highlight w:val="none"/>
                    </w:rPr>
                    <w:t>料</w:t>
                  </w:r>
                </w:p>
              </w:tc>
              <w:tc>
                <w:tcPr>
                  <w:tcW w:w="974" w:type="pct"/>
                  <w:noWrap w:val="0"/>
                  <w:vAlign w:val="center"/>
                </w:tcPr>
                <w:p w14:paraId="4C60803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rPr>
                    <w:t>钙基润滑脂（黄油）</w:t>
                  </w:r>
                </w:p>
              </w:tc>
              <w:tc>
                <w:tcPr>
                  <w:tcW w:w="637" w:type="pct"/>
                  <w:noWrap w:val="0"/>
                  <w:vAlign w:val="center"/>
                </w:tcPr>
                <w:p w14:paraId="6111CC9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subscript"/>
                      <w:lang w:val="en-US" w:eastAsia="zh-CN" w:bidi="ar-SA"/>
                    </w:rPr>
                  </w:pPr>
                  <w:r>
                    <w:rPr>
                      <w:rFonts w:hint="default"/>
                      <w:color w:val="auto"/>
                      <w:sz w:val="21"/>
                      <w:szCs w:val="21"/>
                      <w:lang w:bidi="ar"/>
                    </w:rPr>
                    <w:t>74869-22-0</w:t>
                  </w:r>
                </w:p>
              </w:tc>
              <w:tc>
                <w:tcPr>
                  <w:tcW w:w="737" w:type="pct"/>
                  <w:noWrap w:val="0"/>
                  <w:vAlign w:val="center"/>
                </w:tcPr>
                <w:p w14:paraId="2C442D8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02</w:t>
                  </w:r>
                  <w:r>
                    <w:rPr>
                      <w:rFonts w:hint="default" w:ascii="Times New Roman" w:hAnsi="Times New Roman" w:eastAsia="宋体" w:cs="Times New Roman"/>
                      <w:color w:val="auto"/>
                      <w:sz w:val="21"/>
                      <w:szCs w:val="21"/>
                      <w:highlight w:val="none"/>
                      <w:lang w:val="en-US" w:eastAsia="zh-CN"/>
                    </w:rPr>
                    <w:t>t</w:t>
                  </w:r>
                </w:p>
              </w:tc>
              <w:tc>
                <w:tcPr>
                  <w:tcW w:w="529" w:type="pct"/>
                  <w:noWrap w:val="0"/>
                  <w:vAlign w:val="center"/>
                </w:tcPr>
                <w:p w14:paraId="0BF87DF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2500t</w:t>
                  </w:r>
                </w:p>
              </w:tc>
              <w:tc>
                <w:tcPr>
                  <w:tcW w:w="1794" w:type="dxa"/>
                  <w:noWrap w:val="0"/>
                  <w:vAlign w:val="center"/>
                </w:tcPr>
                <w:p w14:paraId="60DAC4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0.000008</w:t>
                  </w:r>
                </w:p>
              </w:tc>
            </w:tr>
            <w:tr w14:paraId="1B8E8E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1" w:type="pct"/>
                  <w:vMerge w:val="restart"/>
                  <w:noWrap w:val="0"/>
                  <w:vAlign w:val="center"/>
                </w:tcPr>
                <w:p w14:paraId="05F84F1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“三废”</w:t>
                  </w:r>
                </w:p>
                <w:p w14:paraId="30A65F0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污染物</w:t>
                  </w:r>
                </w:p>
              </w:tc>
              <w:tc>
                <w:tcPr>
                  <w:tcW w:w="609" w:type="pct"/>
                  <w:vMerge w:val="restart"/>
                  <w:noWrap w:val="0"/>
                  <w:vAlign w:val="center"/>
                </w:tcPr>
                <w:p w14:paraId="0B1C820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w:t>
                  </w:r>
                </w:p>
              </w:tc>
              <w:tc>
                <w:tcPr>
                  <w:tcW w:w="974" w:type="pct"/>
                  <w:noWrap w:val="0"/>
                  <w:vAlign w:val="center"/>
                </w:tcPr>
                <w:p w14:paraId="302745A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废润滑油桶</w:t>
                  </w:r>
                </w:p>
              </w:tc>
              <w:tc>
                <w:tcPr>
                  <w:tcW w:w="637" w:type="pct"/>
                  <w:noWrap w:val="0"/>
                  <w:vAlign w:val="center"/>
                </w:tcPr>
                <w:p w14:paraId="0A097ED7">
                  <w:pPr>
                    <w:keepNext w:val="0"/>
                    <w:keepLines w:val="0"/>
                    <w:pageBreakBefore w:val="0"/>
                    <w:widowControl/>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w:t>
                  </w:r>
                </w:p>
              </w:tc>
              <w:tc>
                <w:tcPr>
                  <w:tcW w:w="737" w:type="pct"/>
                  <w:noWrap w:val="0"/>
                  <w:vAlign w:val="center"/>
                </w:tcPr>
                <w:p w14:paraId="5FDA926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superscript"/>
                      <w:lang w:val="en-US" w:eastAsia="zh-CN" w:bidi="ar-SA"/>
                    </w:rPr>
                  </w:pPr>
                  <w:r>
                    <w:rPr>
                      <w:rFonts w:hint="default" w:ascii="Times New Roman" w:hAnsi="Times New Roman" w:eastAsia="宋体" w:cs="Times New Roman"/>
                      <w:b w:val="0"/>
                      <w:bCs w:val="0"/>
                      <w:color w:val="auto"/>
                      <w:sz w:val="21"/>
                      <w:szCs w:val="21"/>
                      <w:highlight w:val="none"/>
                      <w:lang w:val="en-US" w:eastAsia="zh-CN"/>
                    </w:rPr>
                    <w:t>0.00</w:t>
                  </w:r>
                  <w:r>
                    <w:rPr>
                      <w:rFonts w:hint="eastAsia"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val="en-US" w:eastAsia="zh-CN"/>
                    </w:rPr>
                    <w:t>t</w:t>
                  </w:r>
                </w:p>
              </w:tc>
              <w:tc>
                <w:tcPr>
                  <w:tcW w:w="529" w:type="pct"/>
                  <w:noWrap w:val="0"/>
                  <w:vAlign w:val="center"/>
                </w:tcPr>
                <w:p w14:paraId="0FB585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r>
                    <w:rPr>
                      <w:rFonts w:hint="default" w:ascii="Times New Roman" w:hAnsi="Times New Roman" w:eastAsia="宋体" w:cs="Times New Roman"/>
                      <w:color w:val="auto"/>
                      <w:kern w:val="0"/>
                      <w:sz w:val="21"/>
                      <w:szCs w:val="21"/>
                      <w:highlight w:val="none"/>
                      <w:lang w:val="en-US" w:eastAsia="zh-CN"/>
                    </w:rPr>
                    <w:t>t</w:t>
                  </w:r>
                </w:p>
              </w:tc>
              <w:tc>
                <w:tcPr>
                  <w:tcW w:w="1794" w:type="dxa"/>
                  <w:noWrap w:val="0"/>
                  <w:vAlign w:val="center"/>
                </w:tcPr>
                <w:p w14:paraId="2E2B72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0.00004</w:t>
                  </w:r>
                </w:p>
              </w:tc>
            </w:tr>
            <w:tr w14:paraId="4607E1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1" w:type="pct"/>
                  <w:vMerge w:val="continue"/>
                  <w:noWrap w:val="0"/>
                  <w:vAlign w:val="center"/>
                </w:tcPr>
                <w:p w14:paraId="417ACA1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p>
              </w:tc>
              <w:tc>
                <w:tcPr>
                  <w:tcW w:w="609" w:type="pct"/>
                  <w:vMerge w:val="continue"/>
                  <w:noWrap w:val="0"/>
                  <w:vAlign w:val="center"/>
                </w:tcPr>
                <w:p w14:paraId="0C7C593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974" w:type="pct"/>
                  <w:noWrap w:val="0"/>
                  <w:vAlign w:val="center"/>
                </w:tcPr>
                <w:p w14:paraId="540AB6A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废活性炭</w:t>
                  </w:r>
                </w:p>
              </w:tc>
              <w:tc>
                <w:tcPr>
                  <w:tcW w:w="637" w:type="pct"/>
                  <w:noWrap w:val="0"/>
                  <w:vAlign w:val="center"/>
                </w:tcPr>
                <w:p w14:paraId="77BA183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w:t>
                  </w:r>
                </w:p>
              </w:tc>
              <w:tc>
                <w:tcPr>
                  <w:tcW w:w="737" w:type="pct"/>
                  <w:noWrap w:val="0"/>
                  <w:vAlign w:val="center"/>
                </w:tcPr>
                <w:p w14:paraId="1247DF4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vertAlign w:val="superscript"/>
                      <w:lang w:val="en-US" w:eastAsia="zh-CN" w:bidi="ar-SA"/>
                    </w:rPr>
                  </w:pPr>
                  <w:r>
                    <w:rPr>
                      <w:rFonts w:hint="eastAsia" w:cs="Times New Roman"/>
                      <w:bCs/>
                      <w:color w:val="auto"/>
                      <w:sz w:val="21"/>
                      <w:szCs w:val="21"/>
                      <w:highlight w:val="none"/>
                      <w:lang w:val="en-US" w:eastAsia="zh-CN"/>
                    </w:rPr>
                    <w:t>2.7142t</w:t>
                  </w:r>
                </w:p>
              </w:tc>
              <w:tc>
                <w:tcPr>
                  <w:tcW w:w="529" w:type="pct"/>
                  <w:noWrap w:val="0"/>
                  <w:vAlign w:val="center"/>
                </w:tcPr>
                <w:p w14:paraId="652D7CE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r>
                    <w:rPr>
                      <w:rFonts w:hint="default" w:ascii="Times New Roman" w:hAnsi="Times New Roman" w:eastAsia="宋体" w:cs="Times New Roman"/>
                      <w:color w:val="auto"/>
                      <w:kern w:val="0"/>
                      <w:sz w:val="21"/>
                      <w:szCs w:val="21"/>
                      <w:highlight w:val="none"/>
                      <w:lang w:val="en-US" w:eastAsia="zh-CN"/>
                    </w:rPr>
                    <w:t>t</w:t>
                  </w:r>
                </w:p>
              </w:tc>
              <w:tc>
                <w:tcPr>
                  <w:tcW w:w="1794" w:type="dxa"/>
                  <w:noWrap w:val="0"/>
                  <w:vAlign w:val="center"/>
                </w:tcPr>
                <w:p w14:paraId="338099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0.054284</w:t>
                  </w:r>
                </w:p>
              </w:tc>
            </w:tr>
            <w:tr w14:paraId="0B6465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1" w:type="pct"/>
                  <w:vMerge w:val="continue"/>
                  <w:noWrap w:val="0"/>
                  <w:vAlign w:val="center"/>
                </w:tcPr>
                <w:p w14:paraId="53B7758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kern w:val="0"/>
                      <w:sz w:val="21"/>
                      <w:szCs w:val="21"/>
                      <w:highlight w:val="none"/>
                    </w:rPr>
                  </w:pPr>
                </w:p>
              </w:tc>
              <w:tc>
                <w:tcPr>
                  <w:tcW w:w="609" w:type="pct"/>
                  <w:vMerge w:val="continue"/>
                  <w:noWrap w:val="0"/>
                  <w:vAlign w:val="center"/>
                </w:tcPr>
                <w:p w14:paraId="64030D3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974" w:type="pct"/>
                  <w:noWrap w:val="0"/>
                  <w:vAlign w:val="center"/>
                </w:tcPr>
                <w:p w14:paraId="03F85EB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废催化剂</w:t>
                  </w:r>
                </w:p>
              </w:tc>
              <w:tc>
                <w:tcPr>
                  <w:tcW w:w="637" w:type="pct"/>
                  <w:noWrap w:val="0"/>
                  <w:vAlign w:val="center"/>
                </w:tcPr>
                <w:p w14:paraId="084766D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c>
                <w:tcPr>
                  <w:tcW w:w="737" w:type="pct"/>
                  <w:noWrap w:val="0"/>
                  <w:vAlign w:val="center"/>
                </w:tcPr>
                <w:p w14:paraId="069D325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0.02t</w:t>
                  </w:r>
                </w:p>
              </w:tc>
              <w:tc>
                <w:tcPr>
                  <w:tcW w:w="529" w:type="pct"/>
                  <w:noWrap w:val="0"/>
                  <w:vAlign w:val="center"/>
                </w:tcPr>
                <w:p w14:paraId="58A5D56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r>
                    <w:rPr>
                      <w:rFonts w:hint="default" w:ascii="Times New Roman" w:hAnsi="Times New Roman" w:eastAsia="宋体" w:cs="Times New Roman"/>
                      <w:color w:val="auto"/>
                      <w:kern w:val="0"/>
                      <w:sz w:val="21"/>
                      <w:szCs w:val="21"/>
                      <w:highlight w:val="none"/>
                      <w:lang w:val="en-US" w:eastAsia="zh-CN"/>
                    </w:rPr>
                    <w:t>t</w:t>
                  </w:r>
                </w:p>
              </w:tc>
              <w:tc>
                <w:tcPr>
                  <w:tcW w:w="1794" w:type="dxa"/>
                  <w:noWrap w:val="0"/>
                  <w:vAlign w:val="center"/>
                </w:tcPr>
                <w:p w14:paraId="098750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0.0004</w:t>
                  </w:r>
                </w:p>
              </w:tc>
            </w:tr>
            <w:tr w14:paraId="0FC1DF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0" w:type="pct"/>
                  <w:gridSpan w:val="2"/>
                  <w:noWrap w:val="0"/>
                  <w:vAlign w:val="center"/>
                </w:tcPr>
                <w:p w14:paraId="0DA4364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color w:val="auto"/>
                      <w:kern w:val="0"/>
                      <w:sz w:val="21"/>
                      <w:szCs w:val="21"/>
                      <w:highlight w:val="none"/>
                      <w:lang w:val="en-US" w:eastAsia="zh-CN"/>
                    </w:rPr>
                    <w:t>合计</w:t>
                  </w:r>
                </w:p>
              </w:tc>
              <w:tc>
                <w:tcPr>
                  <w:tcW w:w="974" w:type="pct"/>
                  <w:noWrap w:val="0"/>
                  <w:vAlign w:val="center"/>
                </w:tcPr>
                <w:p w14:paraId="54E6CDA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637" w:type="pct"/>
                  <w:noWrap w:val="0"/>
                  <w:vAlign w:val="center"/>
                </w:tcPr>
                <w:p w14:paraId="4E0900A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37" w:type="pct"/>
                  <w:noWrap w:val="0"/>
                  <w:vAlign w:val="center"/>
                </w:tcPr>
                <w:p w14:paraId="46084EB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29" w:type="pct"/>
                  <w:noWrap w:val="0"/>
                  <w:vAlign w:val="center"/>
                </w:tcPr>
                <w:p w14:paraId="1AA7439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c>
                <w:tcPr>
                  <w:tcW w:w="1794" w:type="dxa"/>
                  <w:noWrap w:val="0"/>
                  <w:vAlign w:val="center"/>
                </w:tcPr>
                <w:p w14:paraId="21E459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0.054732</w:t>
                  </w:r>
                </w:p>
              </w:tc>
            </w:tr>
            <w:tr w14:paraId="5E47B0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7"/>
                  <w:noWrap w:val="0"/>
                  <w:vAlign w:val="center"/>
                </w:tcPr>
                <w:p w14:paraId="337A299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注：参考《浙江省企业环境风险评估技术指南（2015修订版）》，危险废物临界量50t。</w:t>
                  </w:r>
                </w:p>
              </w:tc>
            </w:tr>
          </w:tbl>
          <w:p w14:paraId="4E51C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由上表可知，公司环境风险物质Q值均小于1，环境风险影响很小。</w:t>
            </w:r>
          </w:p>
          <w:p w14:paraId="6E1A9D8B">
            <w:pPr>
              <w:pStyle w:val="13"/>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bCs/>
                <w:color w:val="auto"/>
                <w:sz w:val="24"/>
                <w:szCs w:val="24"/>
                <w:highlight w:val="none"/>
                <w:lang w:val="en-US" w:eastAsia="zh-CN"/>
              </w:rPr>
            </w:pPr>
            <w:r>
              <w:rPr>
                <w:rFonts w:hint="default" w:ascii="Times New Roman" w:hAnsi="Times New Roman" w:eastAsia="Times New Roman" w:cs="Times New Roman"/>
                <w:b/>
                <w:bCs/>
                <w:color w:val="auto"/>
                <w:sz w:val="24"/>
                <w:szCs w:val="24"/>
                <w:highlight w:val="none"/>
                <w:lang w:val="en-US" w:eastAsia="zh-CN"/>
              </w:rPr>
              <w:t>7.2环境风险识别</w:t>
            </w:r>
          </w:p>
          <w:p w14:paraId="6E9325A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504"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pacing w:val="6"/>
                <w:sz w:val="24"/>
                <w:highlight w:val="none"/>
              </w:rPr>
              <w:t>结合项目情况，项目建成后企业可能发生的突发环境事件包括：</w:t>
            </w:r>
            <w:r>
              <w:rPr>
                <w:rFonts w:hint="default" w:ascii="Times New Roman" w:hAnsi="Times New Roman" w:eastAsia="宋体" w:cs="Times New Roman"/>
                <w:bCs/>
                <w:color w:val="auto"/>
                <w:spacing w:val="6"/>
                <w:sz w:val="24"/>
                <w:highlight w:val="none"/>
                <w:lang w:val="en-US" w:eastAsia="zh-CN"/>
              </w:rPr>
              <w:t>润滑油泄漏事件、</w:t>
            </w:r>
            <w:r>
              <w:rPr>
                <w:rFonts w:hint="default" w:ascii="Times New Roman" w:hAnsi="Times New Roman" w:eastAsia="宋体" w:cs="Times New Roman"/>
                <w:color w:val="auto"/>
                <w:sz w:val="24"/>
                <w:highlight w:val="none"/>
              </w:rPr>
              <w:t>废</w:t>
            </w:r>
            <w:r>
              <w:rPr>
                <w:rFonts w:hint="default" w:ascii="Times New Roman" w:hAnsi="Times New Roman" w:eastAsia="宋体" w:cs="Times New Roman"/>
                <w:color w:val="auto"/>
                <w:sz w:val="24"/>
                <w:highlight w:val="none"/>
                <w:lang w:val="en-US" w:eastAsia="zh-CN"/>
              </w:rPr>
              <w:t>气污染治理</w:t>
            </w:r>
            <w:r>
              <w:rPr>
                <w:rFonts w:hint="default" w:ascii="Times New Roman" w:hAnsi="Times New Roman" w:eastAsia="宋体" w:cs="Times New Roman"/>
                <w:color w:val="auto"/>
                <w:sz w:val="24"/>
                <w:highlight w:val="none"/>
              </w:rPr>
              <w:t>设施故障</w:t>
            </w:r>
            <w:r>
              <w:rPr>
                <w:rFonts w:hint="default" w:ascii="Times New Roman" w:hAnsi="Times New Roman" w:eastAsia="宋体" w:cs="Times New Roman"/>
                <w:bCs/>
                <w:color w:val="auto"/>
                <w:spacing w:val="6"/>
                <w:sz w:val="24"/>
                <w:highlight w:val="none"/>
              </w:rPr>
              <w:t>事件、</w:t>
            </w:r>
            <w:r>
              <w:rPr>
                <w:rFonts w:hint="default" w:ascii="Times New Roman" w:hAnsi="Times New Roman" w:eastAsia="宋体" w:cs="Times New Roman"/>
                <w:bCs/>
                <w:color w:val="auto"/>
                <w:spacing w:val="6"/>
                <w:sz w:val="24"/>
                <w:highlight w:val="none"/>
                <w:lang w:val="en-US" w:eastAsia="zh-CN"/>
              </w:rPr>
              <w:t>危险废物污染事件</w:t>
            </w:r>
            <w:r>
              <w:rPr>
                <w:rFonts w:hint="default" w:ascii="Times New Roman" w:hAnsi="Times New Roman" w:eastAsia="宋体" w:cs="Times New Roman"/>
                <w:color w:val="auto"/>
                <w:sz w:val="24"/>
                <w:highlight w:val="none"/>
              </w:rPr>
              <w:t>和火灾爆炸次生衍生污染</w:t>
            </w:r>
            <w:r>
              <w:rPr>
                <w:rFonts w:hint="default" w:ascii="Times New Roman" w:hAnsi="Times New Roman" w:eastAsia="宋体" w:cs="Times New Roman"/>
                <w:bCs/>
                <w:color w:val="auto"/>
                <w:spacing w:val="6"/>
                <w:sz w:val="24"/>
                <w:highlight w:val="none"/>
              </w:rPr>
              <w:t>事件</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企业涉及风险单元见下表。</w:t>
            </w:r>
          </w:p>
          <w:p w14:paraId="72E4AFA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bCs/>
                <w:color w:val="auto"/>
                <w:spacing w:val="6"/>
                <w:sz w:val="24"/>
                <w:highlight w:val="none"/>
                <w:lang w:val="en-US" w:eastAsia="zh-CN"/>
              </w:rPr>
            </w:pPr>
            <w:r>
              <w:rPr>
                <w:rFonts w:hint="default" w:ascii="Times New Roman" w:hAnsi="Times New Roman" w:eastAsia="宋体" w:cs="Times New Roman"/>
                <w:b/>
                <w:bCs/>
                <w:color w:val="auto"/>
                <w:spacing w:val="6"/>
                <w:sz w:val="24"/>
                <w:highlight w:val="none"/>
              </w:rPr>
              <w:t>突发环境事件</w:t>
            </w:r>
            <w:r>
              <w:rPr>
                <w:rFonts w:hint="default" w:ascii="Times New Roman" w:hAnsi="Times New Roman" w:eastAsia="宋体" w:cs="Times New Roman"/>
                <w:b/>
                <w:bCs/>
                <w:color w:val="auto"/>
                <w:spacing w:val="6"/>
                <w:sz w:val="24"/>
                <w:highlight w:val="none"/>
                <w:lang w:val="en-US" w:eastAsia="zh-CN"/>
              </w:rPr>
              <w:t>类别一览表</w:t>
            </w:r>
          </w:p>
          <w:tbl>
            <w:tblPr>
              <w:tblStyle w:val="26"/>
              <w:tblW w:w="499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4311"/>
              <w:gridCol w:w="2890"/>
            </w:tblGrid>
            <w:tr w14:paraId="373C38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7C35AA9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风险单元名称</w:t>
                  </w:r>
                </w:p>
              </w:tc>
              <w:tc>
                <w:tcPr>
                  <w:tcW w:w="2454" w:type="pct"/>
                  <w:tcBorders>
                    <w:tl2br w:val="nil"/>
                    <w:tr2bl w:val="nil"/>
                  </w:tcBorders>
                  <w:noWrap w:val="0"/>
                  <w:vAlign w:val="center"/>
                </w:tcPr>
                <w:p w14:paraId="4589744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风险物质</w:t>
                  </w:r>
                </w:p>
              </w:tc>
              <w:tc>
                <w:tcPr>
                  <w:tcW w:w="1645" w:type="pct"/>
                  <w:tcBorders>
                    <w:tl2br w:val="nil"/>
                    <w:tr2bl w:val="nil"/>
                  </w:tcBorders>
                  <w:noWrap w:val="0"/>
                  <w:vAlign w:val="center"/>
                </w:tcPr>
                <w:p w14:paraId="00D0403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突发环境事件类别</w:t>
                  </w:r>
                </w:p>
              </w:tc>
            </w:tr>
            <w:tr w14:paraId="062C46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43D0C12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办公室</w:t>
                  </w:r>
                </w:p>
              </w:tc>
              <w:tc>
                <w:tcPr>
                  <w:tcW w:w="2454" w:type="pct"/>
                  <w:vMerge w:val="restart"/>
                  <w:tcBorders>
                    <w:tl2br w:val="nil"/>
                    <w:tr2bl w:val="nil"/>
                  </w:tcBorders>
                  <w:noWrap w:val="0"/>
                  <w:vAlign w:val="center"/>
                </w:tcPr>
                <w:p w14:paraId="0E6AD10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vMerge w:val="restart"/>
                  <w:tcBorders>
                    <w:tl2br w:val="nil"/>
                    <w:tr2bl w:val="nil"/>
                  </w:tcBorders>
                  <w:noWrap w:val="0"/>
                  <w:vAlign w:val="center"/>
                </w:tcPr>
                <w:p w14:paraId="5E9B48A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72A36F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pct"/>
                  <w:tcBorders>
                    <w:tl2br w:val="nil"/>
                    <w:tr2bl w:val="nil"/>
                  </w:tcBorders>
                  <w:noWrap w:val="0"/>
                  <w:vAlign w:val="center"/>
                </w:tcPr>
                <w:p w14:paraId="3EA6003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生产</w:t>
                  </w:r>
                  <w:r>
                    <w:rPr>
                      <w:rFonts w:hint="default" w:ascii="Times New Roman" w:hAnsi="Times New Roman" w:eastAsia="宋体" w:cs="Times New Roman"/>
                      <w:b w:val="0"/>
                      <w:bCs w:val="0"/>
                      <w:color w:val="auto"/>
                      <w:sz w:val="21"/>
                      <w:szCs w:val="21"/>
                      <w:highlight w:val="none"/>
                      <w:lang w:val="en-US" w:eastAsia="zh-CN"/>
                    </w:rPr>
                    <w:t>车间</w:t>
                  </w:r>
                </w:p>
              </w:tc>
              <w:tc>
                <w:tcPr>
                  <w:tcW w:w="2454" w:type="pct"/>
                  <w:vMerge w:val="continue"/>
                  <w:tcBorders>
                    <w:tl2br w:val="nil"/>
                    <w:tr2bl w:val="nil"/>
                  </w:tcBorders>
                  <w:noWrap w:val="0"/>
                  <w:vAlign w:val="center"/>
                </w:tcPr>
                <w:p w14:paraId="52467E4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tc>
              <w:tc>
                <w:tcPr>
                  <w:tcW w:w="1645" w:type="pct"/>
                  <w:vMerge w:val="continue"/>
                  <w:tcBorders>
                    <w:tl2br w:val="nil"/>
                    <w:tr2bl w:val="nil"/>
                  </w:tcBorders>
                  <w:noWrap w:val="0"/>
                  <w:vAlign w:val="center"/>
                </w:tcPr>
                <w:p w14:paraId="5B9F1D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14:paraId="6AE965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vMerge w:val="restart"/>
                  <w:tcBorders>
                    <w:tl2br w:val="nil"/>
                    <w:tr2bl w:val="nil"/>
                  </w:tcBorders>
                  <w:noWrap w:val="0"/>
                  <w:vAlign w:val="center"/>
                </w:tcPr>
                <w:p w14:paraId="2586AB5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危废间</w:t>
                  </w:r>
                </w:p>
              </w:tc>
              <w:tc>
                <w:tcPr>
                  <w:tcW w:w="2454" w:type="pct"/>
                  <w:tcBorders>
                    <w:tl2br w:val="nil"/>
                    <w:tr2bl w:val="nil"/>
                  </w:tcBorders>
                  <w:noWrap w:val="0"/>
                  <w:vAlign w:val="center"/>
                </w:tcPr>
                <w:p w14:paraId="16B85B1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tcBorders>
                    <w:tl2br w:val="nil"/>
                    <w:tr2bl w:val="nil"/>
                  </w:tcBorders>
                  <w:noWrap w:val="0"/>
                  <w:vAlign w:val="center"/>
                </w:tcPr>
                <w:p w14:paraId="7CBC72B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12F757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vMerge w:val="continue"/>
                  <w:tcBorders>
                    <w:tl2br w:val="nil"/>
                    <w:tr2bl w:val="nil"/>
                  </w:tcBorders>
                  <w:noWrap w:val="0"/>
                  <w:vAlign w:val="center"/>
                </w:tcPr>
                <w:p w14:paraId="068E43F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2454" w:type="pct"/>
                  <w:tcBorders>
                    <w:tl2br w:val="nil"/>
                    <w:tr2bl w:val="nil"/>
                  </w:tcBorders>
                  <w:noWrap w:val="0"/>
                  <w:vAlign w:val="center"/>
                </w:tcPr>
                <w:p w14:paraId="0CEEC9E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危险废物</w:t>
                  </w:r>
                </w:p>
              </w:tc>
              <w:tc>
                <w:tcPr>
                  <w:tcW w:w="1645" w:type="pct"/>
                  <w:tcBorders>
                    <w:tl2br w:val="nil"/>
                    <w:tr2bl w:val="nil"/>
                  </w:tcBorders>
                  <w:noWrap w:val="0"/>
                  <w:vAlign w:val="center"/>
                </w:tcPr>
                <w:p w14:paraId="71A4857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危险废物污染事件</w:t>
                  </w:r>
                </w:p>
              </w:tc>
            </w:tr>
            <w:tr w14:paraId="5415BE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51EA05B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成品仓库</w:t>
                  </w:r>
                </w:p>
              </w:tc>
              <w:tc>
                <w:tcPr>
                  <w:tcW w:w="2454" w:type="pct"/>
                  <w:tcBorders>
                    <w:tl2br w:val="nil"/>
                    <w:tr2bl w:val="nil"/>
                  </w:tcBorders>
                  <w:noWrap w:val="0"/>
                  <w:vAlign w:val="center"/>
                </w:tcPr>
                <w:p w14:paraId="3AFAD8A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tcBorders>
                    <w:tl2br w:val="nil"/>
                    <w:tr2bl w:val="nil"/>
                  </w:tcBorders>
                  <w:noWrap w:val="0"/>
                  <w:vAlign w:val="center"/>
                </w:tcPr>
                <w:p w14:paraId="444DCB3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041EC8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vMerge w:val="restart"/>
                  <w:tcBorders>
                    <w:tl2br w:val="nil"/>
                    <w:tr2bl w:val="nil"/>
                  </w:tcBorders>
                  <w:noWrap w:val="0"/>
                  <w:vAlign w:val="center"/>
                </w:tcPr>
                <w:p w14:paraId="0553E7D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润滑油存放处</w:t>
                  </w:r>
                </w:p>
              </w:tc>
              <w:tc>
                <w:tcPr>
                  <w:tcW w:w="2454" w:type="pct"/>
                  <w:tcBorders>
                    <w:tl2br w:val="nil"/>
                    <w:tr2bl w:val="nil"/>
                  </w:tcBorders>
                  <w:noWrap w:val="0"/>
                  <w:vAlign w:val="center"/>
                </w:tcPr>
                <w:p w14:paraId="1278D8E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燃烧废气、消防</w:t>
                  </w:r>
                  <w:r>
                    <w:rPr>
                      <w:rFonts w:hint="eastAsia"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固废等</w:t>
                  </w:r>
                </w:p>
              </w:tc>
              <w:tc>
                <w:tcPr>
                  <w:tcW w:w="1645" w:type="pct"/>
                  <w:tcBorders>
                    <w:tl2br w:val="nil"/>
                    <w:tr2bl w:val="nil"/>
                  </w:tcBorders>
                  <w:noWrap w:val="0"/>
                  <w:vAlign w:val="center"/>
                </w:tcPr>
                <w:p w14:paraId="6404745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w:t>
                  </w:r>
                  <w:r>
                    <w:rPr>
                      <w:rFonts w:hint="default" w:ascii="Times New Roman" w:hAnsi="Times New Roman" w:eastAsia="宋体" w:cs="Times New Roman"/>
                      <w:b w:val="0"/>
                      <w:bCs w:val="0"/>
                      <w:color w:val="auto"/>
                      <w:sz w:val="21"/>
                      <w:szCs w:val="21"/>
                      <w:highlight w:val="none"/>
                      <w:lang w:val="en-US" w:eastAsia="zh-CN"/>
                    </w:rPr>
                    <w:t>爆炸</w:t>
                  </w:r>
                  <w:r>
                    <w:rPr>
                      <w:rFonts w:hint="default" w:ascii="Times New Roman" w:hAnsi="Times New Roman" w:eastAsia="宋体" w:cs="Times New Roman"/>
                      <w:color w:val="auto"/>
                      <w:sz w:val="21"/>
                      <w:szCs w:val="21"/>
                      <w:highlight w:val="none"/>
                    </w:rPr>
                    <w:t>次生</w:t>
                  </w:r>
                  <w:r>
                    <w:rPr>
                      <w:rFonts w:hint="default" w:ascii="Times New Roman" w:hAnsi="Times New Roman" w:eastAsia="宋体" w:cs="Times New Roman"/>
                      <w:color w:val="auto"/>
                      <w:sz w:val="21"/>
                      <w:szCs w:val="21"/>
                      <w:highlight w:val="none"/>
                      <w:lang w:val="en-US" w:eastAsia="zh-CN"/>
                    </w:rPr>
                    <w:t>衍生污染事件</w:t>
                  </w:r>
                </w:p>
              </w:tc>
            </w:tr>
            <w:tr w14:paraId="7EA0F3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0" w:type="pct"/>
                  <w:vMerge w:val="continue"/>
                  <w:tcBorders>
                    <w:tl2br w:val="nil"/>
                    <w:tr2bl w:val="nil"/>
                  </w:tcBorders>
                  <w:noWrap w:val="0"/>
                  <w:vAlign w:val="center"/>
                </w:tcPr>
                <w:p w14:paraId="2FED875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p>
              </w:tc>
              <w:tc>
                <w:tcPr>
                  <w:tcW w:w="2454" w:type="pct"/>
                  <w:tcBorders>
                    <w:tl2br w:val="nil"/>
                    <w:tr2bl w:val="nil"/>
                  </w:tcBorders>
                  <w:noWrap w:val="0"/>
                  <w:vAlign w:val="center"/>
                </w:tcPr>
                <w:p w14:paraId="35A759F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润滑油</w:t>
                  </w:r>
                </w:p>
              </w:tc>
              <w:tc>
                <w:tcPr>
                  <w:tcW w:w="1645" w:type="pct"/>
                  <w:tcBorders>
                    <w:tl2br w:val="nil"/>
                    <w:tr2bl w:val="nil"/>
                  </w:tcBorders>
                  <w:noWrap w:val="0"/>
                  <w:vAlign w:val="center"/>
                </w:tcPr>
                <w:p w14:paraId="0E1B374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润滑油泄漏事件</w:t>
                  </w:r>
                </w:p>
              </w:tc>
            </w:tr>
            <w:tr w14:paraId="04D66B6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00" w:type="pct"/>
                  <w:tcBorders>
                    <w:tl2br w:val="nil"/>
                    <w:tr2bl w:val="nil"/>
                  </w:tcBorders>
                  <w:noWrap w:val="0"/>
                  <w:vAlign w:val="center"/>
                </w:tcPr>
                <w:p w14:paraId="5A3EFC6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废气治理设施</w:t>
                  </w:r>
                </w:p>
              </w:tc>
              <w:tc>
                <w:tcPr>
                  <w:tcW w:w="2454" w:type="pct"/>
                  <w:tcBorders>
                    <w:tl2br w:val="nil"/>
                    <w:tr2bl w:val="nil"/>
                  </w:tcBorders>
                  <w:noWrap w:val="0"/>
                  <w:vAlign w:val="center"/>
                </w:tcPr>
                <w:p w14:paraId="4D3BAE6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非甲烷总烃</w:t>
                  </w:r>
                </w:p>
              </w:tc>
              <w:tc>
                <w:tcPr>
                  <w:tcW w:w="1645" w:type="pct"/>
                  <w:tcBorders>
                    <w:tl2br w:val="nil"/>
                    <w:tr2bl w:val="nil"/>
                  </w:tcBorders>
                  <w:noWrap w:val="0"/>
                  <w:vAlign w:val="center"/>
                </w:tcPr>
                <w:p w14:paraId="7978ECB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废气污染治理设施故障事件</w:t>
                  </w:r>
                </w:p>
              </w:tc>
            </w:tr>
          </w:tbl>
          <w:p w14:paraId="08D3A9A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olor w:val="auto"/>
                <w:sz w:val="24"/>
                <w:highlight w:val="none"/>
              </w:rPr>
            </w:pPr>
          </w:p>
          <w:p w14:paraId="4FED9F5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环境影响途径及危害后果一览表</w:t>
            </w:r>
          </w:p>
          <w:tbl>
            <w:tblPr>
              <w:tblStyle w:val="27"/>
              <w:tblW w:w="4994"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270"/>
              <w:gridCol w:w="1456"/>
              <w:gridCol w:w="1049"/>
              <w:gridCol w:w="4405"/>
            </w:tblGrid>
            <w:tr w14:paraId="335783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42" w:type="pct"/>
                  <w:tcBorders>
                    <w:top w:val="single" w:color="auto" w:sz="4" w:space="0"/>
                    <w:left w:val="nil"/>
                    <w:bottom w:val="single" w:color="auto" w:sz="4" w:space="0"/>
                    <w:right w:val="single" w:color="auto" w:sz="4" w:space="0"/>
                  </w:tcBorders>
                  <w:noWrap w:val="0"/>
                  <w:vAlign w:val="center"/>
                </w:tcPr>
                <w:p w14:paraId="7E4424A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4520DBE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lang w:eastAsia="zh-CN"/>
                    </w:rPr>
                  </w:pPr>
                  <w:r>
                    <w:rPr>
                      <w:rFonts w:hint="default" w:ascii="Times New Roman" w:hAnsi="Times New Roman" w:eastAsia="宋体" w:cs="Times New Roman"/>
                      <w:b/>
                      <w:color w:val="auto"/>
                      <w:szCs w:val="21"/>
                      <w:highlight w:val="none"/>
                    </w:rPr>
                    <w:t>事故</w:t>
                  </w:r>
                  <w:r>
                    <w:rPr>
                      <w:rFonts w:hint="default" w:ascii="Times New Roman" w:hAnsi="Times New Roman" w:eastAsia="宋体" w:cs="Times New Roman"/>
                      <w:b/>
                      <w:color w:val="auto"/>
                      <w:szCs w:val="21"/>
                      <w:highlight w:val="none"/>
                      <w:lang w:val="en-US" w:eastAsia="zh-CN"/>
                    </w:rPr>
                    <w:t>类型</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624A980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bCs/>
                      <w:color w:val="auto"/>
                      <w:sz w:val="21"/>
                      <w:szCs w:val="21"/>
                      <w:highlight w:val="none"/>
                      <w:lang w:val="en-US" w:eastAsia="zh-CN"/>
                    </w:rPr>
                    <w:t>风险物质</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14B2C34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影响途径</w:t>
                  </w:r>
                </w:p>
              </w:tc>
              <w:tc>
                <w:tcPr>
                  <w:tcW w:w="2508" w:type="pct"/>
                  <w:tcBorders>
                    <w:top w:val="single" w:color="auto" w:sz="4" w:space="0"/>
                    <w:left w:val="single" w:color="auto" w:sz="4" w:space="0"/>
                    <w:bottom w:val="single" w:color="auto" w:sz="4" w:space="0"/>
                    <w:right w:val="nil"/>
                  </w:tcBorders>
                  <w:noWrap w:val="0"/>
                  <w:vAlign w:val="center"/>
                </w:tcPr>
                <w:p w14:paraId="57A0001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危害后果</w:t>
                  </w:r>
                </w:p>
              </w:tc>
            </w:tr>
            <w:tr w14:paraId="5E8F04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nil"/>
                    <w:bottom w:val="single" w:color="auto" w:sz="4" w:space="0"/>
                    <w:right w:val="single" w:color="auto" w:sz="4" w:space="0"/>
                  </w:tcBorders>
                  <w:noWrap w:val="0"/>
                  <w:vAlign w:val="center"/>
                </w:tcPr>
                <w:p w14:paraId="700BC74E">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1</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6C78F56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val="0"/>
                      <w:bCs/>
                      <w:color w:val="auto"/>
                      <w:szCs w:val="21"/>
                      <w:highlight w:val="none"/>
                    </w:rPr>
                    <w:t>润滑油泄漏事件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A4A5F5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szCs w:val="21"/>
                      <w:highlight w:val="none"/>
                      <w:lang w:val="en-US" w:eastAsia="zh-CN"/>
                    </w:rPr>
                  </w:pPr>
                  <w:r>
                    <w:rPr>
                      <w:rFonts w:hint="default" w:ascii="Times New Roman" w:hAnsi="Times New Roman" w:cs="Times New Roman"/>
                      <w:color w:val="auto"/>
                      <w:sz w:val="21"/>
                      <w:szCs w:val="21"/>
                    </w:rPr>
                    <w:t>钙基润滑脂（黄油）</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59CE6CF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val="0"/>
                      <w:bCs/>
                      <w:color w:val="auto"/>
                      <w:szCs w:val="21"/>
                      <w:highlight w:val="none"/>
                      <w:lang w:val="en-US" w:eastAsia="zh-CN"/>
                    </w:rPr>
                    <w:t>水、土壤</w:t>
                  </w:r>
                </w:p>
              </w:tc>
              <w:tc>
                <w:tcPr>
                  <w:tcW w:w="2508" w:type="pct"/>
                  <w:tcBorders>
                    <w:top w:val="single" w:color="auto" w:sz="4" w:space="0"/>
                    <w:left w:val="single" w:color="auto" w:sz="4" w:space="0"/>
                    <w:bottom w:val="single" w:color="auto" w:sz="4" w:space="0"/>
                    <w:right w:val="nil"/>
                  </w:tcBorders>
                  <w:noWrap w:val="0"/>
                  <w:vAlign w:val="center"/>
                </w:tcPr>
                <w:p w14:paraId="4CC548A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kern w:val="0"/>
                      <w:szCs w:val="21"/>
                      <w:highlight w:val="none"/>
                      <w:lang w:val="en-US" w:eastAsia="zh-CN"/>
                    </w:rPr>
                    <w:t>泄漏润滑油</w:t>
                  </w:r>
                  <w:r>
                    <w:rPr>
                      <w:rFonts w:hint="default" w:ascii="Times New Roman" w:hAnsi="Times New Roman" w:eastAsia="宋体" w:cs="Times New Roman"/>
                      <w:color w:val="auto"/>
                      <w:kern w:val="0"/>
                      <w:szCs w:val="21"/>
                      <w:highlight w:val="none"/>
                    </w:rPr>
                    <w:t>可能污染</w:t>
                  </w:r>
                  <w:r>
                    <w:rPr>
                      <w:rFonts w:hint="default" w:ascii="Times New Roman" w:hAnsi="Times New Roman" w:eastAsia="宋体" w:cs="Times New Roman"/>
                      <w:color w:val="auto"/>
                      <w:kern w:val="0"/>
                      <w:szCs w:val="21"/>
                      <w:highlight w:val="none"/>
                      <w:lang w:val="en-US" w:eastAsia="zh-CN"/>
                    </w:rPr>
                    <w:t>周边</w:t>
                  </w:r>
                  <w:r>
                    <w:rPr>
                      <w:rFonts w:hint="default" w:ascii="Times New Roman" w:hAnsi="Times New Roman" w:eastAsia="宋体" w:cs="Times New Roman"/>
                      <w:color w:val="auto"/>
                      <w:kern w:val="0"/>
                      <w:szCs w:val="21"/>
                      <w:highlight w:val="none"/>
                    </w:rPr>
                    <w:t>土壤、水环境。</w:t>
                  </w:r>
                </w:p>
              </w:tc>
            </w:tr>
            <w:tr w14:paraId="1D76D6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42" w:type="pct"/>
                  <w:tcBorders>
                    <w:top w:val="single" w:color="auto" w:sz="4" w:space="0"/>
                    <w:left w:val="nil"/>
                    <w:right w:val="single" w:color="auto" w:sz="4" w:space="0"/>
                  </w:tcBorders>
                  <w:noWrap w:val="0"/>
                  <w:vAlign w:val="center"/>
                </w:tcPr>
                <w:p w14:paraId="101778E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w:t>
                  </w:r>
                </w:p>
              </w:tc>
              <w:tc>
                <w:tcPr>
                  <w:tcW w:w="723" w:type="pct"/>
                  <w:tcBorders>
                    <w:top w:val="single" w:color="auto" w:sz="4" w:space="0"/>
                    <w:left w:val="single" w:color="auto" w:sz="4" w:space="0"/>
                    <w:right w:val="single" w:color="auto" w:sz="4" w:space="0"/>
                  </w:tcBorders>
                  <w:noWrap w:val="0"/>
                  <w:vAlign w:val="center"/>
                </w:tcPr>
                <w:p w14:paraId="599F3F2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6"/>
                      <w:szCs w:val="21"/>
                      <w:highlight w:val="none"/>
                      <w:lang w:val="en-US" w:eastAsia="zh-CN"/>
                    </w:rPr>
                  </w:pPr>
                  <w:r>
                    <w:rPr>
                      <w:rFonts w:hint="default" w:ascii="Times New Roman" w:hAnsi="Times New Roman" w:eastAsia="宋体" w:cs="Times New Roman"/>
                      <w:color w:val="auto"/>
                      <w:kern w:val="0"/>
                      <w:szCs w:val="21"/>
                      <w:highlight w:val="none"/>
                    </w:rPr>
                    <w:t>废</w:t>
                  </w:r>
                  <w:r>
                    <w:rPr>
                      <w:rFonts w:hint="default" w:ascii="Times New Roman" w:hAnsi="Times New Roman" w:eastAsia="宋体" w:cs="Times New Roman"/>
                      <w:color w:val="auto"/>
                      <w:kern w:val="0"/>
                      <w:szCs w:val="21"/>
                      <w:highlight w:val="none"/>
                      <w:lang w:val="en-US" w:eastAsia="zh-CN"/>
                    </w:rPr>
                    <w:t>气</w:t>
                  </w:r>
                  <w:r>
                    <w:rPr>
                      <w:rFonts w:hint="default" w:ascii="Times New Roman" w:hAnsi="Times New Roman" w:eastAsia="宋体" w:cs="Times New Roman"/>
                      <w:color w:val="auto"/>
                      <w:kern w:val="0"/>
                      <w:szCs w:val="21"/>
                      <w:highlight w:val="none"/>
                    </w:rPr>
                    <w:t>污染治理设施故障</w:t>
                  </w:r>
                  <w:r>
                    <w:rPr>
                      <w:rFonts w:hint="default" w:ascii="Times New Roman" w:hAnsi="Times New Roman" w:eastAsia="宋体" w:cs="Times New Roman"/>
                      <w:color w:val="auto"/>
                      <w:kern w:val="0"/>
                      <w:szCs w:val="21"/>
                      <w:highlight w:val="none"/>
                      <w:lang w:val="en-US" w:eastAsia="zh-CN"/>
                    </w:rPr>
                    <w:t>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0BDEE63F">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非甲烷总烃</w:t>
                  </w:r>
                </w:p>
              </w:tc>
              <w:tc>
                <w:tcPr>
                  <w:tcW w:w="597" w:type="pct"/>
                  <w:tcBorders>
                    <w:top w:val="single" w:color="auto" w:sz="4" w:space="0"/>
                    <w:left w:val="single" w:color="auto" w:sz="4" w:space="0"/>
                    <w:right w:val="single" w:color="auto" w:sz="4" w:space="0"/>
                  </w:tcBorders>
                  <w:noWrap w:val="0"/>
                  <w:vAlign w:val="center"/>
                </w:tcPr>
                <w:p w14:paraId="01D48E0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大气</w:t>
                  </w:r>
                </w:p>
              </w:tc>
              <w:tc>
                <w:tcPr>
                  <w:tcW w:w="2508" w:type="pct"/>
                  <w:tcBorders>
                    <w:top w:val="single" w:color="auto" w:sz="4" w:space="0"/>
                    <w:left w:val="single" w:color="auto" w:sz="4" w:space="0"/>
                    <w:right w:val="nil"/>
                  </w:tcBorders>
                  <w:noWrap w:val="0"/>
                  <w:vAlign w:val="center"/>
                </w:tcPr>
                <w:p w14:paraId="14333E9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可能导致大气污染物超标排放</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污染周围环境空气</w:t>
                  </w:r>
                  <w:r>
                    <w:rPr>
                      <w:rFonts w:hint="default" w:ascii="Times New Roman" w:hAnsi="Times New Roman" w:eastAsia="宋体" w:cs="Times New Roman"/>
                      <w:color w:val="auto"/>
                      <w:kern w:val="0"/>
                      <w:szCs w:val="21"/>
                      <w:highlight w:val="none"/>
                    </w:rPr>
                    <w:t>。</w:t>
                  </w:r>
                </w:p>
              </w:tc>
            </w:tr>
            <w:tr w14:paraId="1665DD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42" w:type="pct"/>
                  <w:tcBorders>
                    <w:top w:val="single" w:color="auto" w:sz="4" w:space="0"/>
                    <w:left w:val="nil"/>
                    <w:bottom w:val="single" w:color="auto" w:sz="4" w:space="0"/>
                    <w:right w:val="single" w:color="auto" w:sz="4" w:space="0"/>
                  </w:tcBorders>
                  <w:noWrap w:val="0"/>
                  <w:vAlign w:val="center"/>
                </w:tcPr>
                <w:p w14:paraId="5C2AA6B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p>
              </w:tc>
              <w:tc>
                <w:tcPr>
                  <w:tcW w:w="723" w:type="pct"/>
                  <w:tcBorders>
                    <w:top w:val="single" w:color="auto" w:sz="4" w:space="0"/>
                    <w:left w:val="single" w:color="auto" w:sz="4" w:space="0"/>
                    <w:bottom w:val="single" w:color="auto" w:sz="4" w:space="0"/>
                    <w:right w:val="single" w:color="auto" w:sz="4" w:space="0"/>
                  </w:tcBorders>
                  <w:noWrap w:val="0"/>
                  <w:vAlign w:val="center"/>
                </w:tcPr>
                <w:p w14:paraId="7B7015F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危险废物污染事件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13829CE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298EB39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水、土壤</w:t>
                  </w:r>
                </w:p>
              </w:tc>
              <w:tc>
                <w:tcPr>
                  <w:tcW w:w="2508" w:type="pct"/>
                  <w:tcBorders>
                    <w:top w:val="single" w:color="auto" w:sz="4" w:space="0"/>
                    <w:left w:val="single" w:color="auto" w:sz="4" w:space="0"/>
                    <w:bottom w:val="single" w:color="auto" w:sz="4" w:space="0"/>
                    <w:right w:val="nil"/>
                  </w:tcBorders>
                  <w:noWrap w:val="0"/>
                  <w:vAlign w:val="center"/>
                </w:tcPr>
                <w:p w14:paraId="58B42A3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危险废物泄漏、防范措施失效等，导致危险废物进入外环境，污染土壤、水环境。</w:t>
                  </w:r>
                </w:p>
              </w:tc>
            </w:tr>
            <w:tr w14:paraId="6276DF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2" w:type="pct"/>
                  <w:vMerge w:val="restart"/>
                  <w:tcBorders>
                    <w:top w:val="single" w:color="auto" w:sz="4" w:space="0"/>
                    <w:left w:val="nil"/>
                    <w:right w:val="single" w:color="auto" w:sz="4" w:space="0"/>
                  </w:tcBorders>
                  <w:noWrap w:val="0"/>
                  <w:vAlign w:val="center"/>
                </w:tcPr>
                <w:p w14:paraId="7473DE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w:t>
                  </w:r>
                </w:p>
              </w:tc>
              <w:tc>
                <w:tcPr>
                  <w:tcW w:w="723" w:type="pct"/>
                  <w:vMerge w:val="restart"/>
                  <w:tcBorders>
                    <w:top w:val="single" w:color="auto" w:sz="4" w:space="0"/>
                    <w:left w:val="single" w:color="auto" w:sz="4" w:space="0"/>
                    <w:right w:val="single" w:color="auto" w:sz="4" w:space="0"/>
                  </w:tcBorders>
                  <w:noWrap w:val="0"/>
                  <w:vAlign w:val="center"/>
                </w:tcPr>
                <w:p w14:paraId="2696F1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火灾</w:t>
                  </w:r>
                  <w:r>
                    <w:rPr>
                      <w:rFonts w:hint="default" w:ascii="Times New Roman" w:hAnsi="Times New Roman" w:eastAsia="宋体" w:cs="Times New Roman"/>
                      <w:color w:val="auto"/>
                      <w:szCs w:val="21"/>
                      <w:highlight w:val="none"/>
                      <w:lang w:val="en-US" w:eastAsia="zh-CN"/>
                    </w:rPr>
                    <w:t>爆炸</w:t>
                  </w:r>
                  <w:r>
                    <w:rPr>
                      <w:rFonts w:hint="default" w:ascii="Times New Roman" w:hAnsi="Times New Roman" w:eastAsia="宋体" w:cs="Times New Roman"/>
                      <w:color w:val="auto"/>
                      <w:szCs w:val="21"/>
                      <w:highlight w:val="none"/>
                    </w:rPr>
                    <w:t>次生衍生污染</w:t>
                  </w:r>
                  <w:r>
                    <w:rPr>
                      <w:rFonts w:hint="default" w:ascii="Times New Roman" w:hAnsi="Times New Roman" w:eastAsia="宋体" w:cs="Times New Roman"/>
                      <w:color w:val="auto"/>
                      <w:kern w:val="0"/>
                      <w:szCs w:val="21"/>
                      <w:highlight w:val="none"/>
                      <w:lang w:val="en-US" w:eastAsia="zh-CN"/>
                    </w:rPr>
                    <w:t>事件</w:t>
                  </w:r>
                </w:p>
              </w:tc>
              <w:tc>
                <w:tcPr>
                  <w:tcW w:w="829" w:type="pct"/>
                  <w:tcBorders>
                    <w:top w:val="single" w:color="auto" w:sz="4" w:space="0"/>
                    <w:left w:val="single" w:color="auto" w:sz="4" w:space="0"/>
                    <w:bottom w:val="single" w:color="auto" w:sz="4" w:space="0"/>
                    <w:right w:val="single" w:color="auto" w:sz="4" w:space="0"/>
                  </w:tcBorders>
                  <w:noWrap w:val="0"/>
                  <w:vAlign w:val="center"/>
                </w:tcPr>
                <w:p w14:paraId="23913880">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燃烧废气</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4E5F164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大气</w:t>
                  </w:r>
                </w:p>
              </w:tc>
              <w:tc>
                <w:tcPr>
                  <w:tcW w:w="2508" w:type="pct"/>
                  <w:tcBorders>
                    <w:top w:val="single" w:color="auto" w:sz="4" w:space="0"/>
                    <w:left w:val="single" w:color="auto" w:sz="4" w:space="0"/>
                    <w:bottom w:val="single" w:color="auto" w:sz="4" w:space="0"/>
                    <w:right w:val="nil"/>
                  </w:tcBorders>
                  <w:noWrap w:val="0"/>
                  <w:vAlign w:val="center"/>
                </w:tcPr>
                <w:p w14:paraId="4D924688">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燃烧废气会污染区域环境空气。</w:t>
                  </w:r>
                </w:p>
              </w:tc>
            </w:tr>
            <w:tr w14:paraId="60729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42" w:type="pct"/>
                  <w:vMerge w:val="continue"/>
                  <w:tcBorders>
                    <w:left w:val="nil"/>
                    <w:bottom w:val="single" w:color="auto" w:sz="4" w:space="0"/>
                    <w:right w:val="single" w:color="auto" w:sz="4" w:space="0"/>
                  </w:tcBorders>
                  <w:noWrap w:val="0"/>
                  <w:vAlign w:val="center"/>
                </w:tcPr>
                <w:p w14:paraId="6C896F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723" w:type="pct"/>
                  <w:vMerge w:val="continue"/>
                  <w:tcBorders>
                    <w:left w:val="single" w:color="auto" w:sz="4" w:space="0"/>
                    <w:bottom w:val="single" w:color="auto" w:sz="4" w:space="0"/>
                    <w:right w:val="single" w:color="auto" w:sz="4" w:space="0"/>
                  </w:tcBorders>
                  <w:noWrap w:val="0"/>
                  <w:vAlign w:val="center"/>
                </w:tcPr>
                <w:p w14:paraId="10C67BA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829" w:type="pct"/>
                  <w:tcBorders>
                    <w:left w:val="single" w:color="auto" w:sz="4" w:space="0"/>
                    <w:bottom w:val="single" w:color="auto" w:sz="4" w:space="0"/>
                    <w:right w:val="single" w:color="auto" w:sz="4" w:space="0"/>
                  </w:tcBorders>
                  <w:noWrap w:val="0"/>
                  <w:vAlign w:val="center"/>
                </w:tcPr>
                <w:p w14:paraId="466E61D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消防</w:t>
                  </w:r>
                  <w:r>
                    <w:rPr>
                      <w:rFonts w:hint="eastAsia" w:cs="Times New Roman"/>
                      <w:color w:val="auto"/>
                      <w:kern w:val="0"/>
                      <w:szCs w:val="21"/>
                      <w:highlight w:val="none"/>
                      <w:lang w:val="en-US" w:eastAsia="zh-CN"/>
                    </w:rPr>
                    <w:t>废水、固废</w:t>
                  </w:r>
                </w:p>
              </w:tc>
              <w:tc>
                <w:tcPr>
                  <w:tcW w:w="597" w:type="pct"/>
                  <w:tcBorders>
                    <w:left w:val="single" w:color="auto" w:sz="4" w:space="0"/>
                    <w:bottom w:val="single" w:color="auto" w:sz="4" w:space="0"/>
                    <w:right w:val="single" w:color="auto" w:sz="4" w:space="0"/>
                  </w:tcBorders>
                  <w:noWrap w:val="0"/>
                  <w:vAlign w:val="center"/>
                </w:tcPr>
                <w:p w14:paraId="7ABD7CB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eastAsia="zh-CN"/>
                    </w:rPr>
                    <w:t>水、土壤</w:t>
                  </w:r>
                </w:p>
              </w:tc>
              <w:tc>
                <w:tcPr>
                  <w:tcW w:w="2508" w:type="pct"/>
                  <w:tcBorders>
                    <w:top w:val="single" w:color="auto" w:sz="4" w:space="0"/>
                    <w:left w:val="single" w:color="auto" w:sz="4" w:space="0"/>
                    <w:bottom w:val="single" w:color="auto" w:sz="4" w:space="0"/>
                    <w:right w:val="nil"/>
                  </w:tcBorders>
                  <w:noWrap w:val="0"/>
                  <w:vAlign w:val="center"/>
                </w:tcPr>
                <w:p w14:paraId="7929789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未合理处理，</w:t>
                  </w:r>
                  <w:r>
                    <w:rPr>
                      <w:rFonts w:hint="default" w:ascii="Times New Roman" w:hAnsi="Times New Roman" w:eastAsia="宋体" w:cs="Times New Roman"/>
                      <w:color w:val="auto"/>
                      <w:kern w:val="0"/>
                      <w:szCs w:val="21"/>
                      <w:highlight w:val="none"/>
                    </w:rPr>
                    <w:t>可能污染</w:t>
                  </w:r>
                  <w:r>
                    <w:rPr>
                      <w:rFonts w:hint="default" w:ascii="Times New Roman" w:hAnsi="Times New Roman" w:eastAsia="宋体" w:cs="Times New Roman"/>
                      <w:color w:val="auto"/>
                      <w:kern w:val="0"/>
                      <w:szCs w:val="21"/>
                      <w:highlight w:val="none"/>
                      <w:lang w:val="en-US" w:eastAsia="zh-CN"/>
                    </w:rPr>
                    <w:t>周边</w:t>
                  </w:r>
                  <w:r>
                    <w:rPr>
                      <w:rFonts w:hint="default" w:ascii="Times New Roman" w:hAnsi="Times New Roman" w:eastAsia="宋体" w:cs="Times New Roman"/>
                      <w:color w:val="auto"/>
                      <w:kern w:val="0"/>
                      <w:szCs w:val="21"/>
                      <w:highlight w:val="none"/>
                    </w:rPr>
                    <w:t>土壤、水环境。</w:t>
                  </w:r>
                </w:p>
              </w:tc>
            </w:tr>
          </w:tbl>
          <w:p w14:paraId="7A3E7B3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auto"/>
                <w:kern w:val="24"/>
                <w:sz w:val="24"/>
                <w:highlight w:val="none"/>
              </w:rPr>
            </w:pPr>
            <w:r>
              <w:rPr>
                <w:rFonts w:hint="default" w:ascii="Times New Roman" w:hAnsi="Times New Roman" w:eastAsia="宋体" w:cs="Times New Roman"/>
                <w:b/>
                <w:color w:val="auto"/>
                <w:kern w:val="24"/>
                <w:sz w:val="24"/>
                <w:highlight w:val="none"/>
                <w:lang w:val="en-US" w:eastAsia="zh-CN"/>
              </w:rPr>
              <w:t>7.3</w:t>
            </w:r>
            <w:r>
              <w:rPr>
                <w:rFonts w:hint="default" w:ascii="Times New Roman" w:hAnsi="Times New Roman" w:eastAsia="宋体" w:cs="Times New Roman"/>
                <w:b/>
                <w:color w:val="auto"/>
                <w:kern w:val="24"/>
                <w:sz w:val="24"/>
                <w:highlight w:val="none"/>
              </w:rPr>
              <w:t>环境风险防范措施及应急要求</w:t>
            </w:r>
          </w:p>
          <w:p w14:paraId="09046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7.3.1生产操作规范化措施</w:t>
            </w:r>
          </w:p>
          <w:p w14:paraId="774751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①生产车间应按规范配置灭火器材和消防装备。</w:t>
            </w:r>
          </w:p>
          <w:p w14:paraId="19323A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②制定巡查制度，对有事故迹象的部位及时采取处理措施。</w:t>
            </w:r>
          </w:p>
          <w:p w14:paraId="2071F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③加强火源管理，杜绝各种火种，严禁闲杂人员入内。</w:t>
            </w:r>
          </w:p>
          <w:p w14:paraId="3CDFC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全厂建立健全健康/安全/环境管理制度，并严格予以执行；建立健全档案管理制度，做好产品和生产工艺有关的设计资料，指导安全生产运行的资料，设备购置、运行、维修和维护、检测、报废、处置的信息和资料，事故统计、分析、处理、整改措施落实的音像、实物、文件等资料的严格管理；建立汇报、抽查、定期检查相结合的安全检查制度，及时发现安全隐患并采取有效措施消除；建立严格的从业人员上岗培训制度，依法参加工伤保险，为从业人员缴纳保险费，为从业人员配备符合国家或行业标准规定的劳动防护用品；应按照《安全标志及其使用导则》(GB2894-2008)、《安全色》(GB2893-2008)的要求设置并管理安全标识，主要安全标识包括：禁止标志有“禁止吸烟”、“禁止烟火”、“禁止带火种”等；警告标志如“当心火灾”标志；消防安全标志如“灭火器”、“灭火设备或报警装置方向”；应急疏散指示标志如“安全出口”、“消防通道”等；使损失和对环境污染降到最低。</w:t>
            </w:r>
          </w:p>
          <w:p w14:paraId="4C42A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⑤企业应当备有消防设施配置图、现场平面布置图、排水管网分布图。</w:t>
            </w:r>
          </w:p>
          <w:p w14:paraId="67F727F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outlineLvl w:val="1"/>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7.3.2泄露风险防范措施</w:t>
            </w:r>
          </w:p>
          <w:p w14:paraId="2E544B0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outlineLvl w:val="1"/>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若液态</w:t>
            </w:r>
            <w:r>
              <w:rPr>
                <w:rFonts w:hint="default" w:ascii="Times New Roman" w:hAnsi="Times New Roman" w:eastAsia="宋体" w:cs="Times New Roman"/>
                <w:color w:val="auto"/>
                <w:kern w:val="0"/>
                <w:sz w:val="24"/>
                <w:highlight w:val="none"/>
                <w:lang w:eastAsia="zh-CN"/>
              </w:rPr>
              <w:t>原辅料润滑油桶</w:t>
            </w:r>
            <w:r>
              <w:rPr>
                <w:rFonts w:hint="default" w:ascii="Times New Roman" w:hAnsi="Times New Roman" w:eastAsia="宋体" w:cs="Times New Roman"/>
                <w:color w:val="auto"/>
                <w:kern w:val="0"/>
                <w:sz w:val="24"/>
                <w:highlight w:val="none"/>
              </w:rPr>
              <w:t>破损，会导致泄漏，一旦发生泄漏事故，立即采用干沙对泄漏液体原料进行吸附，避免泄漏液体原料进一步溢流和挥发，及时控制泄漏事故一般10min左右可处置完毕</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吸附后的干沙装入铁桶并密封，再委托有</w:t>
            </w:r>
            <w:r>
              <w:rPr>
                <w:rFonts w:hint="eastAsia" w:cs="Times New Roman"/>
                <w:color w:val="auto"/>
                <w:kern w:val="0"/>
                <w:sz w:val="24"/>
                <w:highlight w:val="none"/>
                <w:lang w:eastAsia="zh-CN"/>
              </w:rPr>
              <w:t>资质</w:t>
            </w:r>
            <w:r>
              <w:rPr>
                <w:rFonts w:hint="default" w:ascii="Times New Roman" w:hAnsi="Times New Roman" w:eastAsia="宋体" w:cs="Times New Roman"/>
                <w:color w:val="auto"/>
                <w:kern w:val="0"/>
                <w:sz w:val="24"/>
                <w:highlight w:val="none"/>
              </w:rPr>
              <w:t>单位</w:t>
            </w:r>
            <w:r>
              <w:rPr>
                <w:rFonts w:hint="eastAsia" w:cs="Times New Roman"/>
                <w:color w:val="auto"/>
                <w:kern w:val="0"/>
                <w:sz w:val="24"/>
                <w:highlight w:val="none"/>
                <w:lang w:eastAsia="zh-CN"/>
              </w:rPr>
              <w:t>转移、</w:t>
            </w:r>
            <w:r>
              <w:rPr>
                <w:rFonts w:hint="default" w:ascii="Times New Roman" w:hAnsi="Times New Roman" w:eastAsia="宋体" w:cs="Times New Roman"/>
                <w:color w:val="auto"/>
                <w:kern w:val="0"/>
                <w:sz w:val="24"/>
                <w:highlight w:val="none"/>
              </w:rPr>
              <w:t>处置。</w:t>
            </w:r>
          </w:p>
          <w:p w14:paraId="1E517B88">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2" w:firstLineChars="200"/>
              <w:outlineLvl w:val="1"/>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eastAsia="宋体" w:cs="Times New Roman"/>
                <w:b/>
                <w:bCs/>
                <w:color w:val="auto"/>
                <w:kern w:val="0"/>
                <w:sz w:val="24"/>
                <w:highlight w:val="none"/>
                <w:lang w:val="en-US" w:eastAsia="zh-CN"/>
              </w:rPr>
              <w:t>7.3.3环保设施发生故障的防范措施</w:t>
            </w:r>
          </w:p>
          <w:p w14:paraId="224AA4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①各生产环节严格执行生产管理的有关规定，加强设备的检修及保养，提高管理人员素质，并设置机器事故应急措施及管理制度，确保设备长期处在良好状态，使设备达到预期的处理效果。</w:t>
            </w:r>
          </w:p>
          <w:p w14:paraId="5321A8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现场作业人员定时记录废气处理状况，如对废气处理设备、风机等设备进行定期检查，并派专人巡视，遇不良工作状况应立即停止车间相关作业，维修正常后再开始作业，杜绝事故性废气直排，并及时呈报单位主管。</w:t>
            </w:r>
          </w:p>
          <w:p w14:paraId="7D47169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80" w:firstLineChars="200"/>
              <w:outlineLvl w:val="1"/>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lang w:eastAsia="zh-CN"/>
              </w:rPr>
              <w:t>③“吸附</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eastAsia="zh-CN"/>
              </w:rPr>
              <w:t>脱附+催化燃烧”应在安装前进行全面的漏气检测，运行过程中，需定期对设备中的气体压力及设备本身进行检测，发现气体压力异常、设备压力测试异常时应及时排查并维修，定期清理气体管路，注意更换活性炭，以防造成堵塞。</w:t>
            </w:r>
          </w:p>
          <w:p w14:paraId="1ED16B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7.3.4火灾事故风险防范措施</w:t>
            </w:r>
          </w:p>
          <w:p w14:paraId="431AA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①在车间和原料仓库的明显位置张贴禁用明火的告示，原料仓和车间内设置移动式泡沫灭火器；</w:t>
            </w:r>
          </w:p>
          <w:p w14:paraId="0C2314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②储存辅助材料的桶上应注明物质的名称、危险特性、安全使用说明以及事故应对措施等内容；</w:t>
            </w:r>
          </w:p>
          <w:p w14:paraId="292D1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③搬运和装卸时，应轻拿轻放，防止撞击；</w:t>
            </w:r>
          </w:p>
          <w:p w14:paraId="542F5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④仓库应选择阴凉通风无阳光直射的位置，仓库内应设置空调设备，防止仓库温度过高；</w:t>
            </w:r>
          </w:p>
          <w:p w14:paraId="037482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所述，本项目不存在重大危险源，最大可信事故为润滑油泄漏，只要项目严格落实上述措施，做好预防和应急措施，并加强防范意识，则项目运营期间发生环境风险的概率较小。建设单位对事故的预先判断准确及时，并采取正确的方法应对，则风险事故对周围大气环境的影响将大大降低。因此，项目的建设，从风险评价的角度分析是可行的。</w:t>
            </w:r>
          </w:p>
          <w:p w14:paraId="457CE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8.环保设施安全生产工作要求</w:t>
            </w:r>
          </w:p>
          <w:p w14:paraId="10BF6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8.1设施安全设计</w:t>
            </w:r>
          </w:p>
          <w:p w14:paraId="74806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环保设施应符合相关安全规范和标准，设计和建造时应采取安全措施，以预防事故和减少对环境的不良影响。</w:t>
            </w:r>
          </w:p>
          <w:p w14:paraId="2BE0C4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8.2安全设施和装备</w:t>
            </w:r>
          </w:p>
          <w:p w14:paraId="535FB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环保设施应配备必要的安全设施和装备，如防爆装置、泄漏控制设备、紧急救援设备等，以防止事故发生和及时响应。</w:t>
            </w:r>
          </w:p>
          <w:p w14:paraId="115AE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8.3安全管理制度</w:t>
            </w:r>
          </w:p>
          <w:p w14:paraId="2162A6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环保设施管理者应建立和落实一套完整的安全管理制度，包括设施操作规程、应急预案、事故报告和调查程序等，以确保设施的安全运营。</w:t>
            </w:r>
          </w:p>
          <w:p w14:paraId="1011B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8.4安全培训和教育</w:t>
            </w:r>
          </w:p>
          <w:p w14:paraId="64C1C0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应确保设施操作人员接</w:t>
            </w:r>
            <w:r>
              <w:rPr>
                <w:rFonts w:hint="eastAsia" w:cs="Times New Roman"/>
                <w:color w:val="auto"/>
                <w:sz w:val="24"/>
                <w:szCs w:val="24"/>
                <w:lang w:val="en-US" w:eastAsia="zh-CN"/>
              </w:rPr>
              <w:t>受</w:t>
            </w:r>
            <w:r>
              <w:rPr>
                <w:rFonts w:hint="default" w:ascii="Times New Roman" w:hAnsi="Times New Roman" w:eastAsia="宋体" w:cs="Times New Roman"/>
                <w:color w:val="auto"/>
                <w:sz w:val="24"/>
                <w:szCs w:val="24"/>
                <w:lang w:val="en-US" w:eastAsia="zh-CN"/>
              </w:rPr>
              <w:t>必要的安全培训和教育，了解设施的安全操作规程、紧急情况下的应对措施等。</w:t>
            </w:r>
          </w:p>
          <w:p w14:paraId="17A934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8.5安全监测和检查</w:t>
            </w:r>
          </w:p>
          <w:p w14:paraId="0B62B1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评建议企业建立环保设施安全生产管理制度，推动企业主要负责人严格履行第一责任人责任，全面负责落实本单位的环保设备设施安全生产工作；开展环保设备设施安全风险辨识评估，安排专人定期对厂区内环保设施进行巡检，系统排查隐患，对存在风险隐患的部位提出整改措施并落实到位，及时消除隐患，并按照相关要求建立隐患整改台账；为保证环保设施的安全生产，定期对环保设施的活性炭、催化剂等进行更换；对涉环保设备设施相关岗位人员进行操作规程、风险管控、应急处置等专项安全培训教育，加强职工的防范意识。杜绝隐患发生，确保环保设施正常运转。</w:t>
            </w:r>
          </w:p>
          <w:p w14:paraId="2607F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8.6事故应急管理</w:t>
            </w:r>
          </w:p>
          <w:p w14:paraId="23F47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设施管理者应制定和实施应急预案，包括事故报告和调查、事故处置措施、群众疏散等，以应对可能发生的事故情况。</w:t>
            </w:r>
          </w:p>
          <w:p w14:paraId="07D74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1" w:firstLineChars="1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8.7安全评估和审查</w:t>
            </w:r>
          </w:p>
          <w:p w14:paraId="02F3C6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对新建或改建的环保设施，应进行安全评估和审查，确保设施具备安全性和可持续性。</w:t>
            </w:r>
          </w:p>
          <w:p w14:paraId="39A317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3DC83E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70FC4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51010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17901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4CC85E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4641DA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02D3B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05F12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20C65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4EDD9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7DBD3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585CF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6D898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622E9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249A9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28244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10957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6365C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26834C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74C342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3EEEB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212A7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0C5CD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71E97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74404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0012D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p>
          <w:p w14:paraId="5535A4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Times New Roman"/>
                <w:color w:val="auto"/>
                <w:sz w:val="24"/>
                <w:szCs w:val="24"/>
                <w:lang w:val="en-US" w:eastAsia="zh-CN"/>
              </w:rPr>
            </w:pPr>
          </w:p>
        </w:tc>
      </w:tr>
    </w:tbl>
    <w:p w14:paraId="08C74BBA">
      <w:pPr>
        <w:adjustRightInd w:val="0"/>
        <w:snapToGrid w:val="0"/>
        <w:spacing w:line="360" w:lineRule="auto"/>
        <w:rPr>
          <w:rFonts w:hint="default" w:ascii="Times New Roman" w:hAnsi="Times New Roman" w:cs="Times New Roman"/>
          <w:b/>
          <w:color w:val="auto"/>
          <w:kern w:val="0"/>
          <w:sz w:val="28"/>
          <w:szCs w:val="28"/>
          <w:highlight w:val="none"/>
        </w:rPr>
        <w:sectPr>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79B3BC27">
      <w:pPr>
        <w:pStyle w:val="23"/>
        <w:spacing w:before="0" w:beforeAutospacing="0" w:after="0" w:afterAutospacing="0"/>
        <w:jc w:val="center"/>
        <w:outlineLvl w:val="0"/>
        <w:rPr>
          <w:rFonts w:hint="default" w:ascii="Times New Roman" w:hAnsi="Times New Roman" w:eastAsia="黑体" w:cs="Times New Roman"/>
          <w:b/>
          <w:bCs/>
          <w:snapToGrid w:val="0"/>
          <w:color w:val="auto"/>
          <w:sz w:val="30"/>
          <w:szCs w:val="30"/>
          <w:highlight w:val="none"/>
        </w:rPr>
      </w:pPr>
      <w:bookmarkStart w:id="13" w:name="_Toc17916"/>
      <w:r>
        <w:rPr>
          <w:rFonts w:hint="default" w:ascii="Times New Roman" w:hAnsi="Times New Roman" w:eastAsia="黑体" w:cs="Times New Roman"/>
          <w:b/>
          <w:bCs/>
          <w:snapToGrid w:val="0"/>
          <w:color w:val="auto"/>
          <w:sz w:val="30"/>
          <w:szCs w:val="30"/>
          <w:highlight w:val="none"/>
        </w:rPr>
        <w:t>五、</w:t>
      </w:r>
      <w:bookmarkStart w:id="14" w:name="_Hlk54167917"/>
      <w:r>
        <w:rPr>
          <w:rFonts w:hint="default" w:ascii="Times New Roman" w:hAnsi="Times New Roman" w:eastAsia="黑体" w:cs="Times New Roman"/>
          <w:b/>
          <w:bCs/>
          <w:snapToGrid w:val="0"/>
          <w:color w:val="auto"/>
          <w:sz w:val="30"/>
          <w:szCs w:val="30"/>
          <w:highlight w:val="none"/>
        </w:rPr>
        <w:t>环境保护措施监督检查清单</w:t>
      </w:r>
      <w:bookmarkEnd w:id="13"/>
      <w:bookmarkEnd w:id="1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72"/>
        <w:gridCol w:w="1347"/>
        <w:gridCol w:w="1205"/>
        <w:gridCol w:w="1256"/>
        <w:gridCol w:w="3073"/>
      </w:tblGrid>
      <w:tr w14:paraId="29F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tcBorders>
              <w:tl2br w:val="single" w:color="auto" w:sz="4" w:space="0"/>
            </w:tcBorders>
            <w:noWrap w:val="0"/>
            <w:vAlign w:val="center"/>
          </w:tcPr>
          <w:p w14:paraId="3851525B">
            <w:pPr>
              <w:keepNext w:val="0"/>
              <w:keepLines w:val="0"/>
              <w:suppressLineNumbers w:val="0"/>
              <w:adjustRightInd w:val="0"/>
              <w:snapToGrid w:val="0"/>
              <w:spacing w:before="0" w:beforeAutospacing="0" w:after="0" w:afterAutospacing="0"/>
              <w:ind w:left="0" w:right="0"/>
              <w:jc w:val="right"/>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内容</w:t>
            </w:r>
          </w:p>
          <w:p w14:paraId="64D504F0">
            <w:pPr>
              <w:keepNext w:val="0"/>
              <w:keepLines w:val="0"/>
              <w:suppressLineNumbers w:val="0"/>
              <w:adjustRightInd w:val="0"/>
              <w:snapToGrid w:val="0"/>
              <w:spacing w:before="0" w:beforeAutospacing="0" w:after="0" w:afterAutospacing="0"/>
              <w:ind w:left="0" w:right="0"/>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要素</w:t>
            </w:r>
          </w:p>
        </w:tc>
        <w:tc>
          <w:tcPr>
            <w:tcW w:w="733" w:type="pct"/>
            <w:noWrap w:val="0"/>
            <w:vAlign w:val="center"/>
          </w:tcPr>
          <w:p w14:paraId="416A5E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排放口(编号、名称)/污染源</w:t>
            </w:r>
          </w:p>
        </w:tc>
        <w:tc>
          <w:tcPr>
            <w:tcW w:w="775" w:type="pct"/>
            <w:noWrap w:val="0"/>
            <w:vAlign w:val="center"/>
          </w:tcPr>
          <w:p w14:paraId="27D427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污染物项目</w:t>
            </w:r>
          </w:p>
        </w:tc>
        <w:tc>
          <w:tcPr>
            <w:tcW w:w="1260" w:type="pct"/>
            <w:gridSpan w:val="2"/>
            <w:noWrap w:val="0"/>
            <w:vAlign w:val="center"/>
          </w:tcPr>
          <w:p w14:paraId="312A96F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环境保护措施</w:t>
            </w:r>
          </w:p>
        </w:tc>
        <w:tc>
          <w:tcPr>
            <w:tcW w:w="1730" w:type="pct"/>
            <w:noWrap w:val="0"/>
            <w:vAlign w:val="center"/>
          </w:tcPr>
          <w:p w14:paraId="17D6A7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b/>
                <w:color w:val="auto"/>
                <w:sz w:val="21"/>
                <w:szCs w:val="21"/>
                <w:highlight w:val="none"/>
              </w:rPr>
            </w:pPr>
            <w:r>
              <w:rPr>
                <w:rFonts w:hint="default" w:ascii="Times New Roman" w:hAnsi="Times New Roman" w:eastAsia="Times New Roman" w:cs="Times New Roman"/>
                <w:b/>
                <w:color w:val="auto"/>
                <w:sz w:val="21"/>
                <w:szCs w:val="21"/>
                <w:highlight w:val="none"/>
              </w:rPr>
              <w:t>执行标准</w:t>
            </w:r>
          </w:p>
        </w:tc>
      </w:tr>
      <w:tr w14:paraId="1187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99" w:type="pct"/>
            <w:vMerge w:val="restart"/>
            <w:noWrap w:val="0"/>
            <w:vAlign w:val="center"/>
          </w:tcPr>
          <w:p w14:paraId="5072BC2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r>
              <w:rPr>
                <w:rFonts w:hint="eastAsia" w:ascii="Times New Roman" w:hAnsi="Times New Roman" w:eastAsia="Times New Roman" w:cs="Times New Roman"/>
                <w:color w:val="auto"/>
                <w:sz w:val="21"/>
                <w:szCs w:val="21"/>
                <w:highlight w:val="none"/>
                <w:lang w:eastAsia="zh-CN"/>
              </w:rPr>
              <w:t>生产</w:t>
            </w:r>
          </w:p>
          <w:p w14:paraId="7E77B8F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Times New Roman" w:cs="Times New Roman"/>
                <w:color w:val="auto"/>
                <w:sz w:val="21"/>
                <w:szCs w:val="21"/>
                <w:highlight w:val="none"/>
                <w:lang w:eastAsia="zh-CN"/>
              </w:rPr>
              <w:t>过程</w:t>
            </w:r>
          </w:p>
        </w:tc>
        <w:tc>
          <w:tcPr>
            <w:tcW w:w="733" w:type="pct"/>
            <w:vMerge w:val="restart"/>
            <w:noWrap w:val="0"/>
            <w:vAlign w:val="center"/>
          </w:tcPr>
          <w:p w14:paraId="0453B4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有机废气排放口DA001</w:t>
            </w:r>
          </w:p>
        </w:tc>
        <w:tc>
          <w:tcPr>
            <w:tcW w:w="775" w:type="pct"/>
            <w:vMerge w:val="restart"/>
            <w:noWrap w:val="0"/>
            <w:vAlign w:val="center"/>
          </w:tcPr>
          <w:p w14:paraId="4960FE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lang w:val="en-US" w:eastAsia="zh-CN"/>
              </w:rPr>
              <w:t>非甲烷总烃</w:t>
            </w:r>
          </w:p>
        </w:tc>
        <w:tc>
          <w:tcPr>
            <w:tcW w:w="696" w:type="pct"/>
            <w:noWrap w:val="0"/>
            <w:vAlign w:val="center"/>
          </w:tcPr>
          <w:p w14:paraId="478512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挤出（吹膜）废气</w:t>
            </w:r>
          </w:p>
        </w:tc>
        <w:tc>
          <w:tcPr>
            <w:tcW w:w="563" w:type="pct"/>
            <w:vMerge w:val="restart"/>
            <w:noWrap w:val="0"/>
            <w:vAlign w:val="center"/>
          </w:tcPr>
          <w:p w14:paraId="73FF1574">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集气</w:t>
            </w:r>
            <w:r>
              <w:rPr>
                <w:rFonts w:hint="default" w:ascii="Times New Roman" w:hAnsi="Times New Roman" w:eastAsia="宋体" w:cs="Times New Roman"/>
                <w:color w:val="auto"/>
                <w:sz w:val="21"/>
                <w:szCs w:val="21"/>
                <w:highlight w:val="none"/>
                <w:lang w:val="en-US" w:eastAsia="zh-CN"/>
              </w:rPr>
              <w:t>罩+1套“</w:t>
            </w:r>
            <w:r>
              <w:rPr>
                <w:rFonts w:hint="eastAsia" w:ascii="Times New Roman" w:hAnsi="Times New Roman" w:eastAsia="宋体" w:cs="Times New Roman"/>
                <w:color w:val="auto"/>
                <w:sz w:val="21"/>
                <w:szCs w:val="21"/>
                <w:highlight w:val="none"/>
                <w:lang w:val="en-US" w:eastAsia="zh-CN"/>
              </w:rPr>
              <w:t>吸附</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脱附+催化燃烧</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Times New Roman" w:cs="Times New Roman"/>
                <w:color w:val="auto"/>
                <w:sz w:val="21"/>
                <w:szCs w:val="21"/>
                <w:highlight w:val="none"/>
                <w:lang w:val="en-US" w:eastAsia="zh-CN"/>
              </w:rPr>
              <w:t>+</w:t>
            </w:r>
            <w:r>
              <w:rPr>
                <w:rFonts w:hint="default" w:ascii="Times New Roman" w:hAnsi="Times New Roman" w:eastAsia="Times New Roman" w:cs="Times New Roman"/>
                <w:bCs/>
                <w:color w:val="auto"/>
                <w:sz w:val="21"/>
                <w:szCs w:val="21"/>
                <w:highlight w:val="none"/>
                <w:vertAlign w:val="baseline"/>
                <w:lang w:val="en-US" w:eastAsia="zh-CN"/>
              </w:rPr>
              <w:t>1根不低于15m高排气筒（</w:t>
            </w:r>
            <w:r>
              <w:rPr>
                <w:rFonts w:hint="eastAsia" w:ascii="Times New Roman" w:hAnsi="Times New Roman" w:eastAsia="Times New Roman" w:cs="Times New Roman"/>
                <w:bCs/>
                <w:color w:val="auto"/>
                <w:sz w:val="21"/>
                <w:szCs w:val="21"/>
                <w:highlight w:val="none"/>
                <w:vertAlign w:val="baseline"/>
                <w:lang w:val="en-US" w:eastAsia="zh-CN"/>
              </w:rPr>
              <w:t>DA001</w:t>
            </w:r>
            <w:r>
              <w:rPr>
                <w:rFonts w:hint="default" w:ascii="Times New Roman" w:hAnsi="Times New Roman" w:eastAsia="Times New Roman" w:cs="Times New Roman"/>
                <w:bCs/>
                <w:color w:val="auto"/>
                <w:sz w:val="21"/>
                <w:szCs w:val="21"/>
                <w:highlight w:val="none"/>
                <w:vertAlign w:val="baseline"/>
                <w:lang w:val="en-US" w:eastAsia="zh-CN"/>
              </w:rPr>
              <w:t>）</w:t>
            </w:r>
          </w:p>
        </w:tc>
        <w:tc>
          <w:tcPr>
            <w:tcW w:w="1730" w:type="pct"/>
            <w:vMerge w:val="restart"/>
            <w:noWrap w:val="0"/>
            <w:vAlign w:val="center"/>
          </w:tcPr>
          <w:p w14:paraId="1B2E78C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Times New Roman" w:cs="Times New Roman"/>
                <w:color w:val="auto"/>
                <w:sz w:val="21"/>
                <w:szCs w:val="21"/>
                <w:highlight w:val="none"/>
                <w:lang w:val="en-US" w:eastAsia="zh-CN"/>
              </w:rPr>
              <w:t>《合成树脂工业污染物排放标准（GB31572-2015）（含2024年修改单版本）》，</w:t>
            </w:r>
            <w:r>
              <w:rPr>
                <w:rFonts w:hint="eastAsia" w:eastAsia="Times New Roman" w:cs="Times New Roman"/>
                <w:color w:val="auto"/>
                <w:sz w:val="21"/>
                <w:szCs w:val="21"/>
                <w:highlight w:val="none"/>
                <w:lang w:eastAsia="zh-CN"/>
              </w:rPr>
              <w:t>同时满足</w:t>
            </w:r>
            <w:r>
              <w:rPr>
                <w:rFonts w:hint="default" w:ascii="Times New Roman" w:hAnsi="Times New Roman" w:eastAsia="Times New Roman" w:cs="Times New Roman"/>
                <w:color w:val="auto"/>
                <w:kern w:val="0"/>
                <w:sz w:val="21"/>
                <w:szCs w:val="21"/>
                <w:highlight w:val="none"/>
                <w:vertAlign w:val="baseline"/>
                <w:lang w:val="en-US" w:eastAsia="zh-CN"/>
              </w:rPr>
              <w:t>《河南省重污染天气重点行业应急减排措施制定技术指南（202</w:t>
            </w:r>
            <w:r>
              <w:rPr>
                <w:rFonts w:hint="eastAsia" w:ascii="Times New Roman" w:hAnsi="Times New Roman" w:eastAsia="Times New Roman" w:cs="Times New Roman"/>
                <w:color w:val="auto"/>
                <w:kern w:val="0"/>
                <w:sz w:val="21"/>
                <w:szCs w:val="21"/>
                <w:highlight w:val="none"/>
                <w:vertAlign w:val="baseline"/>
                <w:lang w:val="en-US" w:eastAsia="zh-CN"/>
              </w:rPr>
              <w:t>4</w:t>
            </w:r>
            <w:r>
              <w:rPr>
                <w:rFonts w:hint="default" w:ascii="Times New Roman" w:hAnsi="Times New Roman" w:eastAsia="Times New Roman" w:cs="Times New Roman"/>
                <w:color w:val="auto"/>
                <w:kern w:val="0"/>
                <w:sz w:val="21"/>
                <w:szCs w:val="21"/>
                <w:highlight w:val="none"/>
                <w:vertAlign w:val="baseline"/>
                <w:lang w:val="en-US" w:eastAsia="zh-CN"/>
              </w:rPr>
              <w:t>年版）》中塑料制品行业</w:t>
            </w:r>
            <w:r>
              <w:rPr>
                <w:rFonts w:hint="eastAsia" w:ascii="Times New Roman" w:hAnsi="Times New Roman" w:eastAsia="Times New Roman" w:cs="Times New Roman"/>
                <w:color w:val="auto"/>
                <w:kern w:val="0"/>
                <w:sz w:val="21"/>
                <w:szCs w:val="21"/>
                <w:highlight w:val="none"/>
                <w:vertAlign w:val="baseline"/>
                <w:lang w:val="en-US" w:eastAsia="zh-CN"/>
              </w:rPr>
              <w:t>A级</w:t>
            </w:r>
            <w:r>
              <w:rPr>
                <w:rFonts w:hint="default" w:ascii="Times New Roman" w:hAnsi="Times New Roman" w:eastAsia="Times New Roman" w:cs="Times New Roman"/>
                <w:color w:val="auto"/>
                <w:kern w:val="0"/>
                <w:sz w:val="21"/>
                <w:szCs w:val="21"/>
                <w:highlight w:val="none"/>
                <w:vertAlign w:val="baseline"/>
                <w:lang w:val="en-US" w:eastAsia="zh-CN"/>
              </w:rPr>
              <w:t>绩效要求</w:t>
            </w:r>
          </w:p>
        </w:tc>
      </w:tr>
      <w:tr w14:paraId="396A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99" w:type="pct"/>
            <w:vMerge w:val="continue"/>
            <w:noWrap w:val="0"/>
            <w:vAlign w:val="center"/>
          </w:tcPr>
          <w:p w14:paraId="32303A4A">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733" w:type="pct"/>
            <w:vMerge w:val="continue"/>
            <w:noWrap w:val="0"/>
            <w:vAlign w:val="center"/>
          </w:tcPr>
          <w:p w14:paraId="510D578B">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775" w:type="pct"/>
            <w:vMerge w:val="continue"/>
            <w:noWrap w:val="0"/>
            <w:vAlign w:val="center"/>
          </w:tcPr>
          <w:p w14:paraId="2DBF0254">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96" w:type="pct"/>
            <w:noWrap w:val="0"/>
            <w:vAlign w:val="center"/>
          </w:tcPr>
          <w:p w14:paraId="24DFA3A6">
            <w:pPr>
              <w:keepNext w:val="0"/>
              <w:keepLines w:val="0"/>
              <w:suppressLineNumbers w:val="0"/>
              <w:adjustRightInd w:val="0"/>
              <w:snapToGrid w:val="0"/>
              <w:spacing w:before="0" w:beforeAutospacing="0" w:after="0" w:afterAutospacing="0"/>
              <w:ind w:left="0" w:right="0"/>
              <w:jc w:val="center"/>
              <w:rPr>
                <w:rFonts w:hint="eastAsia" w:eastAsia="宋体"/>
                <w:color w:val="auto"/>
                <w:lang w:eastAsia="zh-CN"/>
              </w:rPr>
            </w:pPr>
            <w:r>
              <w:rPr>
                <w:rFonts w:hint="eastAsia"/>
                <w:color w:val="auto"/>
                <w:lang w:eastAsia="zh-CN"/>
              </w:rPr>
              <w:t>高频覆膜废气</w:t>
            </w:r>
          </w:p>
        </w:tc>
        <w:tc>
          <w:tcPr>
            <w:tcW w:w="563" w:type="pct"/>
            <w:vMerge w:val="continue"/>
            <w:noWrap w:val="0"/>
            <w:vAlign w:val="center"/>
          </w:tcPr>
          <w:p w14:paraId="6E56EBF5">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1730" w:type="pct"/>
            <w:vMerge w:val="continue"/>
            <w:noWrap w:val="0"/>
            <w:vAlign w:val="center"/>
          </w:tcPr>
          <w:p w14:paraId="74189973">
            <w:pPr>
              <w:keepNext w:val="0"/>
              <w:keepLines w:val="0"/>
              <w:suppressLineNumbers w:val="0"/>
              <w:adjustRightInd w:val="0"/>
              <w:snapToGrid w:val="0"/>
              <w:spacing w:before="0" w:beforeAutospacing="0" w:after="0" w:afterAutospacing="0"/>
              <w:ind w:left="0" w:right="0"/>
              <w:jc w:val="center"/>
              <w:rPr>
                <w:rFonts w:hint="default"/>
                <w:color w:val="auto"/>
              </w:rPr>
            </w:pPr>
          </w:p>
        </w:tc>
      </w:tr>
      <w:tr w14:paraId="661E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99" w:type="pct"/>
            <w:vMerge w:val="continue"/>
            <w:noWrap w:val="0"/>
            <w:vAlign w:val="center"/>
          </w:tcPr>
          <w:p w14:paraId="6528FF86">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733" w:type="pct"/>
            <w:vMerge w:val="continue"/>
            <w:noWrap w:val="0"/>
            <w:vAlign w:val="center"/>
          </w:tcPr>
          <w:p w14:paraId="62BEB65E">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775" w:type="pct"/>
            <w:vMerge w:val="continue"/>
            <w:noWrap w:val="0"/>
            <w:vAlign w:val="center"/>
          </w:tcPr>
          <w:p w14:paraId="74A09321">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96" w:type="pct"/>
            <w:noWrap w:val="0"/>
            <w:vAlign w:val="center"/>
          </w:tcPr>
          <w:p w14:paraId="7F217AE7">
            <w:pPr>
              <w:keepNext w:val="0"/>
              <w:keepLines w:val="0"/>
              <w:suppressLineNumbers w:val="0"/>
              <w:adjustRightInd w:val="0"/>
              <w:snapToGrid w:val="0"/>
              <w:spacing w:before="0" w:beforeAutospacing="0" w:after="0" w:afterAutospacing="0"/>
              <w:ind w:left="0" w:right="0"/>
              <w:jc w:val="center"/>
              <w:rPr>
                <w:rFonts w:hint="eastAsia" w:eastAsia="宋体"/>
                <w:color w:val="auto"/>
                <w:lang w:eastAsia="zh-CN"/>
              </w:rPr>
            </w:pPr>
            <w:r>
              <w:rPr>
                <w:rFonts w:hint="eastAsia"/>
                <w:color w:val="auto"/>
                <w:lang w:eastAsia="zh-CN"/>
              </w:rPr>
              <w:t>粘合废气</w:t>
            </w:r>
          </w:p>
        </w:tc>
        <w:tc>
          <w:tcPr>
            <w:tcW w:w="563" w:type="pct"/>
            <w:vMerge w:val="continue"/>
            <w:noWrap w:val="0"/>
            <w:vAlign w:val="center"/>
          </w:tcPr>
          <w:p w14:paraId="29A1C448">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1730" w:type="pct"/>
            <w:vMerge w:val="continue"/>
            <w:noWrap w:val="0"/>
            <w:vAlign w:val="center"/>
          </w:tcPr>
          <w:p w14:paraId="5BB23489">
            <w:pPr>
              <w:keepNext w:val="0"/>
              <w:keepLines w:val="0"/>
              <w:suppressLineNumbers w:val="0"/>
              <w:adjustRightInd w:val="0"/>
              <w:snapToGrid w:val="0"/>
              <w:spacing w:before="0" w:beforeAutospacing="0" w:after="0" w:afterAutospacing="0"/>
              <w:ind w:left="0" w:right="0"/>
              <w:jc w:val="center"/>
              <w:rPr>
                <w:rFonts w:hint="default"/>
                <w:color w:val="auto"/>
              </w:rPr>
            </w:pPr>
          </w:p>
        </w:tc>
      </w:tr>
      <w:tr w14:paraId="6BF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99" w:type="pct"/>
            <w:vMerge w:val="continue"/>
            <w:noWrap w:val="0"/>
            <w:vAlign w:val="center"/>
          </w:tcPr>
          <w:p w14:paraId="03A51DAB">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733" w:type="pct"/>
            <w:vMerge w:val="continue"/>
            <w:noWrap w:val="0"/>
            <w:vAlign w:val="center"/>
          </w:tcPr>
          <w:p w14:paraId="72B4136B">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775" w:type="pct"/>
            <w:vMerge w:val="continue"/>
            <w:noWrap w:val="0"/>
            <w:vAlign w:val="center"/>
          </w:tcPr>
          <w:p w14:paraId="2B3B1A39">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96" w:type="pct"/>
            <w:noWrap w:val="0"/>
            <w:vAlign w:val="center"/>
          </w:tcPr>
          <w:p w14:paraId="1ED3647C">
            <w:pPr>
              <w:keepNext w:val="0"/>
              <w:keepLines w:val="0"/>
              <w:suppressLineNumbers w:val="0"/>
              <w:adjustRightInd w:val="0"/>
              <w:snapToGrid w:val="0"/>
              <w:spacing w:before="0" w:beforeAutospacing="0" w:after="0" w:afterAutospacing="0"/>
              <w:ind w:left="0" w:right="0"/>
              <w:jc w:val="center"/>
              <w:rPr>
                <w:rFonts w:hint="eastAsia" w:eastAsia="宋体"/>
                <w:color w:val="auto"/>
                <w:lang w:eastAsia="zh-CN"/>
              </w:rPr>
            </w:pPr>
            <w:r>
              <w:rPr>
                <w:rFonts w:hint="eastAsia"/>
                <w:color w:val="auto"/>
                <w:lang w:eastAsia="zh-CN"/>
              </w:rPr>
              <w:t>喷码废气</w:t>
            </w:r>
          </w:p>
        </w:tc>
        <w:tc>
          <w:tcPr>
            <w:tcW w:w="563" w:type="pct"/>
            <w:vMerge w:val="continue"/>
            <w:noWrap w:val="0"/>
            <w:vAlign w:val="center"/>
          </w:tcPr>
          <w:p w14:paraId="7D1CC396">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1730" w:type="pct"/>
            <w:vMerge w:val="continue"/>
            <w:noWrap w:val="0"/>
            <w:vAlign w:val="center"/>
          </w:tcPr>
          <w:p w14:paraId="75D71D5B">
            <w:pPr>
              <w:keepNext w:val="0"/>
              <w:keepLines w:val="0"/>
              <w:suppressLineNumbers w:val="0"/>
              <w:adjustRightInd w:val="0"/>
              <w:snapToGrid w:val="0"/>
              <w:spacing w:before="0" w:beforeAutospacing="0" w:after="0" w:afterAutospacing="0"/>
              <w:ind w:left="0" w:right="0"/>
              <w:jc w:val="center"/>
              <w:rPr>
                <w:rFonts w:hint="default"/>
                <w:color w:val="auto"/>
              </w:rPr>
            </w:pPr>
          </w:p>
        </w:tc>
      </w:tr>
      <w:tr w14:paraId="1C43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noWrap w:val="0"/>
            <w:vAlign w:val="center"/>
          </w:tcPr>
          <w:p w14:paraId="04A9D23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Times New Roman" w:cs="Times New Roman"/>
                <w:color w:val="auto"/>
                <w:sz w:val="21"/>
                <w:szCs w:val="21"/>
                <w:highlight w:val="none"/>
                <w:lang w:eastAsia="zh-CN"/>
              </w:rPr>
            </w:pPr>
          </w:p>
        </w:tc>
        <w:tc>
          <w:tcPr>
            <w:tcW w:w="733" w:type="pct"/>
            <w:noWrap w:val="0"/>
            <w:vAlign w:val="center"/>
          </w:tcPr>
          <w:p w14:paraId="34B30E5B">
            <w:pPr>
              <w:keepNext w:val="0"/>
              <w:keepLines w:val="0"/>
              <w:suppressLineNumbers w:val="0"/>
              <w:adjustRightInd w:val="0"/>
              <w:snapToGrid w:val="0"/>
              <w:spacing w:before="0" w:beforeAutospacing="0" w:after="0" w:afterAutospacing="0"/>
              <w:ind w:left="0" w:right="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厂界</w:t>
            </w:r>
          </w:p>
        </w:tc>
        <w:tc>
          <w:tcPr>
            <w:tcW w:w="775" w:type="pct"/>
            <w:noWrap w:val="0"/>
            <w:vAlign w:val="center"/>
          </w:tcPr>
          <w:p w14:paraId="2741ED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非甲烷总烃</w:t>
            </w:r>
          </w:p>
        </w:tc>
        <w:tc>
          <w:tcPr>
            <w:tcW w:w="1260" w:type="pct"/>
            <w:gridSpan w:val="2"/>
            <w:noWrap w:val="0"/>
            <w:vAlign w:val="center"/>
          </w:tcPr>
          <w:p w14:paraId="5000205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730" w:type="pct"/>
            <w:noWrap w:val="0"/>
            <w:vAlign w:val="center"/>
          </w:tcPr>
          <w:p w14:paraId="040853C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eastAsia="zh-CN"/>
              </w:rPr>
            </w:pPr>
            <w:r>
              <w:rPr>
                <w:rFonts w:hint="eastAsia" w:eastAsia="Times New Roman" w:cs="Times New Roman"/>
                <w:color w:val="auto"/>
                <w:sz w:val="21"/>
                <w:szCs w:val="21"/>
                <w:highlight w:val="none"/>
                <w:lang w:val="en-US" w:eastAsia="zh-CN"/>
              </w:rPr>
              <w:t>《合成树脂工业污染物排放标准（GB31572-2015）（含2024年修改单版本）》</w:t>
            </w:r>
            <w:r>
              <w:rPr>
                <w:rFonts w:hint="eastAsia" w:eastAsia="Times New Roman" w:cs="Times New Roman"/>
                <w:color w:val="auto"/>
                <w:kern w:val="0"/>
                <w:sz w:val="21"/>
                <w:szCs w:val="21"/>
                <w:highlight w:val="none"/>
                <w:vertAlign w:val="baseline"/>
                <w:lang w:val="en-US" w:eastAsia="zh-CN"/>
              </w:rPr>
              <w:t>和《河南省重污染天气重点行业应急减排措施制定技术指南（2024年版）》</w:t>
            </w:r>
          </w:p>
        </w:tc>
      </w:tr>
      <w:tr w14:paraId="5034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restart"/>
            <w:noWrap w:val="0"/>
            <w:vAlign w:val="center"/>
          </w:tcPr>
          <w:p w14:paraId="6A539F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废水</w:t>
            </w:r>
          </w:p>
        </w:tc>
        <w:tc>
          <w:tcPr>
            <w:tcW w:w="733" w:type="pct"/>
            <w:noWrap w:val="0"/>
            <w:vAlign w:val="center"/>
          </w:tcPr>
          <w:p w14:paraId="793B40F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职工生活</w:t>
            </w:r>
          </w:p>
        </w:tc>
        <w:tc>
          <w:tcPr>
            <w:tcW w:w="775" w:type="pct"/>
            <w:noWrap w:val="0"/>
            <w:vAlign w:val="center"/>
          </w:tcPr>
          <w:p w14:paraId="1B21B06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eastAsia="宋体" w:cs="Times New Roman"/>
                <w:color w:val="auto"/>
                <w:sz w:val="21"/>
                <w:szCs w:val="21"/>
                <w:highlight w:val="none"/>
                <w:lang w:eastAsia="zh-CN"/>
              </w:rPr>
              <w:t>生活污水</w:t>
            </w:r>
          </w:p>
        </w:tc>
        <w:tc>
          <w:tcPr>
            <w:tcW w:w="1260" w:type="pct"/>
            <w:gridSpan w:val="2"/>
            <w:noWrap w:val="0"/>
            <w:vAlign w:val="center"/>
          </w:tcPr>
          <w:p w14:paraId="7D9D10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rPr>
              <w:t>1座</w:t>
            </w:r>
            <w:r>
              <w:rPr>
                <w:rFonts w:hint="eastAsia" w:eastAsia="宋体" w:cs="Times New Roman"/>
                <w:color w:val="auto"/>
                <w:sz w:val="21"/>
                <w:szCs w:val="21"/>
                <w:highlight w:val="none"/>
                <w:lang w:val="en-US" w:eastAsia="zh-CN"/>
              </w:rPr>
              <w:t>10</w:t>
            </w:r>
            <w:r>
              <w:rPr>
                <w:rFonts w:hint="default" w:ascii="Times New Roman" w:hAnsi="Times New Roman" w:eastAsia="Times New Roman" w:cs="Times New Roman"/>
                <w:color w:val="auto"/>
                <w:sz w:val="21"/>
                <w:szCs w:val="21"/>
                <w:highlight w:val="none"/>
              </w:rPr>
              <w:t>m</w:t>
            </w:r>
            <w:r>
              <w:rPr>
                <w:rFonts w:hint="default" w:ascii="Times New Roman" w:hAnsi="Times New Roman" w:eastAsia="Times New Roman" w:cs="Times New Roman"/>
                <w:color w:val="auto"/>
                <w:sz w:val="21"/>
                <w:szCs w:val="21"/>
                <w:highlight w:val="none"/>
                <w:vertAlign w:val="superscript"/>
              </w:rPr>
              <w:t>3</w:t>
            </w:r>
            <w:r>
              <w:rPr>
                <w:rFonts w:hint="default" w:ascii="Times New Roman" w:hAnsi="Times New Roman" w:eastAsia="Times New Roman" w:cs="Times New Roman"/>
                <w:color w:val="auto"/>
                <w:sz w:val="21"/>
                <w:szCs w:val="21"/>
                <w:highlight w:val="none"/>
                <w:lang w:val="en-US" w:eastAsia="zh-CN"/>
              </w:rPr>
              <w:t>化粪</w:t>
            </w:r>
            <w:r>
              <w:rPr>
                <w:rFonts w:hint="default" w:ascii="Times New Roman" w:hAnsi="Times New Roman" w:eastAsia="Times New Roman" w:cs="Times New Roman"/>
                <w:color w:val="auto"/>
                <w:sz w:val="21"/>
                <w:szCs w:val="21"/>
                <w:highlight w:val="none"/>
              </w:rPr>
              <w:t>池</w:t>
            </w:r>
          </w:p>
        </w:tc>
        <w:tc>
          <w:tcPr>
            <w:tcW w:w="1730" w:type="pct"/>
            <w:noWrap w:val="0"/>
            <w:vAlign w:val="center"/>
          </w:tcPr>
          <w:p w14:paraId="703C096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 w:val="0"/>
                <w:bCs w:val="0"/>
                <w:color w:val="auto"/>
                <w:kern w:val="2"/>
                <w:sz w:val="21"/>
                <w:szCs w:val="21"/>
                <w:u w:val="none" w:color="auto"/>
                <w:lang w:val="en-US" w:eastAsia="zh-CN" w:bidi="ar"/>
              </w:rPr>
              <w:t>《污水综合排放标准》（GB8978-1996）中的三级标准</w:t>
            </w:r>
            <w:r>
              <w:rPr>
                <w:rFonts w:hint="eastAsia" w:cs="Times New Roman"/>
                <w:color w:val="auto"/>
                <w:sz w:val="21"/>
                <w:szCs w:val="21"/>
                <w:highlight w:val="none"/>
                <w:lang w:val="en-US" w:eastAsia="zh-CN"/>
              </w:rPr>
              <w:t>同时满足</w:t>
            </w:r>
            <w:r>
              <w:rPr>
                <w:rFonts w:hint="default" w:ascii="Times New Roman" w:hAnsi="Times New Roman" w:eastAsia="宋体" w:cs="Times New Roman"/>
                <w:color w:val="auto"/>
                <w:sz w:val="21"/>
                <w:szCs w:val="21"/>
                <w:highlight w:val="none"/>
                <w:lang w:eastAsia="zh-CN"/>
              </w:rPr>
              <w:t>汤阴</w:t>
            </w:r>
            <w:r>
              <w:rPr>
                <w:rFonts w:hint="eastAsia" w:ascii="Times New Roman" w:hAnsi="Times New Roman" w:eastAsia="宋体" w:cs="Times New Roman"/>
                <w:color w:val="auto"/>
                <w:sz w:val="21"/>
                <w:szCs w:val="21"/>
                <w:highlight w:val="none"/>
                <w:lang w:eastAsia="zh-CN"/>
              </w:rPr>
              <w:t>固现污水处理</w:t>
            </w:r>
            <w:r>
              <w:rPr>
                <w:rFonts w:hint="default" w:ascii="Times New Roman" w:hAnsi="Times New Roman" w:eastAsia="宋体" w:cs="Times New Roman"/>
                <w:color w:val="auto"/>
                <w:sz w:val="21"/>
                <w:szCs w:val="21"/>
                <w:highlight w:val="none"/>
                <w:lang w:eastAsia="zh-CN"/>
              </w:rPr>
              <w:t>有限公司进水水质要求</w:t>
            </w:r>
          </w:p>
        </w:tc>
      </w:tr>
      <w:tr w14:paraId="4F20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9" w:type="pct"/>
            <w:vMerge w:val="continue"/>
            <w:noWrap w:val="0"/>
            <w:vAlign w:val="center"/>
          </w:tcPr>
          <w:p w14:paraId="7A99763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33" w:type="pct"/>
            <w:noWrap w:val="0"/>
            <w:vAlign w:val="center"/>
          </w:tcPr>
          <w:p w14:paraId="4EF300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rPr>
              <w:t>生产过程</w:t>
            </w:r>
          </w:p>
        </w:tc>
        <w:tc>
          <w:tcPr>
            <w:tcW w:w="775" w:type="pct"/>
            <w:noWrap w:val="0"/>
            <w:vAlign w:val="center"/>
          </w:tcPr>
          <w:p w14:paraId="44C639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Times New Roman" w:cs="Times New Roman"/>
                <w:color w:val="auto"/>
                <w:sz w:val="21"/>
                <w:szCs w:val="21"/>
                <w:highlight w:val="none"/>
              </w:rPr>
              <w:t>生产废水</w:t>
            </w:r>
          </w:p>
        </w:tc>
        <w:tc>
          <w:tcPr>
            <w:tcW w:w="1260" w:type="pct"/>
            <w:gridSpan w:val="2"/>
            <w:noWrap w:val="0"/>
            <w:vAlign w:val="center"/>
          </w:tcPr>
          <w:p w14:paraId="2AE5F0B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冷却水循环使用、不外排</w:t>
            </w:r>
          </w:p>
        </w:tc>
        <w:tc>
          <w:tcPr>
            <w:tcW w:w="1730" w:type="pct"/>
            <w:noWrap w:val="0"/>
            <w:vAlign w:val="center"/>
          </w:tcPr>
          <w:p w14:paraId="019932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w:t>
            </w:r>
          </w:p>
        </w:tc>
      </w:tr>
      <w:tr w14:paraId="2479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noWrap w:val="0"/>
            <w:vAlign w:val="center"/>
          </w:tcPr>
          <w:p w14:paraId="7E8AA9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噪声</w:t>
            </w:r>
          </w:p>
        </w:tc>
        <w:tc>
          <w:tcPr>
            <w:tcW w:w="733" w:type="pct"/>
            <w:noWrap w:val="0"/>
            <w:vAlign w:val="center"/>
          </w:tcPr>
          <w:p w14:paraId="5F00A9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生产设备</w:t>
            </w:r>
          </w:p>
        </w:tc>
        <w:tc>
          <w:tcPr>
            <w:tcW w:w="775" w:type="pct"/>
            <w:noWrap w:val="0"/>
            <w:vAlign w:val="center"/>
          </w:tcPr>
          <w:p w14:paraId="2CB0AC2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设备噪声</w:t>
            </w:r>
          </w:p>
        </w:tc>
        <w:tc>
          <w:tcPr>
            <w:tcW w:w="1260" w:type="pct"/>
            <w:gridSpan w:val="2"/>
            <w:noWrap w:val="0"/>
            <w:vAlign w:val="center"/>
          </w:tcPr>
          <w:p w14:paraId="2492CD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基础减振+厂房隔声</w:t>
            </w:r>
          </w:p>
        </w:tc>
        <w:tc>
          <w:tcPr>
            <w:tcW w:w="1730" w:type="pct"/>
            <w:noWrap w:val="0"/>
            <w:vAlign w:val="center"/>
          </w:tcPr>
          <w:p w14:paraId="46B352E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rPr>
              <w:t>《工业企业厂界环境噪声排放标准》（GB12348-2008）</w:t>
            </w:r>
            <w:r>
              <w:rPr>
                <w:rFonts w:hint="eastAsia" w:eastAsia="宋体" w:cs="Times New Roman"/>
                <w:color w:val="auto"/>
                <w:sz w:val="21"/>
                <w:szCs w:val="21"/>
                <w:highlight w:val="none"/>
                <w:lang w:val="en-US" w:eastAsia="zh-CN"/>
              </w:rPr>
              <w:t>2类</w:t>
            </w:r>
          </w:p>
        </w:tc>
      </w:tr>
      <w:tr w14:paraId="5800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restart"/>
            <w:noWrap w:val="0"/>
            <w:vAlign w:val="center"/>
          </w:tcPr>
          <w:p w14:paraId="3F2F3C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固体废物</w:t>
            </w:r>
          </w:p>
        </w:tc>
        <w:tc>
          <w:tcPr>
            <w:tcW w:w="733" w:type="pct"/>
            <w:noWrap w:val="0"/>
            <w:vAlign w:val="center"/>
          </w:tcPr>
          <w:p w14:paraId="5BCD6C7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原辅料使用</w:t>
            </w:r>
          </w:p>
        </w:tc>
        <w:tc>
          <w:tcPr>
            <w:tcW w:w="775" w:type="pct"/>
            <w:noWrap w:val="0"/>
            <w:vAlign w:val="center"/>
          </w:tcPr>
          <w:p w14:paraId="4F8CA61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rPr>
              <w:t>废包装</w:t>
            </w:r>
            <w:r>
              <w:rPr>
                <w:rFonts w:hint="eastAsia" w:eastAsia="宋体" w:cs="Times New Roman"/>
                <w:color w:val="auto"/>
                <w:sz w:val="21"/>
                <w:szCs w:val="21"/>
                <w:highlight w:val="none"/>
                <w:lang w:eastAsia="zh-CN"/>
              </w:rPr>
              <w:t>物</w:t>
            </w:r>
          </w:p>
        </w:tc>
        <w:tc>
          <w:tcPr>
            <w:tcW w:w="1260" w:type="pct"/>
            <w:gridSpan w:val="2"/>
            <w:noWrap w:val="0"/>
            <w:vAlign w:val="center"/>
          </w:tcPr>
          <w:p w14:paraId="64EA70D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1座5m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eastAsia="zh-CN"/>
              </w:rPr>
              <w:t>一般固废间暂存，</w:t>
            </w:r>
            <w:r>
              <w:rPr>
                <w:rFonts w:hint="eastAsia" w:eastAsia="宋体" w:cs="Times New Roman"/>
                <w:color w:val="auto"/>
                <w:sz w:val="21"/>
                <w:szCs w:val="21"/>
                <w:highlight w:val="none"/>
                <w:lang w:eastAsia="zh-CN"/>
              </w:rPr>
              <w:t>外售综合利用</w:t>
            </w:r>
          </w:p>
        </w:tc>
        <w:tc>
          <w:tcPr>
            <w:tcW w:w="1730" w:type="pct"/>
            <w:vMerge w:val="restart"/>
            <w:noWrap w:val="0"/>
            <w:vAlign w:val="center"/>
          </w:tcPr>
          <w:p w14:paraId="007F44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《一般工业固体废物贮存和填埋污染控制标准》（GB18599-2020）</w:t>
            </w:r>
          </w:p>
        </w:tc>
      </w:tr>
      <w:tr w14:paraId="1102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noWrap w:val="0"/>
            <w:vAlign w:val="center"/>
          </w:tcPr>
          <w:p w14:paraId="7B21CF4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33" w:type="pct"/>
            <w:noWrap w:val="0"/>
            <w:vAlign w:val="center"/>
          </w:tcPr>
          <w:p w14:paraId="23EB5F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生产过程</w:t>
            </w:r>
          </w:p>
        </w:tc>
        <w:tc>
          <w:tcPr>
            <w:tcW w:w="775" w:type="pct"/>
            <w:noWrap w:val="0"/>
            <w:vAlign w:val="center"/>
          </w:tcPr>
          <w:p w14:paraId="1A9F1E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边角料、不合格产品</w:t>
            </w:r>
          </w:p>
        </w:tc>
        <w:tc>
          <w:tcPr>
            <w:tcW w:w="1260" w:type="pct"/>
            <w:gridSpan w:val="2"/>
            <w:noWrap w:val="0"/>
            <w:vAlign w:val="center"/>
          </w:tcPr>
          <w:p w14:paraId="620C66F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eastAsia" w:eastAsia="宋体" w:cs="Times New Roman"/>
                <w:color w:val="auto"/>
                <w:sz w:val="21"/>
                <w:szCs w:val="21"/>
                <w:highlight w:val="none"/>
                <w:lang w:eastAsia="zh-CN"/>
              </w:rPr>
              <w:t>收集后回用于生产</w:t>
            </w:r>
          </w:p>
        </w:tc>
        <w:tc>
          <w:tcPr>
            <w:tcW w:w="1730" w:type="pct"/>
            <w:vMerge w:val="continue"/>
            <w:noWrap w:val="0"/>
            <w:vAlign w:val="center"/>
          </w:tcPr>
          <w:p w14:paraId="14526C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5B8C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noWrap w:val="0"/>
            <w:vAlign w:val="center"/>
          </w:tcPr>
          <w:p w14:paraId="36F43A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33" w:type="pct"/>
            <w:noWrap w:val="0"/>
            <w:vAlign w:val="center"/>
          </w:tcPr>
          <w:p w14:paraId="38D94E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职工生活</w:t>
            </w:r>
          </w:p>
        </w:tc>
        <w:tc>
          <w:tcPr>
            <w:tcW w:w="775" w:type="pct"/>
            <w:noWrap w:val="0"/>
            <w:vAlign w:val="center"/>
          </w:tcPr>
          <w:p w14:paraId="36FCAA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生活垃圾</w:t>
            </w:r>
          </w:p>
        </w:tc>
        <w:tc>
          <w:tcPr>
            <w:tcW w:w="1260" w:type="pct"/>
            <w:gridSpan w:val="2"/>
            <w:noWrap w:val="0"/>
            <w:vAlign w:val="center"/>
          </w:tcPr>
          <w:p w14:paraId="5244BA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垃圾箱收集后，由环卫部门定期清运。</w:t>
            </w:r>
          </w:p>
        </w:tc>
        <w:tc>
          <w:tcPr>
            <w:tcW w:w="1730" w:type="pct"/>
            <w:noWrap w:val="0"/>
            <w:vAlign w:val="center"/>
          </w:tcPr>
          <w:p w14:paraId="341033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w:t>
            </w:r>
          </w:p>
        </w:tc>
      </w:tr>
      <w:tr w14:paraId="0DFE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noWrap w:val="0"/>
            <w:vAlign w:val="center"/>
          </w:tcPr>
          <w:p w14:paraId="1A6431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33" w:type="pct"/>
            <w:noWrap w:val="0"/>
            <w:vAlign w:val="center"/>
          </w:tcPr>
          <w:p w14:paraId="123879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设备运行</w:t>
            </w:r>
          </w:p>
        </w:tc>
        <w:tc>
          <w:tcPr>
            <w:tcW w:w="775" w:type="pct"/>
            <w:noWrap w:val="0"/>
            <w:vAlign w:val="center"/>
          </w:tcPr>
          <w:p w14:paraId="7B1B31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废润滑油桶</w:t>
            </w:r>
          </w:p>
        </w:tc>
        <w:tc>
          <w:tcPr>
            <w:tcW w:w="1260" w:type="pct"/>
            <w:gridSpan w:val="2"/>
            <w:vMerge w:val="restart"/>
            <w:noWrap w:val="0"/>
            <w:vAlign w:val="center"/>
          </w:tcPr>
          <w:p w14:paraId="5AA03E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eastAsia" w:eastAsia="宋体" w:cs="Times New Roman"/>
                <w:color w:val="auto"/>
                <w:sz w:val="21"/>
                <w:szCs w:val="21"/>
                <w:highlight w:val="none"/>
                <w:lang w:val="en-US" w:eastAsia="zh-CN"/>
              </w:rPr>
              <w:t>1</w:t>
            </w:r>
            <w:r>
              <w:rPr>
                <w:rFonts w:hint="default" w:ascii="Times New Roman" w:hAnsi="Times New Roman" w:eastAsia="Times New Roman" w:cs="Times New Roman"/>
                <w:color w:val="auto"/>
                <w:sz w:val="21"/>
                <w:szCs w:val="21"/>
                <w:highlight w:val="none"/>
              </w:rPr>
              <w:t>座</w:t>
            </w:r>
            <w:r>
              <w:rPr>
                <w:rFonts w:hint="eastAsia" w:eastAsia="宋体" w:cs="Times New Roman"/>
                <w:color w:val="auto"/>
                <w:sz w:val="21"/>
                <w:szCs w:val="21"/>
                <w:highlight w:val="none"/>
                <w:lang w:val="en-US" w:eastAsia="zh-CN"/>
              </w:rPr>
              <w:t>5</w:t>
            </w:r>
            <w:r>
              <w:rPr>
                <w:rFonts w:hint="default" w:ascii="Times New Roman" w:hAnsi="Times New Roman" w:eastAsia="Times New Roman" w:cs="Times New Roman"/>
                <w:color w:val="auto"/>
                <w:sz w:val="21"/>
                <w:szCs w:val="21"/>
                <w:highlight w:val="none"/>
              </w:rPr>
              <w:t>m</w:t>
            </w:r>
            <w:r>
              <w:rPr>
                <w:rFonts w:hint="default" w:ascii="Times New Roman" w:hAnsi="Times New Roman" w:eastAsia="Times New Roman" w:cs="Times New Roman"/>
                <w:color w:val="auto"/>
                <w:sz w:val="21"/>
                <w:szCs w:val="21"/>
                <w:highlight w:val="none"/>
                <w:vertAlign w:val="superscript"/>
              </w:rPr>
              <w:t>2</w:t>
            </w:r>
            <w:r>
              <w:rPr>
                <w:rFonts w:hint="default" w:ascii="Times New Roman" w:hAnsi="Times New Roman" w:eastAsia="Times New Roman" w:cs="Times New Roman"/>
                <w:color w:val="auto"/>
                <w:sz w:val="21"/>
                <w:szCs w:val="21"/>
                <w:highlight w:val="none"/>
              </w:rPr>
              <w:t>危废间暂存，定期交</w:t>
            </w:r>
            <w:r>
              <w:rPr>
                <w:rFonts w:hint="default" w:ascii="Times New Roman" w:hAnsi="Times New Roman" w:eastAsia="Times New Roman" w:cs="Times New Roman"/>
                <w:color w:val="auto"/>
                <w:kern w:val="0"/>
                <w:sz w:val="21"/>
                <w:szCs w:val="21"/>
                <w:highlight w:val="none"/>
              </w:rPr>
              <w:t>有资质单位处置</w:t>
            </w:r>
            <w:r>
              <w:rPr>
                <w:rFonts w:hint="default" w:ascii="Times New Roman" w:hAnsi="Times New Roman" w:eastAsia="Times New Roman" w:cs="Times New Roman"/>
                <w:color w:val="auto"/>
                <w:sz w:val="21"/>
                <w:szCs w:val="21"/>
                <w:highlight w:val="none"/>
              </w:rPr>
              <w:t>。</w:t>
            </w:r>
          </w:p>
        </w:tc>
        <w:tc>
          <w:tcPr>
            <w:tcW w:w="1730" w:type="pct"/>
            <w:vMerge w:val="restart"/>
            <w:noWrap w:val="0"/>
            <w:vAlign w:val="center"/>
          </w:tcPr>
          <w:p w14:paraId="081800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《危险废物贮存污染控制标准》（GB18597-20</w:t>
            </w:r>
            <w:r>
              <w:rPr>
                <w:rFonts w:hint="default" w:ascii="Times New Roman" w:hAnsi="Times New Roman" w:eastAsia="Times New Roman" w:cs="Times New Roman"/>
                <w:color w:val="auto"/>
                <w:sz w:val="21"/>
                <w:szCs w:val="21"/>
                <w:highlight w:val="none"/>
                <w:lang w:val="en-US" w:eastAsia="zh-CN"/>
              </w:rPr>
              <w:t>23</w:t>
            </w:r>
            <w:r>
              <w:rPr>
                <w:rFonts w:hint="default" w:ascii="Times New Roman" w:hAnsi="Times New Roman" w:eastAsia="Times New Roman" w:cs="Times New Roman"/>
                <w:color w:val="auto"/>
                <w:sz w:val="21"/>
                <w:szCs w:val="21"/>
                <w:highlight w:val="none"/>
              </w:rPr>
              <w:t>）</w:t>
            </w:r>
          </w:p>
        </w:tc>
      </w:tr>
      <w:tr w14:paraId="55DB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9" w:type="pct"/>
            <w:vMerge w:val="continue"/>
            <w:noWrap w:val="0"/>
            <w:vAlign w:val="center"/>
          </w:tcPr>
          <w:p w14:paraId="612CF6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33" w:type="pct"/>
            <w:vMerge w:val="restart"/>
            <w:noWrap w:val="0"/>
            <w:vAlign w:val="center"/>
          </w:tcPr>
          <w:p w14:paraId="3362BB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废气污染治理设施</w:t>
            </w:r>
          </w:p>
        </w:tc>
        <w:tc>
          <w:tcPr>
            <w:tcW w:w="775" w:type="pct"/>
            <w:noWrap w:val="0"/>
            <w:vAlign w:val="center"/>
          </w:tcPr>
          <w:p w14:paraId="2D80FAC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Times New Roman" w:cs="Times New Roman"/>
                <w:color w:val="auto"/>
                <w:sz w:val="21"/>
                <w:szCs w:val="21"/>
                <w:highlight w:val="none"/>
                <w:lang w:val="en-US" w:eastAsia="zh-CN"/>
              </w:rPr>
              <w:t>废活性炭</w:t>
            </w:r>
          </w:p>
        </w:tc>
        <w:tc>
          <w:tcPr>
            <w:tcW w:w="1260" w:type="pct"/>
            <w:gridSpan w:val="2"/>
            <w:vMerge w:val="continue"/>
            <w:noWrap w:val="0"/>
            <w:vAlign w:val="center"/>
          </w:tcPr>
          <w:p w14:paraId="1B3D40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1730" w:type="pct"/>
            <w:vMerge w:val="continue"/>
            <w:noWrap w:val="0"/>
            <w:vAlign w:val="center"/>
          </w:tcPr>
          <w:p w14:paraId="35E98D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4ADF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99" w:type="pct"/>
            <w:vMerge w:val="continue"/>
            <w:noWrap w:val="0"/>
            <w:vAlign w:val="center"/>
          </w:tcPr>
          <w:p w14:paraId="1F18D1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33" w:type="pct"/>
            <w:vMerge w:val="continue"/>
            <w:noWrap w:val="0"/>
            <w:vAlign w:val="center"/>
          </w:tcPr>
          <w:p w14:paraId="259EBB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c>
          <w:tcPr>
            <w:tcW w:w="775" w:type="pct"/>
            <w:noWrap w:val="0"/>
            <w:vAlign w:val="center"/>
          </w:tcPr>
          <w:p w14:paraId="5D8B99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lang w:val="en-US" w:eastAsia="zh-CN"/>
              </w:rPr>
            </w:pPr>
            <w:r>
              <w:rPr>
                <w:rFonts w:hint="eastAsia" w:ascii="Times New Roman" w:hAnsi="Times New Roman" w:eastAsia="Times New Roman" w:cs="Times New Roman"/>
                <w:color w:val="auto"/>
                <w:sz w:val="21"/>
                <w:szCs w:val="21"/>
                <w:highlight w:val="none"/>
                <w:lang w:val="en-US" w:eastAsia="zh-CN"/>
              </w:rPr>
              <w:t>废催化剂</w:t>
            </w:r>
          </w:p>
        </w:tc>
        <w:tc>
          <w:tcPr>
            <w:tcW w:w="1260" w:type="pct"/>
            <w:gridSpan w:val="2"/>
            <w:vMerge w:val="continue"/>
            <w:noWrap w:val="0"/>
            <w:vAlign w:val="center"/>
          </w:tcPr>
          <w:p w14:paraId="1BC2C36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p>
        </w:tc>
        <w:tc>
          <w:tcPr>
            <w:tcW w:w="1730" w:type="pct"/>
            <w:vMerge w:val="continue"/>
            <w:noWrap w:val="0"/>
            <w:vAlign w:val="center"/>
          </w:tcPr>
          <w:p w14:paraId="72A7C4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p>
        </w:tc>
      </w:tr>
      <w:tr w14:paraId="0E2E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499" w:type="pct"/>
            <w:noWrap w:val="0"/>
            <w:vAlign w:val="center"/>
          </w:tcPr>
          <w:p w14:paraId="092007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土壤及地下水污染防治措施</w:t>
            </w:r>
          </w:p>
        </w:tc>
        <w:tc>
          <w:tcPr>
            <w:tcW w:w="4500" w:type="pct"/>
            <w:gridSpan w:val="5"/>
            <w:noWrap w:val="0"/>
            <w:vAlign w:val="center"/>
          </w:tcPr>
          <w:p w14:paraId="60FF9D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本项目</w:t>
            </w:r>
            <w:r>
              <w:rPr>
                <w:rFonts w:hint="eastAsia" w:eastAsia="宋体" w:cs="Times New Roman"/>
                <w:color w:val="auto"/>
                <w:sz w:val="21"/>
                <w:szCs w:val="21"/>
                <w:highlight w:val="none"/>
                <w:lang w:eastAsia="zh-CN"/>
              </w:rPr>
              <w:t>生产厂房</w:t>
            </w:r>
            <w:r>
              <w:rPr>
                <w:rFonts w:hint="default" w:ascii="Times New Roman" w:hAnsi="Times New Roman" w:eastAsia="Times New Roman" w:cs="Times New Roman"/>
                <w:color w:val="auto"/>
                <w:sz w:val="21"/>
                <w:szCs w:val="21"/>
                <w:highlight w:val="none"/>
              </w:rPr>
              <w:t>地面已全部硬化</w:t>
            </w:r>
            <w:r>
              <w:rPr>
                <w:rFonts w:hint="eastAsia" w:eastAsia="宋体" w:cs="Times New Roman"/>
                <w:color w:val="auto"/>
                <w:sz w:val="21"/>
                <w:szCs w:val="21"/>
                <w:highlight w:val="none"/>
                <w:lang w:eastAsia="zh-CN"/>
              </w:rPr>
              <w:t>，原料、成品仓库建成后全部硬化</w:t>
            </w:r>
            <w:r>
              <w:rPr>
                <w:rFonts w:hint="default" w:ascii="Times New Roman" w:hAnsi="Times New Roman" w:eastAsia="Times New Roman" w:cs="Times New Roman"/>
                <w:color w:val="auto"/>
                <w:sz w:val="21"/>
                <w:szCs w:val="21"/>
                <w:highlight w:val="none"/>
              </w:rPr>
              <w:t>，运营期加强环保设施维护，规范生产操作，项目对地下水及土壤的影响可忽略不计。</w:t>
            </w:r>
          </w:p>
        </w:tc>
      </w:tr>
      <w:tr w14:paraId="3261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99" w:type="pct"/>
            <w:noWrap w:val="0"/>
            <w:vAlign w:val="center"/>
          </w:tcPr>
          <w:p w14:paraId="0B7473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生态保护措施</w:t>
            </w:r>
          </w:p>
        </w:tc>
        <w:tc>
          <w:tcPr>
            <w:tcW w:w="4500" w:type="pct"/>
            <w:gridSpan w:val="5"/>
            <w:noWrap w:val="0"/>
            <w:vAlign w:val="center"/>
          </w:tcPr>
          <w:p w14:paraId="10E857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66131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p>
          <w:p w14:paraId="75480F57">
            <w:pPr>
              <w:pStyle w:val="2"/>
              <w:keepLines w:val="0"/>
              <w:suppressLineNumbers w:val="0"/>
              <w:spacing w:beforeAutospacing="0" w:afterAutospacing="0"/>
              <w:ind w:right="0"/>
              <w:rPr>
                <w:rFonts w:hint="default"/>
                <w:color w:val="auto"/>
              </w:rPr>
            </w:pPr>
          </w:p>
          <w:p w14:paraId="310E7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ascii="Times New Roman" w:hAnsi="Times New Roman" w:eastAsia="Times New Roman" w:cs="Times New Roman"/>
                <w:color w:val="auto"/>
                <w:sz w:val="21"/>
                <w:szCs w:val="21"/>
                <w:highlight w:val="none"/>
              </w:rPr>
            </w:pPr>
            <w:r>
              <w:rPr>
                <w:rFonts w:hint="default" w:ascii="Times New Roman" w:hAnsi="Times New Roman" w:eastAsia="Times New Roman" w:cs="Times New Roman"/>
                <w:color w:val="auto"/>
                <w:sz w:val="21"/>
                <w:szCs w:val="21"/>
                <w:highlight w:val="none"/>
              </w:rPr>
              <w:t>项目位于</w:t>
            </w:r>
            <w:r>
              <w:rPr>
                <w:rFonts w:hint="default" w:ascii="Times New Roman" w:hAnsi="Times New Roman" w:eastAsia="Times New Roman" w:cs="Times New Roman"/>
                <w:b w:val="0"/>
                <w:bCs w:val="0"/>
                <w:color w:val="auto"/>
                <w:sz w:val="21"/>
                <w:szCs w:val="21"/>
                <w:highlight w:val="none"/>
                <w:u w:val="none"/>
                <w:lang w:eastAsia="zh-CN"/>
              </w:rPr>
              <w:t>汤阴县</w:t>
            </w:r>
            <w:r>
              <w:rPr>
                <w:rFonts w:hint="eastAsia" w:eastAsia="Times New Roman" w:cs="Times New Roman"/>
                <w:b w:val="0"/>
                <w:bCs w:val="0"/>
                <w:color w:val="auto"/>
                <w:sz w:val="21"/>
                <w:szCs w:val="21"/>
                <w:highlight w:val="none"/>
                <w:u w:val="none"/>
                <w:lang w:eastAsia="zh-CN"/>
              </w:rPr>
              <w:t>古贤镇</w:t>
            </w:r>
            <w:r>
              <w:rPr>
                <w:rFonts w:hint="eastAsia" w:ascii="Times New Roman" w:hAnsi="Times New Roman" w:eastAsia="Times New Roman" w:cs="Times New Roman"/>
                <w:b w:val="0"/>
                <w:bCs w:val="0"/>
                <w:color w:val="auto"/>
                <w:sz w:val="21"/>
                <w:szCs w:val="21"/>
                <w:highlight w:val="none"/>
                <w:u w:val="none"/>
                <w:lang w:eastAsia="zh-CN"/>
              </w:rPr>
              <w:t>西外环路</w:t>
            </w:r>
            <w:r>
              <w:rPr>
                <w:rFonts w:hint="default" w:ascii="Times New Roman" w:hAnsi="Times New Roman" w:eastAsia="Times New Roman" w:cs="Times New Roman"/>
                <w:b w:val="0"/>
                <w:bCs w:val="0"/>
                <w:color w:val="auto"/>
                <w:sz w:val="21"/>
                <w:szCs w:val="21"/>
                <w:highlight w:val="none"/>
                <w:u w:val="none"/>
              </w:rPr>
              <w:t>，</w:t>
            </w:r>
            <w:r>
              <w:rPr>
                <w:rFonts w:hint="default" w:ascii="Times New Roman" w:hAnsi="Times New Roman" w:eastAsia="Times New Roman" w:cs="Times New Roman"/>
                <w:color w:val="auto"/>
                <w:sz w:val="21"/>
                <w:szCs w:val="21"/>
                <w:highlight w:val="none"/>
              </w:rPr>
              <w:t>属于产业园区范围。项目用地范围内无生态环境保护目标。</w:t>
            </w:r>
          </w:p>
          <w:p w14:paraId="698CE54A">
            <w:pPr>
              <w:pStyle w:val="2"/>
              <w:keepLines w:val="0"/>
              <w:suppressLineNumbers w:val="0"/>
              <w:spacing w:beforeAutospacing="0" w:afterAutospacing="0"/>
              <w:ind w:left="0" w:leftChars="0" w:right="0" w:firstLine="0" w:firstLineChars="0"/>
              <w:rPr>
                <w:rFonts w:hint="default"/>
                <w:color w:val="auto"/>
              </w:rPr>
            </w:pPr>
          </w:p>
        </w:tc>
      </w:tr>
      <w:tr w14:paraId="41D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499" w:type="pct"/>
            <w:noWrap w:val="0"/>
            <w:vAlign w:val="center"/>
          </w:tcPr>
          <w:p w14:paraId="2658C8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pacing w:val="-8"/>
                <w:sz w:val="21"/>
                <w:szCs w:val="21"/>
                <w:highlight w:val="none"/>
              </w:rPr>
            </w:pPr>
            <w:r>
              <w:rPr>
                <w:rFonts w:hint="default" w:ascii="Times New Roman" w:hAnsi="Times New Roman" w:eastAsia="Times New Roman" w:cs="Times New Roman"/>
                <w:color w:val="auto"/>
                <w:spacing w:val="-8"/>
                <w:sz w:val="21"/>
                <w:szCs w:val="21"/>
                <w:highlight w:val="none"/>
              </w:rPr>
              <w:t>环境风险防范措施</w:t>
            </w:r>
          </w:p>
        </w:tc>
        <w:tc>
          <w:tcPr>
            <w:tcW w:w="4500" w:type="pct"/>
            <w:gridSpan w:val="5"/>
            <w:noWrap w:val="0"/>
            <w:vAlign w:val="center"/>
          </w:tcPr>
          <w:p w14:paraId="3CF29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危险废物在厂内贮存时严格按照《危险废物贮存污染控制标准》（GB 18597-2023）中的相关要求设置危险废物暂存场所和危险废物警示，具体要求如下：</w:t>
            </w:r>
          </w:p>
          <w:p w14:paraId="4C153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①项目产生的危险废物必须使用专用贮存容器或场所存放，危险废物禁止混入一般工业固体废物中；</w:t>
            </w:r>
          </w:p>
          <w:p w14:paraId="32777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②危废贮存容器及场所设置明显警示标志，周围设置防护栏；</w:t>
            </w:r>
          </w:p>
          <w:p w14:paraId="1D8E6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rPr>
            </w:pPr>
            <w:r>
              <w:rPr>
                <w:rFonts w:hint="default" w:ascii="Times New Roman" w:hAnsi="Times New Roman" w:eastAsia="Times New Roman" w:cs="Times New Roman"/>
                <w:color w:val="auto"/>
                <w:sz w:val="21"/>
                <w:szCs w:val="21"/>
              </w:rPr>
              <w:t>③危废专用贮存容器必须完好无损，没有腐蚀、污染、损毁。</w:t>
            </w:r>
          </w:p>
          <w:p w14:paraId="0E4AB0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rPr>
              <w:t>④</w:t>
            </w:r>
            <w:r>
              <w:rPr>
                <w:rFonts w:hint="default" w:ascii="Times New Roman" w:hAnsi="Times New Roman" w:eastAsia="Times New Roman" w:cs="Times New Roman"/>
                <w:color w:val="auto"/>
                <w:sz w:val="21"/>
                <w:szCs w:val="21"/>
              </w:rPr>
              <w:t>加强对</w:t>
            </w:r>
            <w:r>
              <w:rPr>
                <w:rFonts w:hint="default" w:ascii="Times New Roman" w:hAnsi="Times New Roman" w:eastAsia="Times New Roman" w:cs="Times New Roman"/>
                <w:color w:val="auto"/>
                <w:sz w:val="21"/>
                <w:szCs w:val="21"/>
                <w:lang w:eastAsia="zh-CN"/>
              </w:rPr>
              <w:t>设备</w:t>
            </w:r>
            <w:r>
              <w:rPr>
                <w:rFonts w:hint="default" w:ascii="Times New Roman" w:hAnsi="Times New Roman" w:eastAsia="Times New Roman" w:cs="Times New Roman"/>
                <w:color w:val="auto"/>
                <w:sz w:val="21"/>
                <w:szCs w:val="21"/>
              </w:rPr>
              <w:t>管理，规范操作，现场禁止明火，禁止吸烟。一旦发生事故，应及时启动应急预案并疏散周边人群。</w:t>
            </w:r>
          </w:p>
        </w:tc>
      </w:tr>
      <w:tr w14:paraId="2798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499" w:type="pct"/>
            <w:noWrap w:val="0"/>
            <w:vAlign w:val="center"/>
          </w:tcPr>
          <w:p w14:paraId="7218D51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spacing w:val="-8"/>
                <w:kern w:val="2"/>
                <w:sz w:val="21"/>
                <w:szCs w:val="21"/>
                <w:highlight w:val="none"/>
                <w:lang w:val="en-US" w:eastAsia="zh-CN" w:bidi="ar-SA"/>
              </w:rPr>
            </w:pPr>
            <w:r>
              <w:rPr>
                <w:rFonts w:hint="default" w:ascii="Times New Roman" w:hAnsi="Times New Roman" w:eastAsia="Times New Roman" w:cs="Times New Roman"/>
                <w:color w:val="auto"/>
                <w:spacing w:val="-8"/>
                <w:sz w:val="21"/>
                <w:szCs w:val="21"/>
                <w:highlight w:val="none"/>
              </w:rPr>
              <w:t>其他环境管理要求</w:t>
            </w:r>
          </w:p>
        </w:tc>
        <w:tc>
          <w:tcPr>
            <w:tcW w:w="4500" w:type="pct"/>
            <w:gridSpan w:val="5"/>
            <w:noWrap w:val="0"/>
            <w:vAlign w:val="center"/>
          </w:tcPr>
          <w:p w14:paraId="6D05C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0B821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72C72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4C9D1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76941C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00FEB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4E053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25C14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39D37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48DC9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rPr>
            </w:pPr>
          </w:p>
          <w:p w14:paraId="1C809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eastAsia="Times New Roman" w:cs="Times New Roman"/>
                <w:color w:val="auto"/>
                <w:sz w:val="21"/>
                <w:szCs w:val="21"/>
                <w:highlight w:val="none"/>
                <w:lang w:eastAsia="zh-CN"/>
              </w:rPr>
            </w:pPr>
            <w:r>
              <w:rPr>
                <w:rFonts w:hint="default" w:ascii="Times New Roman" w:hAnsi="Times New Roman" w:eastAsia="Times New Roman" w:cs="Times New Roman"/>
                <w:color w:val="auto"/>
                <w:sz w:val="21"/>
                <w:szCs w:val="21"/>
                <w:highlight w:val="none"/>
              </w:rPr>
              <w:t>除执行上述废水、废气、噪声、固废措施外，须按照《河南省重污染天气重点行业应急减排措施制定技术指南（202</w:t>
            </w:r>
            <w:r>
              <w:rPr>
                <w:rFonts w:hint="eastAsia" w:ascii="Times New Roman" w:hAnsi="Times New Roman" w:eastAsia="Times New Roman" w:cs="Times New Roman"/>
                <w:color w:val="auto"/>
                <w:sz w:val="21"/>
                <w:szCs w:val="21"/>
                <w:highlight w:val="none"/>
                <w:lang w:val="en-US" w:eastAsia="zh-CN"/>
              </w:rPr>
              <w:t>4</w:t>
            </w:r>
            <w:r>
              <w:rPr>
                <w:rFonts w:hint="default" w:ascii="Times New Roman" w:hAnsi="Times New Roman" w:eastAsia="Times New Roman" w:cs="Times New Roman"/>
                <w:color w:val="auto"/>
                <w:sz w:val="21"/>
                <w:szCs w:val="21"/>
                <w:highlight w:val="none"/>
              </w:rPr>
              <w:t>年版）》中塑料制品行业</w:t>
            </w:r>
            <w:r>
              <w:rPr>
                <w:rFonts w:hint="default" w:ascii="Times New Roman" w:hAnsi="Times New Roman" w:eastAsia="Times New Roman" w:cs="Times New Roman"/>
                <w:color w:val="auto"/>
                <w:sz w:val="21"/>
                <w:szCs w:val="21"/>
                <w:highlight w:val="none"/>
                <w:lang w:eastAsia="zh-CN"/>
              </w:rPr>
              <w:t>要求相符性分析指标具体要求执行。</w:t>
            </w:r>
          </w:p>
          <w:p w14:paraId="0BE971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lang w:eastAsia="zh-CN"/>
              </w:rPr>
            </w:pPr>
          </w:p>
          <w:p w14:paraId="13B0E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lang w:eastAsia="zh-CN"/>
              </w:rPr>
            </w:pPr>
          </w:p>
          <w:p w14:paraId="01E5ED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imes New Roman" w:hAnsi="Times New Roman" w:eastAsia="Times New Roman" w:cs="Times New Roman"/>
                <w:color w:val="auto"/>
                <w:sz w:val="21"/>
                <w:szCs w:val="21"/>
                <w:highlight w:val="none"/>
                <w:lang w:eastAsia="zh-CN"/>
              </w:rPr>
            </w:pPr>
          </w:p>
          <w:p w14:paraId="57CDCC10">
            <w:pPr>
              <w:pStyle w:val="2"/>
              <w:keepLines w:val="0"/>
              <w:suppressLineNumbers w:val="0"/>
              <w:spacing w:beforeAutospacing="0" w:afterAutospacing="0"/>
              <w:ind w:left="0" w:leftChars="0" w:right="0" w:firstLine="0" w:firstLineChars="0"/>
              <w:rPr>
                <w:rFonts w:hint="default"/>
                <w:color w:val="auto"/>
                <w:sz w:val="21"/>
                <w:szCs w:val="21"/>
                <w:lang w:val="en-US" w:eastAsia="zh-CN"/>
              </w:rPr>
            </w:pPr>
          </w:p>
          <w:p w14:paraId="3949A2BB">
            <w:pPr>
              <w:keepNext w:val="0"/>
              <w:keepLines w:val="0"/>
              <w:suppressLineNumbers w:val="0"/>
              <w:spacing w:before="0" w:beforeAutospacing="0" w:after="0" w:afterAutospacing="0"/>
              <w:ind w:left="0" w:right="0"/>
              <w:rPr>
                <w:rFonts w:hint="default"/>
                <w:color w:val="auto"/>
                <w:sz w:val="21"/>
                <w:szCs w:val="21"/>
                <w:lang w:val="en-US" w:eastAsia="zh-CN"/>
              </w:rPr>
            </w:pPr>
          </w:p>
          <w:p w14:paraId="4A61EC43">
            <w:pPr>
              <w:keepNext w:val="0"/>
              <w:keepLines w:val="0"/>
              <w:suppressLineNumbers w:val="0"/>
              <w:spacing w:before="0" w:beforeAutospacing="0" w:after="0" w:afterAutospacing="0"/>
              <w:ind w:left="0" w:right="0"/>
              <w:rPr>
                <w:rFonts w:hint="default"/>
                <w:color w:val="auto"/>
                <w:sz w:val="21"/>
                <w:szCs w:val="21"/>
                <w:lang w:val="en-US" w:eastAsia="zh-CN"/>
              </w:rPr>
            </w:pPr>
          </w:p>
          <w:p w14:paraId="56D6DE29">
            <w:pPr>
              <w:keepNext w:val="0"/>
              <w:keepLines w:val="0"/>
              <w:suppressLineNumbers w:val="0"/>
              <w:spacing w:before="0" w:beforeAutospacing="0" w:after="0" w:afterAutospacing="0"/>
              <w:ind w:left="0" w:right="0"/>
              <w:rPr>
                <w:rFonts w:hint="default"/>
                <w:color w:val="auto"/>
                <w:sz w:val="21"/>
                <w:szCs w:val="21"/>
                <w:lang w:val="en-US" w:eastAsia="zh-CN"/>
              </w:rPr>
            </w:pPr>
          </w:p>
          <w:p w14:paraId="5344BDB0">
            <w:pPr>
              <w:keepNext w:val="0"/>
              <w:keepLines w:val="0"/>
              <w:suppressLineNumbers w:val="0"/>
              <w:spacing w:before="0" w:beforeAutospacing="0" w:after="0" w:afterAutospacing="0"/>
              <w:ind w:left="0" w:right="0"/>
              <w:rPr>
                <w:rFonts w:hint="default"/>
                <w:color w:val="auto"/>
                <w:sz w:val="21"/>
                <w:szCs w:val="21"/>
                <w:lang w:val="en-US" w:eastAsia="zh-CN"/>
              </w:rPr>
            </w:pPr>
          </w:p>
          <w:p w14:paraId="2B475EEA">
            <w:pPr>
              <w:keepNext w:val="0"/>
              <w:keepLines w:val="0"/>
              <w:suppressLineNumbers w:val="0"/>
              <w:spacing w:before="0" w:beforeAutospacing="0" w:after="0" w:afterAutospacing="0"/>
              <w:ind w:left="0" w:right="0"/>
              <w:rPr>
                <w:rFonts w:hint="default"/>
                <w:color w:val="auto"/>
                <w:sz w:val="21"/>
                <w:szCs w:val="21"/>
                <w:lang w:val="en-US" w:eastAsia="zh-CN"/>
              </w:rPr>
            </w:pPr>
          </w:p>
          <w:p w14:paraId="50A9C67B">
            <w:pPr>
              <w:keepNext w:val="0"/>
              <w:keepLines w:val="0"/>
              <w:suppressLineNumbers w:val="0"/>
              <w:spacing w:before="0" w:beforeAutospacing="0" w:after="0" w:afterAutospacing="0"/>
              <w:ind w:left="0" w:right="0"/>
              <w:rPr>
                <w:rFonts w:hint="default"/>
                <w:color w:val="auto"/>
                <w:sz w:val="21"/>
                <w:szCs w:val="21"/>
                <w:lang w:val="en-US" w:eastAsia="zh-CN"/>
              </w:rPr>
            </w:pPr>
          </w:p>
        </w:tc>
      </w:tr>
    </w:tbl>
    <w:p w14:paraId="08BC0B8C">
      <w:pPr>
        <w:tabs>
          <w:tab w:val="left" w:pos="720"/>
        </w:tabs>
        <w:snapToGrid w:val="0"/>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bookmarkStart w:id="15" w:name="_Toc32153"/>
      <w:r>
        <w:rPr>
          <w:rFonts w:hint="default" w:ascii="Times New Roman" w:hAnsi="Times New Roman" w:eastAsia="黑体" w:cs="Times New Roman"/>
          <w:b/>
          <w:bCs/>
          <w:snapToGrid w:val="0"/>
          <w:color w:val="auto"/>
          <w:sz w:val="30"/>
          <w:szCs w:val="30"/>
          <w:highlight w:val="none"/>
        </w:rPr>
        <w:t>六、结论</w:t>
      </w:r>
      <w:bookmarkEnd w:id="15"/>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14:paraId="6C681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2" w:hRule="atLeast"/>
          <w:jc w:val="center"/>
        </w:trPr>
        <w:tc>
          <w:tcPr>
            <w:tcW w:w="5000" w:type="pct"/>
            <w:noWrap w:val="0"/>
            <w:vAlign w:val="center"/>
          </w:tcPr>
          <w:p w14:paraId="0E793AA3">
            <w:pPr>
              <w:keepNext w:val="0"/>
              <w:keepLines w:val="0"/>
              <w:suppressLineNumbers w:val="0"/>
              <w:adjustRightInd w:val="0"/>
              <w:snapToGrid w:val="0"/>
              <w:spacing w:before="120" w:beforeLines="50" w:beforeAutospacing="0" w:after="0" w:afterAutospacing="0" w:line="360" w:lineRule="auto"/>
              <w:ind w:left="0" w:right="0" w:firstLine="480" w:firstLineChars="200"/>
              <w:rPr>
                <w:rFonts w:hint="default" w:ascii="Times New Roman" w:hAnsi="Times New Roman" w:eastAsia="Times New Roman" w:cs="Times New Roman"/>
                <w:b/>
                <w:bCs/>
                <w:color w:val="auto"/>
                <w:sz w:val="24"/>
                <w:highlight w:val="none"/>
              </w:rPr>
            </w:pPr>
            <w:r>
              <w:rPr>
                <w:rFonts w:hint="eastAsia" w:eastAsia="Times New Roman" w:cs="Times New Roman"/>
                <w:b w:val="0"/>
                <w:bCs w:val="0"/>
                <w:color w:val="auto"/>
                <w:sz w:val="24"/>
                <w:highlight w:val="none"/>
                <w:lang w:eastAsia="zh-CN"/>
              </w:rPr>
              <w:t>安阳市雨露节水灌溉科技有限公司年产4500万米高分子物理合成编织水带项目</w:t>
            </w:r>
            <w:r>
              <w:rPr>
                <w:rFonts w:hint="default" w:ascii="Times New Roman" w:hAnsi="Times New Roman" w:eastAsia="Times New Roman" w:cs="Times New Roman"/>
                <w:b w:val="0"/>
                <w:bCs w:val="0"/>
                <w:color w:val="auto"/>
                <w:sz w:val="24"/>
                <w:highlight w:val="none"/>
              </w:rPr>
              <w:t>的建设符合当前国家产业政策和</w:t>
            </w:r>
            <w:r>
              <w:rPr>
                <w:rFonts w:hint="eastAsia" w:ascii="Times New Roman" w:hAnsi="Times New Roman" w:eastAsia="Times New Roman" w:cs="Times New Roman"/>
                <w:b w:val="0"/>
                <w:bCs w:val="0"/>
                <w:color w:val="auto"/>
                <w:sz w:val="24"/>
                <w:highlight w:val="none"/>
                <w:lang w:eastAsia="zh-CN"/>
              </w:rPr>
              <w:t>当地</w:t>
            </w:r>
            <w:r>
              <w:rPr>
                <w:rFonts w:hint="default" w:ascii="Times New Roman" w:hAnsi="Times New Roman" w:eastAsia="Times New Roman" w:cs="Times New Roman"/>
                <w:b w:val="0"/>
                <w:bCs w:val="0"/>
                <w:color w:val="auto"/>
                <w:sz w:val="24"/>
                <w:highlight w:val="none"/>
              </w:rPr>
              <w:t>规划要求，项目选址可行。在采取评价提出的污染防治措施以及充分落实评价建议的基础上，项目产生的污染物实现达标排放，对周围环境影响较小，工程建设不涉及自然保护区、世界自然和文化遗产地、风景名胜区、森林公园等环境敏感区，不存在环境制约因素，从环境保护角度分析，工程建设是可行的。</w:t>
            </w:r>
          </w:p>
        </w:tc>
      </w:tr>
    </w:tbl>
    <w:p w14:paraId="2E22ABF1">
      <w:pPr>
        <w:pStyle w:val="23"/>
        <w:adjustRightInd w:val="0"/>
        <w:snapToGrid w:val="0"/>
        <w:spacing w:before="0" w:beforeAutospacing="0" w:after="0" w:afterAutospacing="0"/>
        <w:outlineLvl w:val="9"/>
        <w:rPr>
          <w:rFonts w:hint="default" w:ascii="Times New Roman" w:hAnsi="Times New Roman" w:eastAsia="黑体" w:cs="Times New Roman"/>
          <w:snapToGrid w:val="0"/>
          <w:color w:val="auto"/>
          <w:sz w:val="32"/>
          <w:szCs w:val="32"/>
          <w:highlight w:val="none"/>
        </w:rPr>
        <w:sectPr>
          <w:footerReference r:id="rId8" w:type="default"/>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AADCEE6">
      <w:pPr>
        <w:pStyle w:val="23"/>
        <w:adjustRightInd w:val="0"/>
        <w:snapToGrid w:val="0"/>
        <w:spacing w:before="0" w:beforeAutospacing="0" w:after="0" w:afterAutospacing="0"/>
        <w:outlineLvl w:val="9"/>
        <w:rPr>
          <w:rFonts w:hint="default" w:ascii="Times New Roman" w:hAnsi="Times New Roman" w:eastAsia="黑体" w:cs="Times New Roman"/>
          <w:snapToGrid w:val="0"/>
          <w:color w:val="auto"/>
          <w:sz w:val="32"/>
          <w:szCs w:val="32"/>
          <w:highlight w:val="none"/>
        </w:rPr>
        <w:sectPr>
          <w:type w:val="continuous"/>
          <w:pgSz w:w="11905" w:h="16838"/>
          <w:pgMar w:top="1417" w:right="1417" w:bottom="1417" w:left="1701"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5EA752C9">
      <w:pPr>
        <w:pStyle w:val="23"/>
        <w:adjustRightInd w:val="0"/>
        <w:snapToGrid w:val="0"/>
        <w:spacing w:before="0" w:beforeAutospacing="0" w:after="0" w:afterAutospacing="0"/>
        <w:outlineLvl w:val="9"/>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附表</w:t>
      </w:r>
    </w:p>
    <w:p w14:paraId="099A6A25">
      <w:pPr>
        <w:pStyle w:val="23"/>
        <w:adjustRightInd w:val="0"/>
        <w:snapToGrid w:val="0"/>
        <w:spacing w:before="0" w:beforeAutospacing="0" w:after="0" w:afterAutospacing="0"/>
        <w:jc w:val="center"/>
        <w:outlineLvl w:val="9"/>
        <w:rPr>
          <w:rFonts w:hint="default" w:ascii="Times New Roman" w:hAnsi="Times New Roman" w:eastAsia="方正小标宋_GBK" w:cs="Times New Roman"/>
          <w:snapToGrid w:val="0"/>
          <w:color w:val="auto"/>
          <w:sz w:val="38"/>
          <w:szCs w:val="38"/>
          <w:highlight w:val="none"/>
        </w:rPr>
      </w:pPr>
      <w:r>
        <w:rPr>
          <w:rFonts w:hint="default" w:ascii="Times New Roman" w:hAnsi="Times New Roman" w:eastAsia="方正小标宋_GBK" w:cs="Times New Roman"/>
          <w:snapToGrid w:val="0"/>
          <w:color w:val="auto"/>
          <w:sz w:val="38"/>
          <w:szCs w:val="38"/>
          <w:highlight w:val="none"/>
        </w:rPr>
        <w:t>建设项目污染物排放量汇总表</w:t>
      </w:r>
    </w:p>
    <w:tbl>
      <w:tblPr>
        <w:tblStyle w:val="26"/>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404"/>
        <w:gridCol w:w="1933"/>
        <w:gridCol w:w="1109"/>
        <w:gridCol w:w="1376"/>
        <w:gridCol w:w="1598"/>
        <w:gridCol w:w="1933"/>
        <w:gridCol w:w="1517"/>
        <w:gridCol w:w="2015"/>
      </w:tblGrid>
      <w:tr w14:paraId="49B60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tcBorders>
              <w:tl2br w:val="single" w:color="auto" w:sz="4" w:space="0"/>
            </w:tcBorders>
            <w:noWrap w:val="0"/>
            <w:tcMar>
              <w:left w:w="28" w:type="dxa"/>
              <w:right w:w="28" w:type="dxa"/>
            </w:tcMar>
            <w:vAlign w:val="center"/>
          </w:tcPr>
          <w:p w14:paraId="6ABE7DE0">
            <w:pPr>
              <w:pStyle w:val="60"/>
              <w:keepNext w:val="0"/>
              <w:keepLines w:val="0"/>
              <w:suppressLineNumbers w:val="0"/>
              <w:spacing w:before="0" w:beforeLines="0" w:beforeAutospacing="0" w:after="0" w:afterLines="0" w:afterAutospacing="0" w:line="240" w:lineRule="auto"/>
              <w:ind w:left="0" w:right="0"/>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14:paraId="48511FCA">
            <w:pPr>
              <w:pStyle w:val="60"/>
              <w:keepNext w:val="0"/>
              <w:keepLines w:val="0"/>
              <w:suppressLineNumbers w:val="0"/>
              <w:spacing w:before="0" w:beforeLines="0" w:beforeAutospacing="0" w:after="0" w:afterLines="0" w:afterAutospacing="0" w:line="240" w:lineRule="auto"/>
              <w:ind w:left="0" w:right="0"/>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499" w:type="pct"/>
            <w:noWrap w:val="0"/>
            <w:tcMar>
              <w:left w:w="28" w:type="dxa"/>
              <w:right w:w="28" w:type="dxa"/>
            </w:tcMar>
            <w:vAlign w:val="center"/>
          </w:tcPr>
          <w:p w14:paraId="2DC58B2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687" w:type="pct"/>
            <w:noWrap w:val="0"/>
            <w:tcMar>
              <w:left w:w="28" w:type="dxa"/>
              <w:right w:w="28" w:type="dxa"/>
            </w:tcMar>
            <w:vAlign w:val="center"/>
          </w:tcPr>
          <w:p w14:paraId="10400B3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现有工程排放</w:t>
            </w:r>
          </w:p>
          <w:p w14:paraId="7978ED0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量（固体废物</w:t>
            </w:r>
          </w:p>
          <w:p w14:paraId="78509C4B">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黑体" w:cs="Times New Roman"/>
                <w:snapToGrid w:val="0"/>
                <w:color w:val="auto"/>
                <w:spacing w:val="-6"/>
                <w:kern w:val="21"/>
                <w:szCs w:val="21"/>
                <w:highlight w:val="none"/>
                <w:lang w:val="en-US" w:eastAsia="zh-CN"/>
              </w:rPr>
            </w:pPr>
            <w:r>
              <w:rPr>
                <w:rFonts w:hint="default" w:ascii="Times New Roman" w:hAnsi="Times New Roman" w:eastAsia="黑体" w:cs="Times New Roman"/>
                <w:snapToGrid w:val="0"/>
                <w:color w:val="auto"/>
                <w:spacing w:val="-6"/>
                <w:kern w:val="21"/>
                <w:szCs w:val="21"/>
                <w:highlight w:val="none"/>
              </w:rPr>
              <w:t>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r>
              <w:rPr>
                <w:rFonts w:hint="eastAsia" w:ascii="Times New Roman" w:hAnsi="Times New Roman" w:eastAsia="黑体" w:cs="Times New Roman"/>
                <w:snapToGrid w:val="0"/>
                <w:color w:val="auto"/>
                <w:spacing w:val="-6"/>
                <w:kern w:val="21"/>
                <w:szCs w:val="21"/>
                <w:highlight w:val="none"/>
                <w:lang w:val="en-US" w:eastAsia="zh-CN"/>
              </w:rPr>
              <w:t>*</w:t>
            </w:r>
          </w:p>
        </w:tc>
        <w:tc>
          <w:tcPr>
            <w:tcW w:w="394" w:type="pct"/>
            <w:noWrap w:val="0"/>
            <w:tcMar>
              <w:left w:w="28" w:type="dxa"/>
              <w:right w:w="28" w:type="dxa"/>
            </w:tcMar>
            <w:vAlign w:val="center"/>
          </w:tcPr>
          <w:p w14:paraId="22660E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14:paraId="102C8525">
            <w:pPr>
              <w:pStyle w:val="60"/>
              <w:keepNext w:val="0"/>
              <w:keepLines w:val="0"/>
              <w:suppressLineNumbers w:val="0"/>
              <w:spacing w:before="0" w:beforeLines="0" w:beforeAutospacing="0" w:after="0" w:afterLines="0" w:afterAutospacing="0"/>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w:t>
            </w:r>
          </w:p>
          <w:p w14:paraId="1683C1FC">
            <w:pPr>
              <w:pStyle w:val="60"/>
              <w:keepNext w:val="0"/>
              <w:keepLines w:val="0"/>
              <w:suppressLineNumbers w:val="0"/>
              <w:spacing w:before="0" w:beforeLines="0" w:beforeAutospacing="0" w:after="0" w:afterLines="0" w:afterAutospacing="0"/>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489" w:type="pct"/>
            <w:noWrap w:val="0"/>
            <w:tcMar>
              <w:left w:w="28" w:type="dxa"/>
              <w:right w:w="28" w:type="dxa"/>
            </w:tcMar>
            <w:vAlign w:val="center"/>
          </w:tcPr>
          <w:p w14:paraId="3291AAE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在建工程排放</w:t>
            </w:r>
          </w:p>
          <w:p w14:paraId="45A9791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量（固体废物</w:t>
            </w:r>
          </w:p>
          <w:p w14:paraId="0C90CE9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568" w:type="pct"/>
            <w:noWrap w:val="0"/>
            <w:tcMar>
              <w:left w:w="28" w:type="dxa"/>
              <w:right w:w="28" w:type="dxa"/>
            </w:tcMar>
            <w:vAlign w:val="center"/>
          </w:tcPr>
          <w:p w14:paraId="43CA45E1">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本项目排放量</w:t>
            </w:r>
          </w:p>
          <w:p w14:paraId="2C6340F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（固体废物产生</w:t>
            </w:r>
          </w:p>
          <w:p w14:paraId="089D9DD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687" w:type="pct"/>
            <w:noWrap w:val="0"/>
            <w:tcMar>
              <w:left w:w="28" w:type="dxa"/>
              <w:right w:w="28" w:type="dxa"/>
            </w:tcMar>
            <w:vAlign w:val="center"/>
          </w:tcPr>
          <w:p w14:paraId="682DE72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14:paraId="03DC1E3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539" w:type="pct"/>
            <w:noWrap w:val="0"/>
            <w:tcMar>
              <w:left w:w="28" w:type="dxa"/>
              <w:right w:w="28" w:type="dxa"/>
            </w:tcMar>
            <w:vAlign w:val="center"/>
          </w:tcPr>
          <w:p w14:paraId="51A67DD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本项目建成后全</w:t>
            </w:r>
          </w:p>
          <w:p w14:paraId="4DDF5D8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厂排放量（固体</w:t>
            </w:r>
          </w:p>
          <w:p w14:paraId="336B5CC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716" w:type="pct"/>
            <w:noWrap w:val="0"/>
            <w:tcMar>
              <w:left w:w="28" w:type="dxa"/>
              <w:right w:w="28" w:type="dxa"/>
            </w:tcMar>
            <w:vAlign w:val="center"/>
          </w:tcPr>
          <w:p w14:paraId="6E879E7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14:paraId="17B88FC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14:paraId="1781A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15" w:type="pct"/>
            <w:noWrap w:val="0"/>
            <w:vAlign w:val="center"/>
          </w:tcPr>
          <w:p w14:paraId="3A0A27F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废气</w:t>
            </w:r>
          </w:p>
        </w:tc>
        <w:tc>
          <w:tcPr>
            <w:tcW w:w="499" w:type="pct"/>
            <w:noWrap w:val="0"/>
            <w:vAlign w:val="center"/>
          </w:tcPr>
          <w:p w14:paraId="0C3DB3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Times New Roman" w:cs="Times New Roman"/>
                <w:color w:val="auto"/>
                <w:highlight w:val="none"/>
                <w:lang w:val="en-US" w:eastAsia="zh-CN"/>
              </w:rPr>
              <w:t>非甲烷总烃</w:t>
            </w:r>
          </w:p>
        </w:tc>
        <w:tc>
          <w:tcPr>
            <w:tcW w:w="687" w:type="pct"/>
            <w:noWrap w:val="0"/>
            <w:vAlign w:val="center"/>
          </w:tcPr>
          <w:p w14:paraId="38B1FAD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0.2825</w:t>
            </w:r>
          </w:p>
        </w:tc>
        <w:tc>
          <w:tcPr>
            <w:tcW w:w="394" w:type="pct"/>
            <w:noWrap w:val="0"/>
            <w:vAlign w:val="center"/>
          </w:tcPr>
          <w:p w14:paraId="4AB4058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2.0445</w:t>
            </w:r>
          </w:p>
        </w:tc>
        <w:tc>
          <w:tcPr>
            <w:tcW w:w="489" w:type="pct"/>
            <w:noWrap w:val="0"/>
            <w:vAlign w:val="center"/>
          </w:tcPr>
          <w:p w14:paraId="61246CD1">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w:t>
            </w:r>
          </w:p>
        </w:tc>
        <w:tc>
          <w:tcPr>
            <w:tcW w:w="568" w:type="pct"/>
            <w:noWrap w:val="0"/>
            <w:vAlign w:val="center"/>
          </w:tcPr>
          <w:p w14:paraId="76D44B2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0.6974</w:t>
            </w:r>
          </w:p>
        </w:tc>
        <w:tc>
          <w:tcPr>
            <w:tcW w:w="687" w:type="pct"/>
            <w:noWrap w:val="0"/>
            <w:vAlign w:val="center"/>
          </w:tcPr>
          <w:p w14:paraId="7BD2A2A1">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0.2825</w:t>
            </w:r>
          </w:p>
        </w:tc>
        <w:tc>
          <w:tcPr>
            <w:tcW w:w="539" w:type="pct"/>
            <w:noWrap w:val="0"/>
            <w:vAlign w:val="center"/>
          </w:tcPr>
          <w:p w14:paraId="1EC719AD">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0.4149</w:t>
            </w:r>
          </w:p>
        </w:tc>
        <w:tc>
          <w:tcPr>
            <w:tcW w:w="716" w:type="pct"/>
            <w:noWrap w:val="0"/>
            <w:vAlign w:val="center"/>
          </w:tcPr>
          <w:p w14:paraId="141DC436">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lang w:val="en-US" w:eastAsia="zh-CN"/>
              </w:rPr>
              <w:t>+0.4149</w:t>
            </w:r>
          </w:p>
        </w:tc>
      </w:tr>
      <w:tr w14:paraId="6B017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restart"/>
            <w:noWrap w:val="0"/>
            <w:vAlign w:val="center"/>
          </w:tcPr>
          <w:p w14:paraId="08D2FA60">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废水</w:t>
            </w:r>
          </w:p>
        </w:tc>
        <w:tc>
          <w:tcPr>
            <w:tcW w:w="499" w:type="pct"/>
            <w:noWrap w:val="0"/>
            <w:vAlign w:val="center"/>
          </w:tcPr>
          <w:p w14:paraId="282D9D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Times New Roman" w:cs="Times New Roman"/>
                <w:color w:val="auto"/>
                <w:highlight w:val="none"/>
              </w:rPr>
            </w:pPr>
            <w:r>
              <w:rPr>
                <w:rFonts w:hint="default" w:ascii="Times New Roman" w:hAnsi="Times New Roman" w:eastAsia="Times New Roman" w:cs="Times New Roman"/>
                <w:color w:val="auto"/>
                <w:highlight w:val="none"/>
              </w:rPr>
              <w:t>COD</w:t>
            </w:r>
          </w:p>
        </w:tc>
        <w:tc>
          <w:tcPr>
            <w:tcW w:w="687" w:type="pct"/>
            <w:noWrap w:val="0"/>
            <w:vAlign w:val="center"/>
          </w:tcPr>
          <w:p w14:paraId="440BAB0D">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0.0047</w:t>
            </w:r>
          </w:p>
        </w:tc>
        <w:tc>
          <w:tcPr>
            <w:tcW w:w="394" w:type="pct"/>
            <w:noWrap w:val="0"/>
            <w:vAlign w:val="center"/>
          </w:tcPr>
          <w:p w14:paraId="1EBE72B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0.0053</w:t>
            </w:r>
          </w:p>
        </w:tc>
        <w:tc>
          <w:tcPr>
            <w:tcW w:w="489" w:type="pct"/>
            <w:noWrap w:val="0"/>
            <w:vAlign w:val="center"/>
          </w:tcPr>
          <w:p w14:paraId="0FF2DAF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54BF173C">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Times New Roman" w:cs="Times New Roman"/>
                <w:snapToGrid w:val="0"/>
                <w:color w:val="auto"/>
                <w:kern w:val="21"/>
                <w:szCs w:val="21"/>
                <w:highlight w:val="none"/>
                <w:lang w:val="en-US" w:eastAsia="zh-CN"/>
              </w:rPr>
              <w:t>0.0216</w:t>
            </w:r>
          </w:p>
        </w:tc>
        <w:tc>
          <w:tcPr>
            <w:tcW w:w="687" w:type="pct"/>
            <w:noWrap w:val="0"/>
            <w:vAlign w:val="center"/>
          </w:tcPr>
          <w:p w14:paraId="502A84B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0.0047</w:t>
            </w:r>
          </w:p>
        </w:tc>
        <w:tc>
          <w:tcPr>
            <w:tcW w:w="539" w:type="pct"/>
            <w:noWrap w:val="0"/>
            <w:vAlign w:val="center"/>
          </w:tcPr>
          <w:p w14:paraId="163A5F8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rPr>
            </w:pPr>
            <w:r>
              <w:rPr>
                <w:rFonts w:hint="eastAsia" w:ascii="Times New Roman" w:eastAsia="Times New Roman" w:cs="Times New Roman"/>
                <w:snapToGrid w:val="0"/>
                <w:color w:val="auto"/>
                <w:kern w:val="21"/>
                <w:szCs w:val="21"/>
                <w:highlight w:val="none"/>
                <w:lang w:val="en-US" w:eastAsia="zh-CN"/>
              </w:rPr>
              <w:t>0.0169</w:t>
            </w:r>
          </w:p>
        </w:tc>
        <w:tc>
          <w:tcPr>
            <w:tcW w:w="716" w:type="pct"/>
            <w:noWrap w:val="0"/>
            <w:vAlign w:val="center"/>
          </w:tcPr>
          <w:p w14:paraId="56DC99E6">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+0.0169</w:t>
            </w:r>
          </w:p>
        </w:tc>
      </w:tr>
      <w:tr w14:paraId="2DDC0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5886232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499" w:type="pct"/>
            <w:noWrap w:val="0"/>
            <w:vAlign w:val="center"/>
          </w:tcPr>
          <w:p w14:paraId="0394F3F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highlight w:val="none"/>
                <w:vertAlign w:val="superscript"/>
                <w:lang w:eastAsia="zh-CN"/>
              </w:rPr>
            </w:pPr>
            <w:r>
              <w:rPr>
                <w:rFonts w:hint="eastAsia" w:eastAsia="宋体" w:cs="Times New Roman"/>
                <w:color w:val="auto"/>
                <w:highlight w:val="none"/>
                <w:lang w:eastAsia="zh-CN"/>
              </w:rPr>
              <w:t>总磷</w:t>
            </w:r>
          </w:p>
        </w:tc>
        <w:tc>
          <w:tcPr>
            <w:tcW w:w="687" w:type="pct"/>
            <w:noWrap w:val="0"/>
            <w:vAlign w:val="center"/>
          </w:tcPr>
          <w:p w14:paraId="36E4D28E">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0</w:t>
            </w:r>
          </w:p>
        </w:tc>
        <w:tc>
          <w:tcPr>
            <w:tcW w:w="394" w:type="pct"/>
            <w:noWrap w:val="0"/>
            <w:vAlign w:val="center"/>
          </w:tcPr>
          <w:p w14:paraId="00EB1386">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w:t>
            </w:r>
          </w:p>
        </w:tc>
        <w:tc>
          <w:tcPr>
            <w:tcW w:w="489" w:type="pct"/>
            <w:noWrap w:val="0"/>
            <w:vAlign w:val="center"/>
          </w:tcPr>
          <w:p w14:paraId="16DC064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3C8924E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0.000</w:t>
            </w:r>
            <w:r>
              <w:rPr>
                <w:rFonts w:hint="eastAsia" w:ascii="Times New Roman" w:cs="Times New Roman"/>
                <w:snapToGrid w:val="0"/>
                <w:color w:val="auto"/>
                <w:kern w:val="21"/>
                <w:szCs w:val="21"/>
                <w:highlight w:val="none"/>
                <w:lang w:val="en-US" w:eastAsia="zh-CN"/>
              </w:rPr>
              <w:t>2</w:t>
            </w:r>
          </w:p>
        </w:tc>
        <w:tc>
          <w:tcPr>
            <w:tcW w:w="687" w:type="pct"/>
            <w:noWrap w:val="0"/>
            <w:vAlign w:val="center"/>
          </w:tcPr>
          <w:p w14:paraId="2524C56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6A00FE6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rPr>
            </w:pPr>
            <w:r>
              <w:rPr>
                <w:rFonts w:hint="default" w:ascii="Times New Roman" w:hAnsi="Times New Roman" w:eastAsia="Times New Roman" w:cs="Times New Roman"/>
                <w:snapToGrid w:val="0"/>
                <w:color w:val="auto"/>
                <w:kern w:val="21"/>
                <w:szCs w:val="21"/>
                <w:highlight w:val="none"/>
                <w:lang w:eastAsia="zh-CN"/>
              </w:rPr>
              <w:t>0.0</w:t>
            </w:r>
            <w:r>
              <w:rPr>
                <w:rFonts w:hint="default" w:ascii="Times New Roman" w:hAnsi="Times New Roman" w:eastAsia="Times New Roman" w:cs="Times New Roman"/>
                <w:snapToGrid w:val="0"/>
                <w:color w:val="auto"/>
                <w:kern w:val="21"/>
                <w:szCs w:val="21"/>
                <w:highlight w:val="none"/>
                <w:lang w:val="en-US" w:eastAsia="zh-CN"/>
              </w:rPr>
              <w:t>0</w:t>
            </w:r>
            <w:r>
              <w:rPr>
                <w:rFonts w:hint="eastAsia" w:ascii="Times New Roman" w:eastAsia="Times New Roman" w:cs="Times New Roman"/>
                <w:snapToGrid w:val="0"/>
                <w:color w:val="auto"/>
                <w:kern w:val="21"/>
                <w:szCs w:val="21"/>
                <w:highlight w:val="none"/>
                <w:lang w:val="en-US" w:eastAsia="zh-CN"/>
              </w:rPr>
              <w:t>02</w:t>
            </w:r>
          </w:p>
        </w:tc>
        <w:tc>
          <w:tcPr>
            <w:tcW w:w="716" w:type="pct"/>
            <w:noWrap w:val="0"/>
            <w:vAlign w:val="center"/>
          </w:tcPr>
          <w:p w14:paraId="4BE7A871">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w:t>
            </w:r>
            <w:r>
              <w:rPr>
                <w:rFonts w:hint="default" w:ascii="Times New Roman" w:hAnsi="Times New Roman" w:eastAsia="Times New Roman" w:cs="Times New Roman"/>
                <w:snapToGrid w:val="0"/>
                <w:color w:val="auto"/>
                <w:kern w:val="21"/>
                <w:sz w:val="21"/>
                <w:szCs w:val="21"/>
                <w:highlight w:val="none"/>
                <w:lang w:eastAsia="zh-CN"/>
              </w:rPr>
              <w:t>0.0</w:t>
            </w:r>
            <w:r>
              <w:rPr>
                <w:rFonts w:hint="eastAsia" w:ascii="Times New Roman" w:hAnsi="Times New Roman" w:eastAsia="Times New Roman" w:cs="Times New Roman"/>
                <w:snapToGrid w:val="0"/>
                <w:color w:val="auto"/>
                <w:kern w:val="21"/>
                <w:sz w:val="21"/>
                <w:szCs w:val="21"/>
                <w:highlight w:val="none"/>
                <w:lang w:val="en-US" w:eastAsia="zh-CN"/>
              </w:rPr>
              <w:t>002</w:t>
            </w:r>
          </w:p>
        </w:tc>
      </w:tr>
      <w:tr w14:paraId="7F764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restart"/>
            <w:noWrap w:val="0"/>
            <w:vAlign w:val="center"/>
          </w:tcPr>
          <w:p w14:paraId="75ACC546">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一般工业</w:t>
            </w:r>
          </w:p>
          <w:p w14:paraId="1A45267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固体废物</w:t>
            </w:r>
          </w:p>
        </w:tc>
        <w:tc>
          <w:tcPr>
            <w:tcW w:w="499" w:type="pct"/>
            <w:noWrap w:val="0"/>
            <w:vAlign w:val="center"/>
          </w:tcPr>
          <w:p w14:paraId="104E30B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废包装</w:t>
            </w:r>
          </w:p>
        </w:tc>
        <w:tc>
          <w:tcPr>
            <w:tcW w:w="687" w:type="pct"/>
            <w:noWrap w:val="0"/>
            <w:vAlign w:val="center"/>
          </w:tcPr>
          <w:p w14:paraId="7DCAB5F6">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8</w:t>
            </w:r>
          </w:p>
        </w:tc>
        <w:tc>
          <w:tcPr>
            <w:tcW w:w="394" w:type="pct"/>
            <w:noWrap w:val="0"/>
            <w:vAlign w:val="center"/>
          </w:tcPr>
          <w:p w14:paraId="3E068FC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8</w:t>
            </w:r>
          </w:p>
        </w:tc>
        <w:tc>
          <w:tcPr>
            <w:tcW w:w="489" w:type="pct"/>
            <w:noWrap w:val="0"/>
            <w:vAlign w:val="center"/>
          </w:tcPr>
          <w:p w14:paraId="7C5197C6">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2D44562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15.2521</w:t>
            </w:r>
          </w:p>
        </w:tc>
        <w:tc>
          <w:tcPr>
            <w:tcW w:w="687" w:type="pct"/>
            <w:noWrap w:val="0"/>
            <w:vAlign w:val="center"/>
          </w:tcPr>
          <w:p w14:paraId="521ECAE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048FA11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rPr>
            </w:pPr>
            <w:r>
              <w:rPr>
                <w:rFonts w:hint="eastAsia" w:ascii="Times New Roman" w:cs="Times New Roman"/>
                <w:snapToGrid w:val="0"/>
                <w:color w:val="auto"/>
                <w:kern w:val="21"/>
                <w:szCs w:val="21"/>
                <w:highlight w:val="none"/>
                <w:lang w:val="en-US" w:eastAsia="zh-CN"/>
              </w:rPr>
              <w:t>15.2521</w:t>
            </w:r>
          </w:p>
        </w:tc>
        <w:tc>
          <w:tcPr>
            <w:tcW w:w="716" w:type="pct"/>
            <w:noWrap w:val="0"/>
            <w:vAlign w:val="center"/>
          </w:tcPr>
          <w:p w14:paraId="41A5FAF4">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cs="Times New Roman"/>
                <w:snapToGrid w:val="0"/>
                <w:color w:val="auto"/>
                <w:kern w:val="21"/>
                <w:sz w:val="21"/>
                <w:szCs w:val="21"/>
                <w:highlight w:val="none"/>
                <w:lang w:val="en-US" w:eastAsia="zh-CN"/>
              </w:rPr>
              <w:t>+7.2521</w:t>
            </w:r>
          </w:p>
        </w:tc>
      </w:tr>
      <w:tr w14:paraId="573B8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3E2C4E62">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499" w:type="pct"/>
            <w:noWrap w:val="0"/>
            <w:vAlign w:val="center"/>
          </w:tcPr>
          <w:p w14:paraId="48AD0360">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边角料、不合格产品</w:t>
            </w:r>
          </w:p>
        </w:tc>
        <w:tc>
          <w:tcPr>
            <w:tcW w:w="687" w:type="pct"/>
            <w:noWrap w:val="0"/>
            <w:vAlign w:val="center"/>
          </w:tcPr>
          <w:p w14:paraId="507823D2">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16</w:t>
            </w:r>
          </w:p>
        </w:tc>
        <w:tc>
          <w:tcPr>
            <w:tcW w:w="394" w:type="pct"/>
            <w:noWrap w:val="0"/>
            <w:vAlign w:val="center"/>
          </w:tcPr>
          <w:p w14:paraId="49C80F5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16</w:t>
            </w:r>
          </w:p>
        </w:tc>
        <w:tc>
          <w:tcPr>
            <w:tcW w:w="489" w:type="pct"/>
            <w:noWrap w:val="0"/>
            <w:vAlign w:val="center"/>
          </w:tcPr>
          <w:p w14:paraId="5FBCA45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7335051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19.6663</w:t>
            </w:r>
          </w:p>
        </w:tc>
        <w:tc>
          <w:tcPr>
            <w:tcW w:w="687" w:type="pct"/>
            <w:noWrap w:val="0"/>
            <w:vAlign w:val="center"/>
          </w:tcPr>
          <w:p w14:paraId="1C12582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0FC35AF2">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eastAsia="zh-CN"/>
              </w:rPr>
            </w:pPr>
            <w:r>
              <w:rPr>
                <w:rFonts w:hint="eastAsia" w:ascii="Times New Roman" w:eastAsia="Times New Roman" w:cs="Times New Roman"/>
                <w:snapToGrid w:val="0"/>
                <w:color w:val="auto"/>
                <w:kern w:val="21"/>
                <w:szCs w:val="21"/>
                <w:highlight w:val="none"/>
                <w:lang w:val="en-US" w:eastAsia="zh-CN"/>
              </w:rPr>
              <w:t>19.6663</w:t>
            </w:r>
          </w:p>
        </w:tc>
        <w:tc>
          <w:tcPr>
            <w:tcW w:w="716" w:type="pct"/>
            <w:noWrap w:val="0"/>
            <w:vAlign w:val="center"/>
          </w:tcPr>
          <w:p w14:paraId="08459913">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Times New Roman" w:cs="Times New Roman"/>
                <w:snapToGrid w:val="0"/>
                <w:color w:val="auto"/>
                <w:kern w:val="21"/>
                <w:sz w:val="21"/>
                <w:szCs w:val="21"/>
                <w:highlight w:val="none"/>
                <w:lang w:val="en-US" w:eastAsia="zh-CN"/>
              </w:rPr>
              <w:t>+3.6663</w:t>
            </w:r>
          </w:p>
        </w:tc>
      </w:tr>
      <w:tr w14:paraId="7582A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restart"/>
            <w:noWrap w:val="0"/>
            <w:vAlign w:val="center"/>
          </w:tcPr>
          <w:p w14:paraId="19A8613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危险废物</w:t>
            </w:r>
          </w:p>
        </w:tc>
        <w:tc>
          <w:tcPr>
            <w:tcW w:w="499" w:type="pct"/>
            <w:noWrap w:val="0"/>
            <w:vAlign w:val="center"/>
          </w:tcPr>
          <w:p w14:paraId="7FC7565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废润滑油</w:t>
            </w:r>
            <w:r>
              <w:rPr>
                <w:rFonts w:hint="eastAsia" w:ascii="Times New Roman" w:cs="Times New Roman"/>
                <w:snapToGrid w:val="0"/>
                <w:color w:val="auto"/>
                <w:kern w:val="21"/>
                <w:szCs w:val="21"/>
                <w:highlight w:val="none"/>
                <w:lang w:val="en-US" w:eastAsia="zh-CN"/>
              </w:rPr>
              <w:t>桶</w:t>
            </w:r>
          </w:p>
        </w:tc>
        <w:tc>
          <w:tcPr>
            <w:tcW w:w="687" w:type="pct"/>
            <w:noWrap w:val="0"/>
            <w:vAlign w:val="center"/>
          </w:tcPr>
          <w:p w14:paraId="5F79EF65">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394" w:type="pct"/>
            <w:noWrap w:val="0"/>
            <w:vAlign w:val="center"/>
          </w:tcPr>
          <w:p w14:paraId="5E2261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489" w:type="pct"/>
            <w:noWrap w:val="0"/>
            <w:vAlign w:val="center"/>
          </w:tcPr>
          <w:p w14:paraId="4F4B35E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15DE62C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0.0</w:t>
            </w:r>
            <w:r>
              <w:rPr>
                <w:rFonts w:hint="eastAsia" w:ascii="Times New Roman" w:hAnsi="Times New Roman" w:eastAsia="宋体" w:cs="Times New Roman"/>
                <w:snapToGrid w:val="0"/>
                <w:color w:val="auto"/>
                <w:kern w:val="21"/>
                <w:szCs w:val="21"/>
                <w:highlight w:val="none"/>
                <w:lang w:val="en-US" w:eastAsia="zh-CN"/>
              </w:rPr>
              <w:t>0</w:t>
            </w:r>
            <w:r>
              <w:rPr>
                <w:rFonts w:hint="eastAsia" w:ascii="Times New Roman" w:cs="Times New Roman"/>
                <w:snapToGrid w:val="0"/>
                <w:color w:val="auto"/>
                <w:kern w:val="21"/>
                <w:szCs w:val="21"/>
                <w:highlight w:val="none"/>
                <w:lang w:val="en-US" w:eastAsia="zh-CN"/>
              </w:rPr>
              <w:t>2</w:t>
            </w:r>
          </w:p>
        </w:tc>
        <w:tc>
          <w:tcPr>
            <w:tcW w:w="687" w:type="pct"/>
            <w:noWrap w:val="0"/>
            <w:vAlign w:val="center"/>
          </w:tcPr>
          <w:p w14:paraId="1D3599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437F342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0.0</w:t>
            </w:r>
            <w:r>
              <w:rPr>
                <w:rFonts w:hint="eastAsia" w:ascii="Times New Roman" w:hAnsi="Times New Roman" w:eastAsia="宋体" w:cs="Times New Roman"/>
                <w:snapToGrid w:val="0"/>
                <w:color w:val="auto"/>
                <w:kern w:val="21"/>
                <w:szCs w:val="21"/>
                <w:highlight w:val="none"/>
                <w:lang w:val="en-US" w:eastAsia="zh-CN"/>
              </w:rPr>
              <w:t>0</w:t>
            </w:r>
            <w:r>
              <w:rPr>
                <w:rFonts w:hint="eastAsia" w:ascii="Times New Roman" w:cs="Times New Roman"/>
                <w:snapToGrid w:val="0"/>
                <w:color w:val="auto"/>
                <w:kern w:val="21"/>
                <w:szCs w:val="21"/>
                <w:highlight w:val="none"/>
                <w:lang w:val="en-US" w:eastAsia="zh-CN"/>
              </w:rPr>
              <w:t>2</w:t>
            </w:r>
          </w:p>
        </w:tc>
        <w:tc>
          <w:tcPr>
            <w:tcW w:w="716" w:type="pct"/>
            <w:noWrap w:val="0"/>
            <w:vAlign w:val="center"/>
          </w:tcPr>
          <w:p w14:paraId="450534C1">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snapToGrid w:val="0"/>
                <w:color w:val="auto"/>
                <w:kern w:val="21"/>
                <w:sz w:val="21"/>
                <w:szCs w:val="21"/>
                <w:highlight w:val="none"/>
                <w:lang w:val="en-US" w:eastAsia="zh-CN"/>
              </w:rPr>
            </w:pPr>
            <w:r>
              <w:rPr>
                <w:rFonts w:hint="eastAsia" w:ascii="Times New Roman" w:hAnsi="Times New Roman" w:eastAsia="宋体" w:cs="Times New Roman"/>
                <w:color w:val="auto"/>
                <w:kern w:val="21"/>
                <w:sz w:val="21"/>
                <w:szCs w:val="21"/>
                <w:lang w:val="en-US" w:eastAsia="zh-CN" w:bidi="ar"/>
              </w:rPr>
              <w:t>+0.00</w:t>
            </w:r>
            <w:r>
              <w:rPr>
                <w:rFonts w:hint="eastAsia" w:ascii="Times New Roman" w:hAnsi="Times New Roman" w:cs="Times New Roman"/>
                <w:color w:val="auto"/>
                <w:kern w:val="21"/>
                <w:sz w:val="21"/>
                <w:szCs w:val="21"/>
                <w:lang w:val="en-US" w:eastAsia="zh-CN" w:bidi="ar"/>
              </w:rPr>
              <w:t>2</w:t>
            </w:r>
          </w:p>
        </w:tc>
      </w:tr>
      <w:tr w14:paraId="357EB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04DDF4C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499" w:type="pct"/>
            <w:noWrap w:val="0"/>
            <w:vAlign w:val="center"/>
          </w:tcPr>
          <w:p w14:paraId="67C7BABA">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废活性炭</w:t>
            </w:r>
          </w:p>
        </w:tc>
        <w:tc>
          <w:tcPr>
            <w:tcW w:w="687" w:type="pct"/>
            <w:noWrap w:val="0"/>
            <w:vAlign w:val="center"/>
          </w:tcPr>
          <w:p w14:paraId="084BFF4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eastAsia="宋体" w:cs="Times New Roman"/>
                <w:snapToGrid w:val="0"/>
                <w:color w:val="auto"/>
                <w:kern w:val="21"/>
                <w:szCs w:val="21"/>
                <w:highlight w:val="none"/>
                <w:lang w:val="en-US" w:eastAsia="zh-CN"/>
              </w:rPr>
              <w:t>2.5364</w:t>
            </w:r>
          </w:p>
        </w:tc>
        <w:tc>
          <w:tcPr>
            <w:tcW w:w="394" w:type="pct"/>
            <w:noWrap w:val="0"/>
            <w:vAlign w:val="center"/>
          </w:tcPr>
          <w:p w14:paraId="61F0BDB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2.5364</w:t>
            </w:r>
          </w:p>
        </w:tc>
        <w:tc>
          <w:tcPr>
            <w:tcW w:w="489" w:type="pct"/>
            <w:noWrap w:val="0"/>
            <w:vAlign w:val="center"/>
          </w:tcPr>
          <w:p w14:paraId="5648A61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5AAC6ACB">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napToGrid w:val="0"/>
                <w:color w:val="auto"/>
                <w:kern w:val="21"/>
                <w:szCs w:val="21"/>
                <w:highlight w:val="none"/>
                <w:lang w:val="en-US"/>
              </w:rPr>
            </w:pPr>
            <w:r>
              <w:rPr>
                <w:rFonts w:hint="eastAsia" w:cs="Times New Roman"/>
                <w:snapToGrid w:val="0"/>
                <w:color w:val="auto"/>
                <w:kern w:val="21"/>
                <w:szCs w:val="21"/>
                <w:highlight w:val="none"/>
                <w:lang w:val="en-US" w:eastAsia="zh-CN"/>
              </w:rPr>
              <w:t>2.7142</w:t>
            </w:r>
          </w:p>
        </w:tc>
        <w:tc>
          <w:tcPr>
            <w:tcW w:w="687" w:type="pct"/>
            <w:noWrap w:val="0"/>
            <w:vAlign w:val="center"/>
          </w:tcPr>
          <w:p w14:paraId="6A85062B">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46FA682F">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napToGrid w:val="0"/>
                <w:color w:val="auto"/>
                <w:kern w:val="21"/>
                <w:szCs w:val="21"/>
                <w:highlight w:val="none"/>
                <w:lang w:val="en-US"/>
              </w:rPr>
            </w:pPr>
            <w:r>
              <w:rPr>
                <w:rFonts w:hint="eastAsia" w:cs="Times New Roman"/>
                <w:snapToGrid w:val="0"/>
                <w:color w:val="auto"/>
                <w:kern w:val="21"/>
                <w:szCs w:val="21"/>
                <w:highlight w:val="none"/>
                <w:lang w:val="en-US" w:eastAsia="zh-CN"/>
              </w:rPr>
              <w:t>2.7142</w:t>
            </w:r>
          </w:p>
        </w:tc>
        <w:tc>
          <w:tcPr>
            <w:tcW w:w="716" w:type="pct"/>
            <w:noWrap w:val="0"/>
            <w:vAlign w:val="center"/>
          </w:tcPr>
          <w:p w14:paraId="5090576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+0.1778</w:t>
            </w:r>
          </w:p>
        </w:tc>
      </w:tr>
      <w:tr w14:paraId="114D6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vMerge w:val="continue"/>
            <w:noWrap w:val="0"/>
            <w:vAlign w:val="center"/>
          </w:tcPr>
          <w:p w14:paraId="683638F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p>
        </w:tc>
        <w:tc>
          <w:tcPr>
            <w:tcW w:w="499" w:type="pct"/>
            <w:noWrap w:val="0"/>
            <w:vAlign w:val="center"/>
          </w:tcPr>
          <w:p w14:paraId="78508F09">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eastAsia="zh-CN"/>
              </w:rPr>
            </w:pPr>
            <w:r>
              <w:rPr>
                <w:rFonts w:hint="eastAsia" w:ascii="Times New Roman" w:hAnsi="Times New Roman" w:eastAsia="Times New Roman" w:cs="Times New Roman"/>
                <w:snapToGrid w:val="0"/>
                <w:color w:val="auto"/>
                <w:kern w:val="21"/>
                <w:szCs w:val="21"/>
                <w:highlight w:val="none"/>
                <w:lang w:eastAsia="zh-CN"/>
              </w:rPr>
              <w:t>废催化剂</w:t>
            </w:r>
          </w:p>
        </w:tc>
        <w:tc>
          <w:tcPr>
            <w:tcW w:w="687" w:type="pct"/>
            <w:noWrap w:val="0"/>
            <w:vAlign w:val="center"/>
          </w:tcPr>
          <w:p w14:paraId="51EDA7C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Times New Roman" w:cs="Times New Roman"/>
                <w:snapToGrid w:val="0"/>
                <w:color w:val="auto"/>
                <w:kern w:val="21"/>
                <w:szCs w:val="21"/>
                <w:highlight w:val="none"/>
                <w:lang w:val="en-US" w:eastAsia="zh-CN"/>
              </w:rPr>
              <w:t>/</w:t>
            </w:r>
          </w:p>
        </w:tc>
        <w:tc>
          <w:tcPr>
            <w:tcW w:w="394" w:type="pct"/>
            <w:noWrap w:val="0"/>
            <w:vAlign w:val="center"/>
          </w:tcPr>
          <w:p w14:paraId="303CCDBD">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w:t>
            </w:r>
          </w:p>
        </w:tc>
        <w:tc>
          <w:tcPr>
            <w:tcW w:w="489" w:type="pct"/>
            <w:noWrap w:val="0"/>
            <w:vAlign w:val="center"/>
          </w:tcPr>
          <w:p w14:paraId="6B009294">
            <w:pPr>
              <w:pStyle w:val="60"/>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w:t>
            </w:r>
          </w:p>
        </w:tc>
        <w:tc>
          <w:tcPr>
            <w:tcW w:w="568" w:type="pct"/>
            <w:noWrap w:val="0"/>
            <w:vAlign w:val="center"/>
          </w:tcPr>
          <w:p w14:paraId="5D2D6D6D">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napToGrid w:val="0"/>
                <w:color w:val="auto"/>
                <w:kern w:val="21"/>
                <w:szCs w:val="21"/>
                <w:highlight w:val="none"/>
                <w:lang w:val="en-US" w:eastAsia="zh-CN"/>
              </w:rPr>
            </w:pPr>
            <w:r>
              <w:rPr>
                <w:rFonts w:hint="eastAsia" w:ascii="Times New Roman" w:hAnsi="Times New Roman" w:eastAsia="Times New Roman" w:cs="Times New Roman"/>
                <w:snapToGrid w:val="0"/>
                <w:color w:val="auto"/>
                <w:kern w:val="21"/>
                <w:szCs w:val="21"/>
                <w:highlight w:val="none"/>
                <w:lang w:val="en-US" w:eastAsia="zh-CN"/>
              </w:rPr>
              <w:t>0.</w:t>
            </w:r>
            <w:r>
              <w:rPr>
                <w:rFonts w:hint="eastAsia" w:eastAsia="Times New Roman" w:cs="Times New Roman"/>
                <w:snapToGrid w:val="0"/>
                <w:color w:val="auto"/>
                <w:kern w:val="21"/>
                <w:szCs w:val="21"/>
                <w:highlight w:val="none"/>
                <w:lang w:val="en-US" w:eastAsia="zh-CN"/>
              </w:rPr>
              <w:t>02</w:t>
            </w:r>
          </w:p>
        </w:tc>
        <w:tc>
          <w:tcPr>
            <w:tcW w:w="687" w:type="pct"/>
            <w:noWrap w:val="0"/>
            <w:vAlign w:val="center"/>
          </w:tcPr>
          <w:p w14:paraId="32D907D3">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Times New Roman" w:cs="Times New Roman"/>
                <w:snapToGrid w:val="0"/>
                <w:color w:val="auto"/>
                <w:kern w:val="21"/>
                <w:szCs w:val="21"/>
                <w:highlight w:val="none"/>
                <w:lang w:val="en-US" w:eastAsia="zh-CN"/>
              </w:rPr>
              <w:t>/</w:t>
            </w:r>
          </w:p>
        </w:tc>
        <w:tc>
          <w:tcPr>
            <w:tcW w:w="539" w:type="pct"/>
            <w:noWrap w:val="0"/>
            <w:vAlign w:val="center"/>
          </w:tcPr>
          <w:p w14:paraId="4FBC57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Times New Roman" w:cs="Times New Roman"/>
                <w:snapToGrid w:val="0"/>
                <w:color w:val="auto"/>
                <w:kern w:val="21"/>
                <w:szCs w:val="21"/>
                <w:highlight w:val="none"/>
                <w:lang w:val="en-US" w:eastAsia="zh-CN"/>
              </w:rPr>
              <w:t>0.</w:t>
            </w:r>
            <w:r>
              <w:rPr>
                <w:rFonts w:hint="eastAsia" w:eastAsia="Times New Roman" w:cs="Times New Roman"/>
                <w:snapToGrid w:val="0"/>
                <w:color w:val="auto"/>
                <w:kern w:val="21"/>
                <w:szCs w:val="21"/>
                <w:highlight w:val="none"/>
                <w:lang w:val="en-US" w:eastAsia="zh-CN"/>
              </w:rPr>
              <w:t>02</w:t>
            </w:r>
          </w:p>
        </w:tc>
        <w:tc>
          <w:tcPr>
            <w:tcW w:w="716" w:type="pct"/>
            <w:noWrap w:val="0"/>
            <w:vAlign w:val="center"/>
          </w:tcPr>
          <w:p w14:paraId="2EEEA0C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1"/>
                <w:sz w:val="21"/>
                <w:szCs w:val="21"/>
                <w:lang w:val="en-US" w:eastAsia="zh-CN" w:bidi="ar"/>
              </w:rPr>
            </w:pPr>
            <w:r>
              <w:rPr>
                <w:rFonts w:hint="eastAsia" w:ascii="Times New Roman" w:hAnsi="Times New Roman" w:eastAsia="宋体" w:cs="Times New Roman"/>
                <w:color w:val="auto"/>
                <w:kern w:val="21"/>
                <w:sz w:val="21"/>
                <w:szCs w:val="21"/>
                <w:lang w:val="en-US" w:eastAsia="zh-CN" w:bidi="ar"/>
              </w:rPr>
              <w:t>+0.</w:t>
            </w:r>
            <w:r>
              <w:rPr>
                <w:rFonts w:hint="eastAsia" w:cs="Times New Roman"/>
                <w:color w:val="auto"/>
                <w:kern w:val="21"/>
                <w:sz w:val="21"/>
                <w:szCs w:val="21"/>
                <w:lang w:val="en-US" w:eastAsia="zh-CN" w:bidi="ar"/>
              </w:rPr>
              <w:t>02</w:t>
            </w:r>
          </w:p>
        </w:tc>
      </w:tr>
      <w:tr w14:paraId="23486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pct"/>
            <w:noWrap w:val="0"/>
            <w:vAlign w:val="center"/>
          </w:tcPr>
          <w:p w14:paraId="196FFE2E">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Times New Roman" w:cs="Times New Roman"/>
                <w:snapToGrid w:val="0"/>
                <w:color w:val="auto"/>
                <w:kern w:val="21"/>
                <w:szCs w:val="21"/>
                <w:highlight w:val="none"/>
                <w:lang w:val="en-US" w:eastAsia="zh-CN"/>
              </w:rPr>
              <w:t>其他</w:t>
            </w:r>
          </w:p>
        </w:tc>
        <w:tc>
          <w:tcPr>
            <w:tcW w:w="499" w:type="pct"/>
            <w:noWrap w:val="0"/>
            <w:vAlign w:val="center"/>
          </w:tcPr>
          <w:p w14:paraId="7C85B07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生活垃圾</w:t>
            </w:r>
          </w:p>
        </w:tc>
        <w:tc>
          <w:tcPr>
            <w:tcW w:w="687" w:type="pct"/>
            <w:noWrap w:val="0"/>
            <w:vAlign w:val="center"/>
          </w:tcPr>
          <w:p w14:paraId="0F390287">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3</w:t>
            </w:r>
          </w:p>
        </w:tc>
        <w:tc>
          <w:tcPr>
            <w:tcW w:w="394" w:type="pct"/>
            <w:noWrap w:val="0"/>
            <w:vAlign w:val="center"/>
          </w:tcPr>
          <w:p w14:paraId="67AE9E44">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eastAsia" w:ascii="Times New Roman" w:eastAsia="Times New Roman" w:cs="Times New Roman"/>
                <w:snapToGrid w:val="0"/>
                <w:color w:val="auto"/>
                <w:kern w:val="21"/>
                <w:sz w:val="21"/>
                <w:szCs w:val="21"/>
                <w:highlight w:val="none"/>
                <w:lang w:val="en-US" w:eastAsia="zh-CN" w:bidi="ar-SA"/>
              </w:rPr>
              <w:t>3</w:t>
            </w:r>
          </w:p>
        </w:tc>
        <w:tc>
          <w:tcPr>
            <w:tcW w:w="489" w:type="pct"/>
            <w:noWrap w:val="0"/>
            <w:vAlign w:val="center"/>
          </w:tcPr>
          <w:p w14:paraId="44970699">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 w:val="21"/>
                <w:szCs w:val="21"/>
                <w:highlight w:val="none"/>
                <w:lang w:val="en-US" w:eastAsia="zh-CN" w:bidi="ar-SA"/>
              </w:rPr>
            </w:pPr>
            <w:r>
              <w:rPr>
                <w:rFonts w:hint="default" w:ascii="Times New Roman" w:hAnsi="Times New Roman" w:eastAsia="Times New Roman" w:cs="Times New Roman"/>
                <w:snapToGrid w:val="0"/>
                <w:color w:val="auto"/>
                <w:kern w:val="21"/>
                <w:szCs w:val="21"/>
                <w:highlight w:val="none"/>
              </w:rPr>
              <w:t>/</w:t>
            </w:r>
          </w:p>
        </w:tc>
        <w:tc>
          <w:tcPr>
            <w:tcW w:w="568" w:type="pct"/>
            <w:noWrap w:val="0"/>
            <w:vAlign w:val="center"/>
          </w:tcPr>
          <w:p w14:paraId="12F9D48D">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3</w:t>
            </w:r>
          </w:p>
        </w:tc>
        <w:tc>
          <w:tcPr>
            <w:tcW w:w="687" w:type="pct"/>
            <w:noWrap w:val="0"/>
            <w:vAlign w:val="center"/>
          </w:tcPr>
          <w:p w14:paraId="601AD758">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snapToGrid w:val="0"/>
                <w:color w:val="auto"/>
                <w:kern w:val="21"/>
                <w:szCs w:val="21"/>
                <w:highlight w:val="none"/>
              </w:rPr>
            </w:pPr>
            <w:r>
              <w:rPr>
                <w:rFonts w:hint="default" w:ascii="Times New Roman" w:hAnsi="Times New Roman" w:eastAsia="Times New Roman" w:cs="Times New Roman"/>
                <w:snapToGrid w:val="0"/>
                <w:color w:val="auto"/>
                <w:kern w:val="21"/>
                <w:szCs w:val="21"/>
                <w:highlight w:val="none"/>
              </w:rPr>
              <w:t>/</w:t>
            </w:r>
          </w:p>
        </w:tc>
        <w:tc>
          <w:tcPr>
            <w:tcW w:w="539" w:type="pct"/>
            <w:noWrap w:val="0"/>
            <w:vAlign w:val="center"/>
          </w:tcPr>
          <w:p w14:paraId="56E4982F">
            <w:pPr>
              <w:pStyle w:val="60"/>
              <w:keepNext w:val="0"/>
              <w:keepLines w:val="0"/>
              <w:suppressLineNumbers w:val="0"/>
              <w:spacing w:before="0" w:beforeLines="0" w:beforeAutospacing="0" w:after="0" w:afterLines="0" w:afterAutospacing="0" w:line="240" w:lineRule="auto"/>
              <w:ind w:left="0" w:right="0"/>
              <w:rPr>
                <w:rFonts w:hint="default" w:ascii="Times New Roman" w:hAnsi="Times New Roman" w:eastAsia="Times New Roman" w:cs="Times New Roman"/>
                <w:color w:val="auto"/>
                <w:sz w:val="21"/>
                <w:szCs w:val="21"/>
                <w:highlight w:val="none"/>
                <w:lang w:val="en-US" w:eastAsia="zh-CN"/>
              </w:rPr>
            </w:pPr>
            <w:r>
              <w:rPr>
                <w:rFonts w:hint="eastAsia" w:ascii="Times New Roman" w:cs="Times New Roman"/>
                <w:snapToGrid w:val="0"/>
                <w:color w:val="auto"/>
                <w:kern w:val="21"/>
                <w:szCs w:val="21"/>
                <w:highlight w:val="none"/>
                <w:lang w:val="en-US" w:eastAsia="zh-CN"/>
              </w:rPr>
              <w:t>3</w:t>
            </w:r>
          </w:p>
        </w:tc>
        <w:tc>
          <w:tcPr>
            <w:tcW w:w="716" w:type="pct"/>
            <w:noWrap w:val="0"/>
            <w:vAlign w:val="center"/>
          </w:tcPr>
          <w:p w14:paraId="595CEF4D">
            <w:pPr>
              <w:pStyle w:val="23"/>
              <w:keepNext w:val="0"/>
              <w:keepLines w:val="0"/>
              <w:widowControl w:val="0"/>
              <w:suppressLineNumbers w:val="0"/>
              <w:adjustRightInd w:val="0"/>
              <w:snapToGrid w:val="0"/>
              <w:spacing w:before="0" w:beforeLines="0" w:beforeAutospacing="0" w:after="0" w:afterLines="0" w:afterAutospacing="0" w:line="252" w:lineRule="auto"/>
              <w:ind w:left="0" w:leftChars="0" w:right="0" w:rightChars="0"/>
              <w:jc w:val="center"/>
              <w:rPr>
                <w:rFonts w:hint="default" w:ascii="Times New Roman" w:hAnsi="Times New Roman" w:eastAsia="Times New Roman" w:cs="Times New Roman"/>
                <w:color w:val="auto"/>
                <w:sz w:val="21"/>
                <w:szCs w:val="21"/>
                <w:highlight w:val="none"/>
                <w:lang w:val="en-US" w:eastAsia="zh-CN"/>
              </w:rPr>
            </w:pPr>
            <w:r>
              <w:rPr>
                <w:rFonts w:hint="eastAsia" w:ascii="Times New Roman" w:hAnsi="Times New Roman" w:eastAsia="Times New Roman" w:cs="Times New Roman"/>
                <w:color w:val="auto"/>
                <w:sz w:val="21"/>
                <w:szCs w:val="21"/>
                <w:highlight w:val="none"/>
                <w:lang w:val="en-US" w:eastAsia="zh-CN"/>
              </w:rPr>
              <w:t>/</w:t>
            </w:r>
          </w:p>
        </w:tc>
      </w:tr>
    </w:tbl>
    <w:p w14:paraId="4DE6BC1F">
      <w:pPr>
        <w:pStyle w:val="60"/>
        <w:spacing w:before="192" w:beforeLines="80" w:after="24"/>
        <w:jc w:val="left"/>
        <w:rPr>
          <w:rFonts w:hint="eastAsia" w:ascii="Times New Roman" w:hAnsi="Times New Roman" w:eastAsia="宋体" w:cs="Times New Roman"/>
          <w:snapToGrid w:val="0"/>
          <w:color w:val="auto"/>
          <w:kern w:val="21"/>
          <w:highlight w:val="none"/>
          <w:lang w:val="en-US" w:eastAsia="zh-CN"/>
        </w:rPr>
      </w:pPr>
      <w:r>
        <w:rPr>
          <w:rFonts w:hint="default" w:ascii="Times New Roman" w:hAnsi="Times New Roman" w:cs="Times New Roman"/>
          <w:snapToGrid w:val="0"/>
          <w:color w:val="auto"/>
          <w:kern w:val="21"/>
          <w:highlight w:val="none"/>
        </w:rPr>
        <w:t>注：</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6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⑥</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1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3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③</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4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④</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5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⑤</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7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⑦</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6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⑥</w:t>
      </w:r>
      <w:r>
        <w:rPr>
          <w:rFonts w:hint="default" w:ascii="Times New Roman" w:hAnsi="Times New Roman" w:cs="Times New Roman"/>
          <w:snapToGrid w:val="0"/>
          <w:color w:val="auto"/>
          <w:kern w:val="21"/>
          <w:highlight w:val="none"/>
        </w:rPr>
        <w:fldChar w:fldCharType="end"/>
      </w:r>
      <w:r>
        <w:rPr>
          <w:rFonts w:hint="default" w:ascii="Times New Roman" w:hAnsi="Times New Roman" w:cs="Times New Roman"/>
          <w:snapToGrid w:val="0"/>
          <w:color w:val="auto"/>
          <w:kern w:val="21"/>
          <w:highlight w:val="none"/>
        </w:rPr>
        <w:t>-</w:t>
      </w:r>
      <w:r>
        <w:rPr>
          <w:rFonts w:hint="default" w:ascii="Times New Roman" w:hAnsi="Times New Roman" w:cs="Times New Roman"/>
          <w:snapToGrid w:val="0"/>
          <w:color w:val="auto"/>
          <w:kern w:val="21"/>
          <w:highlight w:val="none"/>
        </w:rPr>
        <w:fldChar w:fldCharType="begin"/>
      </w:r>
      <w:r>
        <w:rPr>
          <w:rFonts w:hint="default" w:ascii="Times New Roman" w:hAnsi="Times New Roman" w:cs="Times New Roman"/>
          <w:snapToGrid w:val="0"/>
          <w:color w:val="auto"/>
          <w:kern w:val="21"/>
          <w:highlight w:val="none"/>
        </w:rPr>
        <w:instrText xml:space="preserve"> = 1 \* GB3 \* MERGEFORMAT </w:instrText>
      </w:r>
      <w:r>
        <w:rPr>
          <w:rFonts w:hint="default" w:ascii="Times New Roman" w:hAnsi="Times New Roman" w:cs="Times New Roman"/>
          <w:snapToGrid w:val="0"/>
          <w:color w:val="auto"/>
          <w:kern w:val="21"/>
          <w:highlight w:val="none"/>
        </w:rPr>
        <w:fldChar w:fldCharType="separate"/>
      </w:r>
      <w:r>
        <w:rPr>
          <w:rFonts w:hint="default" w:ascii="Times New Roman" w:hAnsi="Times New Roman" w:cs="Times New Roman"/>
          <w:color w:val="auto"/>
          <w:highlight w:val="none"/>
        </w:rPr>
        <w:t>①</w:t>
      </w:r>
      <w:r>
        <w:rPr>
          <w:rFonts w:hint="default" w:ascii="Times New Roman" w:hAnsi="Times New Roman" w:cs="Times New Roman"/>
          <w:snapToGrid w:val="0"/>
          <w:color w:val="auto"/>
          <w:kern w:val="21"/>
          <w:highlight w:val="none"/>
        </w:rPr>
        <w:fldChar w:fldCharType="end"/>
      </w:r>
    </w:p>
    <w:sectPr>
      <w:pgSz w:w="16838" w:h="11905" w:orient="landscape"/>
      <w:pgMar w:top="1501" w:right="1417" w:bottom="1417" w:left="1417" w:header="851" w:footer="1077" w:gutter="0"/>
      <w:pgBorders w:offsetFrom="page">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Helvetica">
    <w:panose1 w:val="020B0604020202030204"/>
    <w:charset w:val="00"/>
    <w:family w:val="auto"/>
    <w:pitch w:val="default"/>
    <w:sig w:usb0="00000000" w:usb1="00000000" w:usb2="00000000" w:usb3="00000000" w:csb0="00000093"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7714">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3</w:t>
    </w:r>
    <w:r>
      <w:fldChar w:fldCharType="end"/>
    </w:r>
  </w:p>
  <w:p w14:paraId="116A8DFC">
    <w:pPr>
      <w:pStyle w:val="18"/>
      <w:framePr w:wrap="around" w:vAnchor="text" w:hAnchor="margin" w:xAlign="center" w:y="1"/>
      <w:rPr>
        <w:rStyle w:val="31"/>
      </w:rPr>
    </w:pPr>
  </w:p>
  <w:p w14:paraId="3B3010FB">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868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2D7C">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2621">
    <w:pPr>
      <w:pStyle w:val="18"/>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E3D6DA">
                          <w:pPr>
                            <w:pStyle w:val="18"/>
                            <w:rPr>
                              <w:rStyle w:val="31"/>
                            </w:rPr>
                          </w:pPr>
                          <w:r>
                            <w:fldChar w:fldCharType="begin"/>
                          </w:r>
                          <w:r>
                            <w:rPr>
                              <w:rStyle w:val="31"/>
                            </w:rPr>
                            <w:instrText xml:space="preserve">PAGE  </w:instrText>
                          </w:r>
                          <w:r>
                            <w:fldChar w:fldCharType="separate"/>
                          </w:r>
                          <w:r>
                            <w:rPr>
                              <w:rStyle w:val="31"/>
                            </w:rPr>
                            <w:t>36</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4JEGsgBAACa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fVlT4rjFiV++f7v8+HX5+ZXU&#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eCRBrIAQAAmgMAAA4AAAAAAAAAAQAgAAAAHgEAAGRycy9lMm9Eb2Mu&#10;eG1sUEsFBgAAAAAGAAYAWQEAAFgFAAAAAA==&#10;">
              <v:fill on="f" focussize="0,0"/>
              <v:stroke on="f"/>
              <v:imagedata o:title=""/>
              <o:lock v:ext="edit" aspectratio="f"/>
              <v:textbox inset="0mm,0mm,0mm,0mm" style="mso-fit-shape-to-text:t;">
                <w:txbxContent>
                  <w:p w14:paraId="33E3D6DA">
                    <w:pPr>
                      <w:pStyle w:val="18"/>
                      <w:rPr>
                        <w:rStyle w:val="31"/>
                      </w:rPr>
                    </w:pPr>
                    <w:r>
                      <w:fldChar w:fldCharType="begin"/>
                    </w:r>
                    <w:r>
                      <w:rPr>
                        <w:rStyle w:val="31"/>
                      </w:rPr>
                      <w:instrText xml:space="preserve">PAGE  </w:instrText>
                    </w:r>
                    <w:r>
                      <w:fldChar w:fldCharType="separate"/>
                    </w:r>
                    <w:r>
                      <w:rPr>
                        <w:rStyle w:val="31"/>
                      </w:rP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2DA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FC283">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trGMwBAACd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OaGEsctTvzy/dvlx6/Lz69k&#10;Wa1us0R9gBozHwLmpuGNH3BxZj+gMzMfVLT5i5wIxlHg81VgOSQi8qP1ar2uMCQwNl8Qnz0+DxHS&#10;W+ktyUZDI06wCMtP7yGNqXNKrub8vTamTNG4vxyImT0s9z72mK007IeJ0N63Z+TT4/Ab6nDXKTHv&#10;HGqb92Q24mzsZ+MYoj50ZZFyPQivjwmbKL3lCiPsVBinVthNG5bX4s97yXr8q7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Iy2sYzAEAAJ0DAAAOAAAAAAAAAAEAIAAAAB4BAABkcnMvZTJv&#10;RG9jLnhtbFBLBQYAAAAABgAGAFkBAABcBQAAAAA=&#10;">
              <v:fill on="f" focussize="0,0"/>
              <v:stroke on="f"/>
              <v:imagedata o:title=""/>
              <o:lock v:ext="edit" aspectratio="f"/>
              <v:textbox inset="0mm,0mm,0mm,0mm" style="mso-fit-shape-to-text:t;">
                <w:txbxContent>
                  <w:p w14:paraId="6CEFC28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896A">
    <w:pPr>
      <w:pStyle w:val="18"/>
      <w:rPr>
        <w:rStyle w:val="31"/>
        <w:szCs w:val="18"/>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1B4F2">
                          <w:pPr>
                            <w:pStyle w:val="18"/>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uBbswBAACdAwAADgAAAGRycy9lMm9Eb2MueG1srVPNjtMwEL4j7TtY&#10;vm+ddhG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Ob15RYbnDi5+/fzj9+nX9+&#10;JctiVSaJeg8VZj54zI3DOzfg4sx+QGdiPrTBpC9yIhhHgU8XgeUQiUiPylVZFhgSGJsviM+envsA&#10;8V46Q5JR04ATzMLy4weIY+qckqpZd6e0zlPU9i8HYiYPS72PPSYrDrthIrRzzQn59Dj8mlrcdUr0&#10;e4vapj2ZjTAbu9k4+KD2XV6kVA/820PEJnJvqcIIOxXGqWV204altfjznrO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1i4FuzAEAAJ0DAAAOAAAAAAAAAAEAIAAAAB4BAABkcnMvZTJv&#10;RG9jLnhtbFBLBQYAAAAABgAGAFkBAABcBQAAAAA=&#10;">
              <v:fill on="f" focussize="0,0"/>
              <v:stroke on="f"/>
              <v:imagedata o:title=""/>
              <o:lock v:ext="edit" aspectratio="f"/>
              <v:textbox inset="0mm,0mm,0mm,0mm" style="mso-fit-shape-to-text:t;">
                <w:txbxContent>
                  <w:p w14:paraId="7201B4F2">
                    <w:pPr>
                      <w:pStyle w:val="18"/>
                    </w:pPr>
                    <w:r>
                      <w:fldChar w:fldCharType="begin"/>
                    </w:r>
                    <w:r>
                      <w:instrText xml:space="preserve"> PAGE  \* MERGEFORMAT </w:instrText>
                    </w:r>
                    <w:r>
                      <w:fldChar w:fldCharType="separate"/>
                    </w:r>
                    <w:r>
                      <w:t>66</w:t>
                    </w:r>
                    <w:r>
                      <w:fldChar w:fldCharType="end"/>
                    </w:r>
                  </w:p>
                </w:txbxContent>
              </v:textbox>
            </v:shape>
          </w:pict>
        </mc:Fallback>
      </mc:AlternateContent>
    </w:r>
    <w:r>
      <w:rPr>
        <w:rStyle w:val="31"/>
        <w:rFonts w:hint="eastAsia" w:ascii="宋体" w:hAnsi="宋体"/>
        <w:sz w:val="20"/>
      </w:rPr>
      <w:t xml:space="preserve"> </w:t>
    </w:r>
  </w:p>
  <w:p w14:paraId="6BAEE458">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11DD2"/>
    <w:multiLevelType w:val="singleLevel"/>
    <w:tmpl w:val="8E611DD2"/>
    <w:lvl w:ilvl="0" w:tentative="0">
      <w:start w:val="1"/>
      <w:numFmt w:val="decimal"/>
      <w:suff w:val="nothing"/>
      <w:lvlText w:val="（%1）"/>
      <w:lvlJc w:val="left"/>
    </w:lvl>
  </w:abstractNum>
  <w:abstractNum w:abstractNumId="1">
    <w:nsid w:val="E32ABBBB"/>
    <w:multiLevelType w:val="singleLevel"/>
    <w:tmpl w:val="E32ABBBB"/>
    <w:lvl w:ilvl="0" w:tentative="0">
      <w:start w:val="1"/>
      <w:numFmt w:val="decimal"/>
      <w:suff w:val="nothing"/>
      <w:lvlText w:val="%1、"/>
      <w:lvlJc w:val="left"/>
    </w:lvl>
  </w:abstractNum>
  <w:abstractNum w:abstractNumId="2">
    <w:nsid w:val="FBAA3D34"/>
    <w:multiLevelType w:val="singleLevel"/>
    <w:tmpl w:val="FBAA3D34"/>
    <w:lvl w:ilvl="0" w:tentative="0">
      <w:start w:val="2"/>
      <w:numFmt w:val="decimal"/>
      <w:lvlText w:val="%1."/>
      <w:lvlJc w:val="left"/>
      <w:pPr>
        <w:tabs>
          <w:tab w:val="left" w:pos="312"/>
        </w:tabs>
      </w:pPr>
    </w:lvl>
  </w:abstractNum>
  <w:abstractNum w:abstractNumId="3">
    <w:nsid w:val="00000015"/>
    <w:multiLevelType w:val="multilevel"/>
    <w:tmpl w:val="00000015"/>
    <w:lvl w:ilvl="0" w:tentative="0">
      <w:start w:val="1"/>
      <w:numFmt w:val="decimal"/>
      <w:suff w:val="space"/>
      <w:lvlText w:val="%1"/>
      <w:lvlJc w:val="left"/>
      <w:pPr>
        <w:ind w:left="0" w:firstLine="0"/>
      </w:pPr>
      <w:rPr>
        <w:rFonts w:hint="eastAsia" w:ascii="黑体" w:hAnsi="Times New Roman" w:eastAsia="黑体"/>
        <w:b/>
        <w:i w:val="0"/>
        <w:sz w:val="32"/>
        <w:szCs w:val="32"/>
      </w:rPr>
    </w:lvl>
    <w:lvl w:ilvl="1" w:tentative="0">
      <w:start w:val="2"/>
      <w:numFmt w:val="decimal"/>
      <w:pStyle w:val="3"/>
      <w:suff w:val="space"/>
      <w:lvlText w:val="%1.%2"/>
      <w:lvlJc w:val="left"/>
      <w:pPr>
        <w:ind w:left="0" w:firstLine="0"/>
      </w:pPr>
      <w:rPr>
        <w:rFonts w:ascii="黑体" w:hAnsi="黑体" w:eastAsia="黑体"/>
        <w:sz w:val="28"/>
        <w:szCs w:val="28"/>
      </w:rPr>
    </w:lvl>
    <w:lvl w:ilvl="2" w:tentative="0">
      <w:start w:val="1"/>
      <w:numFmt w:val="decimal"/>
      <w:suff w:val="space"/>
      <w:lvlText w:val="%1.%2.%3"/>
      <w:lvlJc w:val="left"/>
      <w:pPr>
        <w:ind w:left="710" w:firstLine="0"/>
      </w:pPr>
      <w:rPr>
        <w:rFonts w:hint="default" w:ascii="宋体" w:hAnsi="宋体" w:eastAsia="宋体"/>
        <w:b/>
        <w:i w:val="0"/>
        <w:caps w:val="0"/>
        <w:strike w:val="0"/>
        <w:dstrike w:val="0"/>
        <w:outline w:val="0"/>
        <w:shadow w:val="0"/>
        <w:emboss w:val="0"/>
        <w:imprint w:val="0"/>
        <w:snapToGrid w:val="0"/>
        <w:vanish w:val="0"/>
        <w:color w:val="auto"/>
        <w:kern w:val="0"/>
        <w:sz w:val="24"/>
        <w:szCs w:val="24"/>
        <w:u w:val="none"/>
        <w:vertAlign w:val="baseline"/>
      </w:rPr>
    </w:lvl>
    <w:lvl w:ilvl="3" w:tentative="0">
      <w:start w:val="1"/>
      <w:numFmt w:val="decimal"/>
      <w:lvlText w:val="%1.%2.%3.%4"/>
      <w:lvlJc w:val="left"/>
      <w:pPr>
        <w:tabs>
          <w:tab w:val="left" w:pos="1571"/>
        </w:tabs>
        <w:ind w:left="1571" w:hanging="851"/>
      </w:pPr>
      <w:rPr>
        <w:rFonts w:hint="default" w:ascii="Times New Roman" w:hAnsi="Times New Roman"/>
        <w:b w:val="0"/>
        <w:i w:val="0"/>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782F626D"/>
    <w:multiLevelType w:val="singleLevel"/>
    <w:tmpl w:val="782F626D"/>
    <w:lvl w:ilvl="0" w:tentative="0">
      <w:start w:val="18"/>
      <w:numFmt w:val="decimal"/>
      <w:lvlText w:val="%1."/>
      <w:lvlJc w:val="left"/>
      <w:pPr>
        <w:tabs>
          <w:tab w:val="left" w:pos="312"/>
        </w:tabs>
      </w:pPr>
    </w:lvl>
  </w:abstractNum>
  <w:abstractNum w:abstractNumId="5">
    <w:nsid w:val="7CC1483F"/>
    <w:multiLevelType w:val="multilevel"/>
    <w:tmpl w:val="7CC1483F"/>
    <w:lvl w:ilvl="0" w:tentative="0">
      <w:start w:val="1"/>
      <w:numFmt w:val="decimal"/>
      <w:pStyle w:val="81"/>
      <w:lvlText w:val="表%1"/>
      <w:lvlJc w:val="left"/>
      <w:pPr>
        <w:ind w:left="420" w:hanging="420"/>
      </w:pPr>
      <w:rPr>
        <w:rFonts w:hint="eastAsia"/>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NzVmNjAzOTliOWNjY2Y4OWE4YTgyZjYxNzVjMmYifQ=="/>
  </w:docVars>
  <w:rsids>
    <w:rsidRoot w:val="00172A27"/>
    <w:rsid w:val="00000CA5"/>
    <w:rsid w:val="00000D56"/>
    <w:rsid w:val="00001C73"/>
    <w:rsid w:val="00002C64"/>
    <w:rsid w:val="000056D9"/>
    <w:rsid w:val="000060B3"/>
    <w:rsid w:val="0000647C"/>
    <w:rsid w:val="00010EC5"/>
    <w:rsid w:val="0001151B"/>
    <w:rsid w:val="00011A1C"/>
    <w:rsid w:val="00011F19"/>
    <w:rsid w:val="00013FE6"/>
    <w:rsid w:val="00014BC8"/>
    <w:rsid w:val="0001527D"/>
    <w:rsid w:val="00015897"/>
    <w:rsid w:val="000159D8"/>
    <w:rsid w:val="0001712D"/>
    <w:rsid w:val="0001786C"/>
    <w:rsid w:val="000178D3"/>
    <w:rsid w:val="00017CD8"/>
    <w:rsid w:val="00017F74"/>
    <w:rsid w:val="00020A11"/>
    <w:rsid w:val="00021EE8"/>
    <w:rsid w:val="00024B32"/>
    <w:rsid w:val="00025119"/>
    <w:rsid w:val="00033D92"/>
    <w:rsid w:val="0003563F"/>
    <w:rsid w:val="0003606D"/>
    <w:rsid w:val="00037449"/>
    <w:rsid w:val="0004106E"/>
    <w:rsid w:val="0004364B"/>
    <w:rsid w:val="0004396A"/>
    <w:rsid w:val="000440BF"/>
    <w:rsid w:val="00046730"/>
    <w:rsid w:val="00046734"/>
    <w:rsid w:val="00047DCF"/>
    <w:rsid w:val="000501DA"/>
    <w:rsid w:val="000509F7"/>
    <w:rsid w:val="00051123"/>
    <w:rsid w:val="0005206C"/>
    <w:rsid w:val="00054D38"/>
    <w:rsid w:val="0005690B"/>
    <w:rsid w:val="00057C65"/>
    <w:rsid w:val="00060C57"/>
    <w:rsid w:val="00061444"/>
    <w:rsid w:val="00061697"/>
    <w:rsid w:val="00061B1F"/>
    <w:rsid w:val="000622B1"/>
    <w:rsid w:val="00063265"/>
    <w:rsid w:val="0006354F"/>
    <w:rsid w:val="00065B22"/>
    <w:rsid w:val="00066C68"/>
    <w:rsid w:val="00070234"/>
    <w:rsid w:val="00070946"/>
    <w:rsid w:val="00070B18"/>
    <w:rsid w:val="0007262C"/>
    <w:rsid w:val="000733C4"/>
    <w:rsid w:val="000734B6"/>
    <w:rsid w:val="000741D4"/>
    <w:rsid w:val="00074783"/>
    <w:rsid w:val="00075A2B"/>
    <w:rsid w:val="00075B7B"/>
    <w:rsid w:val="000764DB"/>
    <w:rsid w:val="000765EF"/>
    <w:rsid w:val="0007737D"/>
    <w:rsid w:val="0008070B"/>
    <w:rsid w:val="00080755"/>
    <w:rsid w:val="000810AC"/>
    <w:rsid w:val="0008123A"/>
    <w:rsid w:val="00081A02"/>
    <w:rsid w:val="00082231"/>
    <w:rsid w:val="0008223F"/>
    <w:rsid w:val="00084F6B"/>
    <w:rsid w:val="00086BB4"/>
    <w:rsid w:val="000879D6"/>
    <w:rsid w:val="00090398"/>
    <w:rsid w:val="0009055E"/>
    <w:rsid w:val="000918DB"/>
    <w:rsid w:val="00091B08"/>
    <w:rsid w:val="00092D38"/>
    <w:rsid w:val="00092D57"/>
    <w:rsid w:val="0009371A"/>
    <w:rsid w:val="0009377B"/>
    <w:rsid w:val="00097077"/>
    <w:rsid w:val="00097FB3"/>
    <w:rsid w:val="000A0E13"/>
    <w:rsid w:val="000A0EE4"/>
    <w:rsid w:val="000A20C9"/>
    <w:rsid w:val="000A2FCF"/>
    <w:rsid w:val="000A37ED"/>
    <w:rsid w:val="000A4308"/>
    <w:rsid w:val="000A5D96"/>
    <w:rsid w:val="000A7095"/>
    <w:rsid w:val="000B02FD"/>
    <w:rsid w:val="000B030F"/>
    <w:rsid w:val="000B058F"/>
    <w:rsid w:val="000B16BF"/>
    <w:rsid w:val="000B2FB6"/>
    <w:rsid w:val="000B4467"/>
    <w:rsid w:val="000B4DB9"/>
    <w:rsid w:val="000B660E"/>
    <w:rsid w:val="000C09AC"/>
    <w:rsid w:val="000C09B8"/>
    <w:rsid w:val="000C0D3C"/>
    <w:rsid w:val="000C3B68"/>
    <w:rsid w:val="000C3D59"/>
    <w:rsid w:val="000C4CB0"/>
    <w:rsid w:val="000C71CF"/>
    <w:rsid w:val="000C767F"/>
    <w:rsid w:val="000C7AF2"/>
    <w:rsid w:val="000D0B28"/>
    <w:rsid w:val="000D1BF7"/>
    <w:rsid w:val="000D5275"/>
    <w:rsid w:val="000D5A44"/>
    <w:rsid w:val="000D79F8"/>
    <w:rsid w:val="000E0928"/>
    <w:rsid w:val="000E1088"/>
    <w:rsid w:val="000E252D"/>
    <w:rsid w:val="000E30AB"/>
    <w:rsid w:val="000E3572"/>
    <w:rsid w:val="000E35EC"/>
    <w:rsid w:val="000E3A98"/>
    <w:rsid w:val="000E3ED2"/>
    <w:rsid w:val="000E4E71"/>
    <w:rsid w:val="000E6633"/>
    <w:rsid w:val="000E7801"/>
    <w:rsid w:val="000E7E70"/>
    <w:rsid w:val="000F01BF"/>
    <w:rsid w:val="000F0C72"/>
    <w:rsid w:val="000F5EAE"/>
    <w:rsid w:val="000F60C2"/>
    <w:rsid w:val="000F757D"/>
    <w:rsid w:val="00102AD0"/>
    <w:rsid w:val="0010481B"/>
    <w:rsid w:val="00104858"/>
    <w:rsid w:val="0010544C"/>
    <w:rsid w:val="00107599"/>
    <w:rsid w:val="001100A8"/>
    <w:rsid w:val="001102FD"/>
    <w:rsid w:val="0011103A"/>
    <w:rsid w:val="0011115E"/>
    <w:rsid w:val="00111E8F"/>
    <w:rsid w:val="00111ED5"/>
    <w:rsid w:val="00111F27"/>
    <w:rsid w:val="00114032"/>
    <w:rsid w:val="0011488E"/>
    <w:rsid w:val="00115095"/>
    <w:rsid w:val="001155DF"/>
    <w:rsid w:val="00117743"/>
    <w:rsid w:val="0012114C"/>
    <w:rsid w:val="00121D3E"/>
    <w:rsid w:val="001221D9"/>
    <w:rsid w:val="00122275"/>
    <w:rsid w:val="00122729"/>
    <w:rsid w:val="0012553F"/>
    <w:rsid w:val="00126230"/>
    <w:rsid w:val="00126640"/>
    <w:rsid w:val="00127D88"/>
    <w:rsid w:val="00131040"/>
    <w:rsid w:val="0013119F"/>
    <w:rsid w:val="00131F42"/>
    <w:rsid w:val="001321F0"/>
    <w:rsid w:val="0013342E"/>
    <w:rsid w:val="00133C83"/>
    <w:rsid w:val="0013508A"/>
    <w:rsid w:val="00135109"/>
    <w:rsid w:val="001356BD"/>
    <w:rsid w:val="001357F1"/>
    <w:rsid w:val="00135FCA"/>
    <w:rsid w:val="00136D30"/>
    <w:rsid w:val="00140643"/>
    <w:rsid w:val="00140B64"/>
    <w:rsid w:val="00140FA8"/>
    <w:rsid w:val="0014245D"/>
    <w:rsid w:val="00142FEB"/>
    <w:rsid w:val="00143A2D"/>
    <w:rsid w:val="00144671"/>
    <w:rsid w:val="0014482B"/>
    <w:rsid w:val="00145A41"/>
    <w:rsid w:val="00145F76"/>
    <w:rsid w:val="001472E2"/>
    <w:rsid w:val="00147569"/>
    <w:rsid w:val="00150416"/>
    <w:rsid w:val="00151013"/>
    <w:rsid w:val="00151675"/>
    <w:rsid w:val="0015398F"/>
    <w:rsid w:val="00153EDF"/>
    <w:rsid w:val="0015402B"/>
    <w:rsid w:val="0015478A"/>
    <w:rsid w:val="001547D0"/>
    <w:rsid w:val="00155CDE"/>
    <w:rsid w:val="00157435"/>
    <w:rsid w:val="0016143D"/>
    <w:rsid w:val="001617D2"/>
    <w:rsid w:val="00162A05"/>
    <w:rsid w:val="0016319E"/>
    <w:rsid w:val="00163D0E"/>
    <w:rsid w:val="00164B22"/>
    <w:rsid w:val="00164ECA"/>
    <w:rsid w:val="00165217"/>
    <w:rsid w:val="00166DA7"/>
    <w:rsid w:val="001676FA"/>
    <w:rsid w:val="00167B7D"/>
    <w:rsid w:val="001713D5"/>
    <w:rsid w:val="001716F3"/>
    <w:rsid w:val="00172223"/>
    <w:rsid w:val="001742B8"/>
    <w:rsid w:val="00174B69"/>
    <w:rsid w:val="00174F55"/>
    <w:rsid w:val="0017504D"/>
    <w:rsid w:val="001757B1"/>
    <w:rsid w:val="00175AA5"/>
    <w:rsid w:val="0017671A"/>
    <w:rsid w:val="00176BBA"/>
    <w:rsid w:val="00177422"/>
    <w:rsid w:val="00177E63"/>
    <w:rsid w:val="00180F19"/>
    <w:rsid w:val="00182B15"/>
    <w:rsid w:val="0018349A"/>
    <w:rsid w:val="00183ABE"/>
    <w:rsid w:val="00183CBC"/>
    <w:rsid w:val="00184590"/>
    <w:rsid w:val="001870D1"/>
    <w:rsid w:val="0018781E"/>
    <w:rsid w:val="00187F47"/>
    <w:rsid w:val="00190F23"/>
    <w:rsid w:val="0019262D"/>
    <w:rsid w:val="00192994"/>
    <w:rsid w:val="0019360A"/>
    <w:rsid w:val="00193BD5"/>
    <w:rsid w:val="00193FBF"/>
    <w:rsid w:val="00194F70"/>
    <w:rsid w:val="00195530"/>
    <w:rsid w:val="001955BE"/>
    <w:rsid w:val="00195B45"/>
    <w:rsid w:val="001960ED"/>
    <w:rsid w:val="001A0E22"/>
    <w:rsid w:val="001A1B35"/>
    <w:rsid w:val="001A277E"/>
    <w:rsid w:val="001A3714"/>
    <w:rsid w:val="001A428D"/>
    <w:rsid w:val="001A4549"/>
    <w:rsid w:val="001A48A2"/>
    <w:rsid w:val="001A5B94"/>
    <w:rsid w:val="001A6783"/>
    <w:rsid w:val="001A6F61"/>
    <w:rsid w:val="001A75D9"/>
    <w:rsid w:val="001A7D7A"/>
    <w:rsid w:val="001B08B6"/>
    <w:rsid w:val="001B0A30"/>
    <w:rsid w:val="001B0EAF"/>
    <w:rsid w:val="001B0F5E"/>
    <w:rsid w:val="001B1386"/>
    <w:rsid w:val="001B1DA8"/>
    <w:rsid w:val="001B3A64"/>
    <w:rsid w:val="001B3ADF"/>
    <w:rsid w:val="001B4A18"/>
    <w:rsid w:val="001B4A61"/>
    <w:rsid w:val="001B6654"/>
    <w:rsid w:val="001B72B8"/>
    <w:rsid w:val="001C25CE"/>
    <w:rsid w:val="001C3F35"/>
    <w:rsid w:val="001C5272"/>
    <w:rsid w:val="001C5B10"/>
    <w:rsid w:val="001C69B3"/>
    <w:rsid w:val="001C7498"/>
    <w:rsid w:val="001C74A7"/>
    <w:rsid w:val="001D0529"/>
    <w:rsid w:val="001D1909"/>
    <w:rsid w:val="001D1F97"/>
    <w:rsid w:val="001D27C5"/>
    <w:rsid w:val="001D31A0"/>
    <w:rsid w:val="001D3A23"/>
    <w:rsid w:val="001D5595"/>
    <w:rsid w:val="001D5E78"/>
    <w:rsid w:val="001D7874"/>
    <w:rsid w:val="001D79A4"/>
    <w:rsid w:val="001D7F22"/>
    <w:rsid w:val="001E0FE1"/>
    <w:rsid w:val="001E143F"/>
    <w:rsid w:val="001E2B07"/>
    <w:rsid w:val="001E3E02"/>
    <w:rsid w:val="001E437A"/>
    <w:rsid w:val="001E57CA"/>
    <w:rsid w:val="001E67B4"/>
    <w:rsid w:val="001E6BE5"/>
    <w:rsid w:val="001E7955"/>
    <w:rsid w:val="001E7F30"/>
    <w:rsid w:val="001F07DA"/>
    <w:rsid w:val="001F0F17"/>
    <w:rsid w:val="001F182F"/>
    <w:rsid w:val="001F3347"/>
    <w:rsid w:val="001F3BAD"/>
    <w:rsid w:val="001F3E34"/>
    <w:rsid w:val="001F5570"/>
    <w:rsid w:val="001F69E4"/>
    <w:rsid w:val="001F6CDE"/>
    <w:rsid w:val="002005A1"/>
    <w:rsid w:val="00200816"/>
    <w:rsid w:val="00202455"/>
    <w:rsid w:val="00205D48"/>
    <w:rsid w:val="00206F41"/>
    <w:rsid w:val="002100D4"/>
    <w:rsid w:val="00210BE9"/>
    <w:rsid w:val="00211A55"/>
    <w:rsid w:val="002125B4"/>
    <w:rsid w:val="002152AE"/>
    <w:rsid w:val="002155B8"/>
    <w:rsid w:val="00217ADD"/>
    <w:rsid w:val="002224AA"/>
    <w:rsid w:val="0022267D"/>
    <w:rsid w:val="002237A5"/>
    <w:rsid w:val="00224839"/>
    <w:rsid w:val="002249B2"/>
    <w:rsid w:val="00225653"/>
    <w:rsid w:val="00225B3E"/>
    <w:rsid w:val="00225DFB"/>
    <w:rsid w:val="00226574"/>
    <w:rsid w:val="002265B2"/>
    <w:rsid w:val="00226A36"/>
    <w:rsid w:val="002278EC"/>
    <w:rsid w:val="00231A31"/>
    <w:rsid w:val="0023280E"/>
    <w:rsid w:val="002331F6"/>
    <w:rsid w:val="002336C9"/>
    <w:rsid w:val="00233B63"/>
    <w:rsid w:val="00233EB7"/>
    <w:rsid w:val="002353CF"/>
    <w:rsid w:val="00235CF1"/>
    <w:rsid w:val="00235E53"/>
    <w:rsid w:val="00237709"/>
    <w:rsid w:val="002377D1"/>
    <w:rsid w:val="00237933"/>
    <w:rsid w:val="00242CB5"/>
    <w:rsid w:val="00243658"/>
    <w:rsid w:val="00243A3D"/>
    <w:rsid w:val="00243E19"/>
    <w:rsid w:val="00245499"/>
    <w:rsid w:val="00245E43"/>
    <w:rsid w:val="0024634F"/>
    <w:rsid w:val="0024757D"/>
    <w:rsid w:val="00250658"/>
    <w:rsid w:val="002506BC"/>
    <w:rsid w:val="00250A48"/>
    <w:rsid w:val="00250DF7"/>
    <w:rsid w:val="0025214B"/>
    <w:rsid w:val="00254345"/>
    <w:rsid w:val="002551DE"/>
    <w:rsid w:val="00261A7B"/>
    <w:rsid w:val="00261F6B"/>
    <w:rsid w:val="00264557"/>
    <w:rsid w:val="0026539A"/>
    <w:rsid w:val="002658C6"/>
    <w:rsid w:val="00266177"/>
    <w:rsid w:val="00266436"/>
    <w:rsid w:val="00267B31"/>
    <w:rsid w:val="00270739"/>
    <w:rsid w:val="00270EE3"/>
    <w:rsid w:val="00272848"/>
    <w:rsid w:val="00272D28"/>
    <w:rsid w:val="00273060"/>
    <w:rsid w:val="002736A6"/>
    <w:rsid w:val="0027410F"/>
    <w:rsid w:val="00274E25"/>
    <w:rsid w:val="00277B73"/>
    <w:rsid w:val="002805AB"/>
    <w:rsid w:val="00281383"/>
    <w:rsid w:val="002817AA"/>
    <w:rsid w:val="00282082"/>
    <w:rsid w:val="0028388B"/>
    <w:rsid w:val="00284204"/>
    <w:rsid w:val="00287049"/>
    <w:rsid w:val="00290BC6"/>
    <w:rsid w:val="00291773"/>
    <w:rsid w:val="00293EE1"/>
    <w:rsid w:val="00294074"/>
    <w:rsid w:val="002948DA"/>
    <w:rsid w:val="002959D0"/>
    <w:rsid w:val="00295AAA"/>
    <w:rsid w:val="00296E83"/>
    <w:rsid w:val="00297ECC"/>
    <w:rsid w:val="002A077B"/>
    <w:rsid w:val="002A0C60"/>
    <w:rsid w:val="002A1635"/>
    <w:rsid w:val="002A168C"/>
    <w:rsid w:val="002A296E"/>
    <w:rsid w:val="002A2A16"/>
    <w:rsid w:val="002A2B6D"/>
    <w:rsid w:val="002A3DC7"/>
    <w:rsid w:val="002A4026"/>
    <w:rsid w:val="002A581F"/>
    <w:rsid w:val="002A5AD1"/>
    <w:rsid w:val="002A63F6"/>
    <w:rsid w:val="002A6434"/>
    <w:rsid w:val="002A687C"/>
    <w:rsid w:val="002A6C24"/>
    <w:rsid w:val="002A7CC3"/>
    <w:rsid w:val="002B12EA"/>
    <w:rsid w:val="002B3D7C"/>
    <w:rsid w:val="002B3F66"/>
    <w:rsid w:val="002B49E2"/>
    <w:rsid w:val="002B6815"/>
    <w:rsid w:val="002B7B00"/>
    <w:rsid w:val="002B7C44"/>
    <w:rsid w:val="002C04FE"/>
    <w:rsid w:val="002C2B17"/>
    <w:rsid w:val="002C2B48"/>
    <w:rsid w:val="002C2B69"/>
    <w:rsid w:val="002C324C"/>
    <w:rsid w:val="002C52EF"/>
    <w:rsid w:val="002C565C"/>
    <w:rsid w:val="002C79AF"/>
    <w:rsid w:val="002D07DF"/>
    <w:rsid w:val="002D0B4B"/>
    <w:rsid w:val="002D22A1"/>
    <w:rsid w:val="002D2C1B"/>
    <w:rsid w:val="002D32A2"/>
    <w:rsid w:val="002D3DD0"/>
    <w:rsid w:val="002D4887"/>
    <w:rsid w:val="002D5342"/>
    <w:rsid w:val="002E1F3A"/>
    <w:rsid w:val="002E298A"/>
    <w:rsid w:val="002E4049"/>
    <w:rsid w:val="002E674A"/>
    <w:rsid w:val="002E67E4"/>
    <w:rsid w:val="002E6FCD"/>
    <w:rsid w:val="002E7028"/>
    <w:rsid w:val="002F0088"/>
    <w:rsid w:val="002F0446"/>
    <w:rsid w:val="002F0E13"/>
    <w:rsid w:val="002F1828"/>
    <w:rsid w:val="002F186F"/>
    <w:rsid w:val="002F1FE3"/>
    <w:rsid w:val="002F2965"/>
    <w:rsid w:val="002F483D"/>
    <w:rsid w:val="002F6238"/>
    <w:rsid w:val="002F63EB"/>
    <w:rsid w:val="002F6A3F"/>
    <w:rsid w:val="002F75C7"/>
    <w:rsid w:val="00300B87"/>
    <w:rsid w:val="00300E44"/>
    <w:rsid w:val="003013DD"/>
    <w:rsid w:val="00301978"/>
    <w:rsid w:val="00302CEB"/>
    <w:rsid w:val="00302D4B"/>
    <w:rsid w:val="0030332C"/>
    <w:rsid w:val="00303648"/>
    <w:rsid w:val="003042CC"/>
    <w:rsid w:val="00304C51"/>
    <w:rsid w:val="003051C2"/>
    <w:rsid w:val="0030605F"/>
    <w:rsid w:val="0030752A"/>
    <w:rsid w:val="003106AF"/>
    <w:rsid w:val="00310A55"/>
    <w:rsid w:val="0031163F"/>
    <w:rsid w:val="00312296"/>
    <w:rsid w:val="003122CA"/>
    <w:rsid w:val="00312399"/>
    <w:rsid w:val="00312F58"/>
    <w:rsid w:val="00314F0E"/>
    <w:rsid w:val="0031573C"/>
    <w:rsid w:val="00317C30"/>
    <w:rsid w:val="0032032D"/>
    <w:rsid w:val="0032095E"/>
    <w:rsid w:val="00321B63"/>
    <w:rsid w:val="00321D8E"/>
    <w:rsid w:val="00325311"/>
    <w:rsid w:val="00325928"/>
    <w:rsid w:val="00327F9D"/>
    <w:rsid w:val="00331624"/>
    <w:rsid w:val="00331672"/>
    <w:rsid w:val="00331D80"/>
    <w:rsid w:val="0033278C"/>
    <w:rsid w:val="00332863"/>
    <w:rsid w:val="00333188"/>
    <w:rsid w:val="00333E44"/>
    <w:rsid w:val="0033684D"/>
    <w:rsid w:val="0033694B"/>
    <w:rsid w:val="003369D9"/>
    <w:rsid w:val="0033793D"/>
    <w:rsid w:val="003379D9"/>
    <w:rsid w:val="00337B42"/>
    <w:rsid w:val="003406B3"/>
    <w:rsid w:val="00341391"/>
    <w:rsid w:val="00341B42"/>
    <w:rsid w:val="00342AF6"/>
    <w:rsid w:val="00342AF7"/>
    <w:rsid w:val="00342CE4"/>
    <w:rsid w:val="00342F58"/>
    <w:rsid w:val="0034314D"/>
    <w:rsid w:val="00343355"/>
    <w:rsid w:val="003433A9"/>
    <w:rsid w:val="0034348F"/>
    <w:rsid w:val="0034586E"/>
    <w:rsid w:val="00345980"/>
    <w:rsid w:val="00345DF3"/>
    <w:rsid w:val="00346143"/>
    <w:rsid w:val="0034691A"/>
    <w:rsid w:val="00346ADC"/>
    <w:rsid w:val="00346BF9"/>
    <w:rsid w:val="00347A9C"/>
    <w:rsid w:val="00350CD1"/>
    <w:rsid w:val="00351C4F"/>
    <w:rsid w:val="00353CE0"/>
    <w:rsid w:val="00354EC8"/>
    <w:rsid w:val="003555CF"/>
    <w:rsid w:val="00355985"/>
    <w:rsid w:val="00355A2C"/>
    <w:rsid w:val="00356653"/>
    <w:rsid w:val="00356BA6"/>
    <w:rsid w:val="00357233"/>
    <w:rsid w:val="0035743F"/>
    <w:rsid w:val="00357BE2"/>
    <w:rsid w:val="0036170C"/>
    <w:rsid w:val="00361FE9"/>
    <w:rsid w:val="00363FEE"/>
    <w:rsid w:val="003642EF"/>
    <w:rsid w:val="00366E0F"/>
    <w:rsid w:val="00367761"/>
    <w:rsid w:val="00367FF9"/>
    <w:rsid w:val="0037213F"/>
    <w:rsid w:val="003733F4"/>
    <w:rsid w:val="0037380F"/>
    <w:rsid w:val="003753A6"/>
    <w:rsid w:val="00376570"/>
    <w:rsid w:val="00376A43"/>
    <w:rsid w:val="00381986"/>
    <w:rsid w:val="00381A72"/>
    <w:rsid w:val="003831DD"/>
    <w:rsid w:val="003840DB"/>
    <w:rsid w:val="0038410A"/>
    <w:rsid w:val="003841E8"/>
    <w:rsid w:val="00384676"/>
    <w:rsid w:val="003846FF"/>
    <w:rsid w:val="0038510D"/>
    <w:rsid w:val="00387FF2"/>
    <w:rsid w:val="00390857"/>
    <w:rsid w:val="00390D09"/>
    <w:rsid w:val="00390D73"/>
    <w:rsid w:val="00391FF2"/>
    <w:rsid w:val="00393A8A"/>
    <w:rsid w:val="00394407"/>
    <w:rsid w:val="00394588"/>
    <w:rsid w:val="00394719"/>
    <w:rsid w:val="00394B78"/>
    <w:rsid w:val="00396B40"/>
    <w:rsid w:val="00396D9C"/>
    <w:rsid w:val="00396F4C"/>
    <w:rsid w:val="00397EC5"/>
    <w:rsid w:val="003A14E4"/>
    <w:rsid w:val="003A22E6"/>
    <w:rsid w:val="003A2364"/>
    <w:rsid w:val="003A2B31"/>
    <w:rsid w:val="003A4BF3"/>
    <w:rsid w:val="003A5FE1"/>
    <w:rsid w:val="003B0B4B"/>
    <w:rsid w:val="003B0E16"/>
    <w:rsid w:val="003B1D28"/>
    <w:rsid w:val="003B1FA5"/>
    <w:rsid w:val="003B23CA"/>
    <w:rsid w:val="003B3B79"/>
    <w:rsid w:val="003B420D"/>
    <w:rsid w:val="003B54F2"/>
    <w:rsid w:val="003B76C5"/>
    <w:rsid w:val="003B794C"/>
    <w:rsid w:val="003B7EF9"/>
    <w:rsid w:val="003C0953"/>
    <w:rsid w:val="003C0A0E"/>
    <w:rsid w:val="003C2A39"/>
    <w:rsid w:val="003C327E"/>
    <w:rsid w:val="003C3811"/>
    <w:rsid w:val="003C5180"/>
    <w:rsid w:val="003C660A"/>
    <w:rsid w:val="003C6C16"/>
    <w:rsid w:val="003D1FFE"/>
    <w:rsid w:val="003D2EBB"/>
    <w:rsid w:val="003D3DAA"/>
    <w:rsid w:val="003D5541"/>
    <w:rsid w:val="003D794D"/>
    <w:rsid w:val="003E1565"/>
    <w:rsid w:val="003E26F9"/>
    <w:rsid w:val="003E3058"/>
    <w:rsid w:val="003E4434"/>
    <w:rsid w:val="003E547F"/>
    <w:rsid w:val="003E5FA7"/>
    <w:rsid w:val="003E6384"/>
    <w:rsid w:val="003E76A9"/>
    <w:rsid w:val="003F0809"/>
    <w:rsid w:val="003F0BEF"/>
    <w:rsid w:val="003F1675"/>
    <w:rsid w:val="003F2082"/>
    <w:rsid w:val="003F2426"/>
    <w:rsid w:val="003F3219"/>
    <w:rsid w:val="003F3622"/>
    <w:rsid w:val="003F3739"/>
    <w:rsid w:val="003F38F0"/>
    <w:rsid w:val="003F6A8C"/>
    <w:rsid w:val="003F755C"/>
    <w:rsid w:val="0040195F"/>
    <w:rsid w:val="00401BD9"/>
    <w:rsid w:val="00401D8F"/>
    <w:rsid w:val="00402261"/>
    <w:rsid w:val="004066B5"/>
    <w:rsid w:val="0040686A"/>
    <w:rsid w:val="00406F01"/>
    <w:rsid w:val="004100D0"/>
    <w:rsid w:val="00411C37"/>
    <w:rsid w:val="00412349"/>
    <w:rsid w:val="00413992"/>
    <w:rsid w:val="004142B8"/>
    <w:rsid w:val="004148CB"/>
    <w:rsid w:val="004155E3"/>
    <w:rsid w:val="00416D50"/>
    <w:rsid w:val="00416FD5"/>
    <w:rsid w:val="00417772"/>
    <w:rsid w:val="004203AA"/>
    <w:rsid w:val="0042052A"/>
    <w:rsid w:val="0042084A"/>
    <w:rsid w:val="00420E6A"/>
    <w:rsid w:val="00421C69"/>
    <w:rsid w:val="00422940"/>
    <w:rsid w:val="00422CD1"/>
    <w:rsid w:val="00425A9E"/>
    <w:rsid w:val="00425D7A"/>
    <w:rsid w:val="00426145"/>
    <w:rsid w:val="00426C39"/>
    <w:rsid w:val="00426D6B"/>
    <w:rsid w:val="00430BB5"/>
    <w:rsid w:val="00431E6C"/>
    <w:rsid w:val="00433CE7"/>
    <w:rsid w:val="00435803"/>
    <w:rsid w:val="00435DD0"/>
    <w:rsid w:val="00436996"/>
    <w:rsid w:val="00436AA9"/>
    <w:rsid w:val="00441BD2"/>
    <w:rsid w:val="00442A0A"/>
    <w:rsid w:val="0044472C"/>
    <w:rsid w:val="004451E6"/>
    <w:rsid w:val="004453A3"/>
    <w:rsid w:val="0044579F"/>
    <w:rsid w:val="004461B5"/>
    <w:rsid w:val="00446C73"/>
    <w:rsid w:val="00450EA2"/>
    <w:rsid w:val="00450FE2"/>
    <w:rsid w:val="00452738"/>
    <w:rsid w:val="00452E71"/>
    <w:rsid w:val="004538F9"/>
    <w:rsid w:val="00455264"/>
    <w:rsid w:val="00456091"/>
    <w:rsid w:val="00457644"/>
    <w:rsid w:val="00460281"/>
    <w:rsid w:val="00464A41"/>
    <w:rsid w:val="00466321"/>
    <w:rsid w:val="00470045"/>
    <w:rsid w:val="00471F50"/>
    <w:rsid w:val="0047371E"/>
    <w:rsid w:val="00476002"/>
    <w:rsid w:val="00477F13"/>
    <w:rsid w:val="00480EF3"/>
    <w:rsid w:val="00483594"/>
    <w:rsid w:val="00483804"/>
    <w:rsid w:val="00484B9B"/>
    <w:rsid w:val="00484DDA"/>
    <w:rsid w:val="00485409"/>
    <w:rsid w:val="0048545F"/>
    <w:rsid w:val="004855F6"/>
    <w:rsid w:val="00485DDA"/>
    <w:rsid w:val="004860CD"/>
    <w:rsid w:val="0048661E"/>
    <w:rsid w:val="00493F6B"/>
    <w:rsid w:val="00494670"/>
    <w:rsid w:val="00494E21"/>
    <w:rsid w:val="00494E45"/>
    <w:rsid w:val="00496310"/>
    <w:rsid w:val="00497121"/>
    <w:rsid w:val="004A1159"/>
    <w:rsid w:val="004A1380"/>
    <w:rsid w:val="004A1712"/>
    <w:rsid w:val="004A1B9E"/>
    <w:rsid w:val="004A2434"/>
    <w:rsid w:val="004A27D6"/>
    <w:rsid w:val="004A3823"/>
    <w:rsid w:val="004A3C39"/>
    <w:rsid w:val="004A41A5"/>
    <w:rsid w:val="004A46D3"/>
    <w:rsid w:val="004A4CC8"/>
    <w:rsid w:val="004A505C"/>
    <w:rsid w:val="004A6804"/>
    <w:rsid w:val="004A7180"/>
    <w:rsid w:val="004B0A39"/>
    <w:rsid w:val="004B0B1C"/>
    <w:rsid w:val="004B29E3"/>
    <w:rsid w:val="004B39BD"/>
    <w:rsid w:val="004B3B60"/>
    <w:rsid w:val="004B5F15"/>
    <w:rsid w:val="004B63B0"/>
    <w:rsid w:val="004B68EC"/>
    <w:rsid w:val="004C0CCE"/>
    <w:rsid w:val="004C1756"/>
    <w:rsid w:val="004C1843"/>
    <w:rsid w:val="004C2AF2"/>
    <w:rsid w:val="004C40EE"/>
    <w:rsid w:val="004C51E5"/>
    <w:rsid w:val="004C53EB"/>
    <w:rsid w:val="004C7943"/>
    <w:rsid w:val="004D0425"/>
    <w:rsid w:val="004D263D"/>
    <w:rsid w:val="004D58F0"/>
    <w:rsid w:val="004D7F52"/>
    <w:rsid w:val="004E1D9A"/>
    <w:rsid w:val="004E3DC3"/>
    <w:rsid w:val="004E6946"/>
    <w:rsid w:val="004E6DC9"/>
    <w:rsid w:val="004E70FB"/>
    <w:rsid w:val="004E7D9F"/>
    <w:rsid w:val="004F0C21"/>
    <w:rsid w:val="004F1197"/>
    <w:rsid w:val="004F14E0"/>
    <w:rsid w:val="004F1AD8"/>
    <w:rsid w:val="004F5D13"/>
    <w:rsid w:val="004F5F66"/>
    <w:rsid w:val="004F7592"/>
    <w:rsid w:val="0050160E"/>
    <w:rsid w:val="00501DFF"/>
    <w:rsid w:val="00502311"/>
    <w:rsid w:val="0050275F"/>
    <w:rsid w:val="005039CB"/>
    <w:rsid w:val="005042BC"/>
    <w:rsid w:val="00504D31"/>
    <w:rsid w:val="0050558F"/>
    <w:rsid w:val="00505B4F"/>
    <w:rsid w:val="00506286"/>
    <w:rsid w:val="00507490"/>
    <w:rsid w:val="005078CD"/>
    <w:rsid w:val="00510813"/>
    <w:rsid w:val="00511146"/>
    <w:rsid w:val="005115A8"/>
    <w:rsid w:val="005116CA"/>
    <w:rsid w:val="00511990"/>
    <w:rsid w:val="00511DE0"/>
    <w:rsid w:val="00514870"/>
    <w:rsid w:val="00514B9B"/>
    <w:rsid w:val="00516909"/>
    <w:rsid w:val="005170BD"/>
    <w:rsid w:val="00517F02"/>
    <w:rsid w:val="005202D3"/>
    <w:rsid w:val="0052143C"/>
    <w:rsid w:val="005228CD"/>
    <w:rsid w:val="00523906"/>
    <w:rsid w:val="00524303"/>
    <w:rsid w:val="00524404"/>
    <w:rsid w:val="005254B6"/>
    <w:rsid w:val="005258A2"/>
    <w:rsid w:val="00525E7A"/>
    <w:rsid w:val="005268C2"/>
    <w:rsid w:val="005269A7"/>
    <w:rsid w:val="00527067"/>
    <w:rsid w:val="00527308"/>
    <w:rsid w:val="00530272"/>
    <w:rsid w:val="0053166D"/>
    <w:rsid w:val="00531B80"/>
    <w:rsid w:val="005321EB"/>
    <w:rsid w:val="00532E38"/>
    <w:rsid w:val="00533312"/>
    <w:rsid w:val="005366BC"/>
    <w:rsid w:val="005401AE"/>
    <w:rsid w:val="00542E07"/>
    <w:rsid w:val="00543301"/>
    <w:rsid w:val="005433CD"/>
    <w:rsid w:val="0054356B"/>
    <w:rsid w:val="005445AD"/>
    <w:rsid w:val="00545424"/>
    <w:rsid w:val="005456D9"/>
    <w:rsid w:val="00545BCC"/>
    <w:rsid w:val="0054679C"/>
    <w:rsid w:val="005468D2"/>
    <w:rsid w:val="00546C04"/>
    <w:rsid w:val="0054707C"/>
    <w:rsid w:val="005500FD"/>
    <w:rsid w:val="00551783"/>
    <w:rsid w:val="005519D4"/>
    <w:rsid w:val="00551E9A"/>
    <w:rsid w:val="005528DC"/>
    <w:rsid w:val="00552E4D"/>
    <w:rsid w:val="005530F3"/>
    <w:rsid w:val="005531A2"/>
    <w:rsid w:val="00554A7B"/>
    <w:rsid w:val="00554BC3"/>
    <w:rsid w:val="0055572C"/>
    <w:rsid w:val="005572BB"/>
    <w:rsid w:val="00557399"/>
    <w:rsid w:val="00557C79"/>
    <w:rsid w:val="00560941"/>
    <w:rsid w:val="0056106A"/>
    <w:rsid w:val="00561D58"/>
    <w:rsid w:val="005623BF"/>
    <w:rsid w:val="005635D6"/>
    <w:rsid w:val="00564815"/>
    <w:rsid w:val="0056682B"/>
    <w:rsid w:val="00566F96"/>
    <w:rsid w:val="005711AE"/>
    <w:rsid w:val="005720AE"/>
    <w:rsid w:val="0057286E"/>
    <w:rsid w:val="00573348"/>
    <w:rsid w:val="00573E7A"/>
    <w:rsid w:val="005751E5"/>
    <w:rsid w:val="00575503"/>
    <w:rsid w:val="00576B8D"/>
    <w:rsid w:val="00576F75"/>
    <w:rsid w:val="00577684"/>
    <w:rsid w:val="00577718"/>
    <w:rsid w:val="00577A39"/>
    <w:rsid w:val="00580260"/>
    <w:rsid w:val="005814FF"/>
    <w:rsid w:val="005833A4"/>
    <w:rsid w:val="00583C5A"/>
    <w:rsid w:val="0058719C"/>
    <w:rsid w:val="00590645"/>
    <w:rsid w:val="00590BD2"/>
    <w:rsid w:val="00590D35"/>
    <w:rsid w:val="0059107D"/>
    <w:rsid w:val="00591423"/>
    <w:rsid w:val="00591B1A"/>
    <w:rsid w:val="0059277A"/>
    <w:rsid w:val="00593421"/>
    <w:rsid w:val="00594382"/>
    <w:rsid w:val="00594D77"/>
    <w:rsid w:val="005962DB"/>
    <w:rsid w:val="005969E4"/>
    <w:rsid w:val="00596D8C"/>
    <w:rsid w:val="00597808"/>
    <w:rsid w:val="00597A32"/>
    <w:rsid w:val="005A06B7"/>
    <w:rsid w:val="005A09F1"/>
    <w:rsid w:val="005A11CF"/>
    <w:rsid w:val="005A1759"/>
    <w:rsid w:val="005A20DB"/>
    <w:rsid w:val="005A287B"/>
    <w:rsid w:val="005A68A7"/>
    <w:rsid w:val="005B0247"/>
    <w:rsid w:val="005B17C3"/>
    <w:rsid w:val="005B23E6"/>
    <w:rsid w:val="005B3700"/>
    <w:rsid w:val="005B3A47"/>
    <w:rsid w:val="005B69C5"/>
    <w:rsid w:val="005C0A1D"/>
    <w:rsid w:val="005C1E2F"/>
    <w:rsid w:val="005C3FD8"/>
    <w:rsid w:val="005C3FE0"/>
    <w:rsid w:val="005C68D9"/>
    <w:rsid w:val="005C6BA7"/>
    <w:rsid w:val="005C6CAF"/>
    <w:rsid w:val="005D02A1"/>
    <w:rsid w:val="005D144F"/>
    <w:rsid w:val="005D1B16"/>
    <w:rsid w:val="005D36AB"/>
    <w:rsid w:val="005D43D4"/>
    <w:rsid w:val="005D4D20"/>
    <w:rsid w:val="005D4FB5"/>
    <w:rsid w:val="005D5396"/>
    <w:rsid w:val="005D5410"/>
    <w:rsid w:val="005D5D9A"/>
    <w:rsid w:val="005D6A36"/>
    <w:rsid w:val="005D7BF9"/>
    <w:rsid w:val="005D7CD6"/>
    <w:rsid w:val="005D7F5C"/>
    <w:rsid w:val="005E01BA"/>
    <w:rsid w:val="005E2F06"/>
    <w:rsid w:val="005E3C4B"/>
    <w:rsid w:val="005E41FD"/>
    <w:rsid w:val="005E439B"/>
    <w:rsid w:val="005E4435"/>
    <w:rsid w:val="005E5844"/>
    <w:rsid w:val="005E5C1D"/>
    <w:rsid w:val="005E5C27"/>
    <w:rsid w:val="005E5DAE"/>
    <w:rsid w:val="005F1498"/>
    <w:rsid w:val="005F23E4"/>
    <w:rsid w:val="005F2DAE"/>
    <w:rsid w:val="005F38D4"/>
    <w:rsid w:val="005F3CC4"/>
    <w:rsid w:val="005F56DE"/>
    <w:rsid w:val="005F6F2F"/>
    <w:rsid w:val="0060075C"/>
    <w:rsid w:val="00600906"/>
    <w:rsid w:val="00601243"/>
    <w:rsid w:val="0060124F"/>
    <w:rsid w:val="0060268D"/>
    <w:rsid w:val="006029EA"/>
    <w:rsid w:val="0060516C"/>
    <w:rsid w:val="006054B0"/>
    <w:rsid w:val="006074FE"/>
    <w:rsid w:val="00607F3F"/>
    <w:rsid w:val="00610A1D"/>
    <w:rsid w:val="00611F73"/>
    <w:rsid w:val="00612D10"/>
    <w:rsid w:val="00613626"/>
    <w:rsid w:val="00615DB4"/>
    <w:rsid w:val="006166CB"/>
    <w:rsid w:val="00617BB7"/>
    <w:rsid w:val="00617CC3"/>
    <w:rsid w:val="00617E08"/>
    <w:rsid w:val="00620DED"/>
    <w:rsid w:val="00621638"/>
    <w:rsid w:val="00621B55"/>
    <w:rsid w:val="00622B8B"/>
    <w:rsid w:val="006230B6"/>
    <w:rsid w:val="00623A05"/>
    <w:rsid w:val="00624C8A"/>
    <w:rsid w:val="00626CD9"/>
    <w:rsid w:val="0062742F"/>
    <w:rsid w:val="006278B3"/>
    <w:rsid w:val="006324C6"/>
    <w:rsid w:val="00632FE4"/>
    <w:rsid w:val="0063579D"/>
    <w:rsid w:val="00635A03"/>
    <w:rsid w:val="00636B3D"/>
    <w:rsid w:val="00637093"/>
    <w:rsid w:val="006377A6"/>
    <w:rsid w:val="0063790B"/>
    <w:rsid w:val="00637A3D"/>
    <w:rsid w:val="00637D87"/>
    <w:rsid w:val="00640233"/>
    <w:rsid w:val="00640A0F"/>
    <w:rsid w:val="006411EF"/>
    <w:rsid w:val="006450B8"/>
    <w:rsid w:val="006454DD"/>
    <w:rsid w:val="006455CD"/>
    <w:rsid w:val="00646410"/>
    <w:rsid w:val="0064798D"/>
    <w:rsid w:val="0065013D"/>
    <w:rsid w:val="00650509"/>
    <w:rsid w:val="006515FF"/>
    <w:rsid w:val="006533F6"/>
    <w:rsid w:val="0065483A"/>
    <w:rsid w:val="00654EBE"/>
    <w:rsid w:val="006556A8"/>
    <w:rsid w:val="00655CA4"/>
    <w:rsid w:val="006570F1"/>
    <w:rsid w:val="00657615"/>
    <w:rsid w:val="00660724"/>
    <w:rsid w:val="006617F4"/>
    <w:rsid w:val="0066223A"/>
    <w:rsid w:val="006638EF"/>
    <w:rsid w:val="00663DE6"/>
    <w:rsid w:val="0066408C"/>
    <w:rsid w:val="00664287"/>
    <w:rsid w:val="00666891"/>
    <w:rsid w:val="00666F8B"/>
    <w:rsid w:val="006670D6"/>
    <w:rsid w:val="00670CEE"/>
    <w:rsid w:val="006715B7"/>
    <w:rsid w:val="00673907"/>
    <w:rsid w:val="00673E02"/>
    <w:rsid w:val="006748B8"/>
    <w:rsid w:val="0067506D"/>
    <w:rsid w:val="0067537F"/>
    <w:rsid w:val="006759C9"/>
    <w:rsid w:val="006764A4"/>
    <w:rsid w:val="00676D76"/>
    <w:rsid w:val="00676F73"/>
    <w:rsid w:val="006775C3"/>
    <w:rsid w:val="006776D1"/>
    <w:rsid w:val="0068473E"/>
    <w:rsid w:val="00685153"/>
    <w:rsid w:val="006861B9"/>
    <w:rsid w:val="00687008"/>
    <w:rsid w:val="00687DC2"/>
    <w:rsid w:val="00691871"/>
    <w:rsid w:val="006918AA"/>
    <w:rsid w:val="0069290A"/>
    <w:rsid w:val="0069292B"/>
    <w:rsid w:val="006954C6"/>
    <w:rsid w:val="0069566D"/>
    <w:rsid w:val="00695F0D"/>
    <w:rsid w:val="00696794"/>
    <w:rsid w:val="00696989"/>
    <w:rsid w:val="006974A1"/>
    <w:rsid w:val="0069775A"/>
    <w:rsid w:val="00697813"/>
    <w:rsid w:val="006A01A3"/>
    <w:rsid w:val="006A190B"/>
    <w:rsid w:val="006A19EE"/>
    <w:rsid w:val="006A1DD9"/>
    <w:rsid w:val="006A271A"/>
    <w:rsid w:val="006A2E3D"/>
    <w:rsid w:val="006A3EE8"/>
    <w:rsid w:val="006A5E98"/>
    <w:rsid w:val="006A72BF"/>
    <w:rsid w:val="006A7332"/>
    <w:rsid w:val="006A75B0"/>
    <w:rsid w:val="006B03F2"/>
    <w:rsid w:val="006B074B"/>
    <w:rsid w:val="006B07E0"/>
    <w:rsid w:val="006B1138"/>
    <w:rsid w:val="006B158C"/>
    <w:rsid w:val="006B36DE"/>
    <w:rsid w:val="006B37DC"/>
    <w:rsid w:val="006B48EF"/>
    <w:rsid w:val="006B4F68"/>
    <w:rsid w:val="006B5198"/>
    <w:rsid w:val="006B66EC"/>
    <w:rsid w:val="006B6B19"/>
    <w:rsid w:val="006C0592"/>
    <w:rsid w:val="006C07F3"/>
    <w:rsid w:val="006C0DE6"/>
    <w:rsid w:val="006C272E"/>
    <w:rsid w:val="006C3A9D"/>
    <w:rsid w:val="006C5479"/>
    <w:rsid w:val="006D055F"/>
    <w:rsid w:val="006D058A"/>
    <w:rsid w:val="006D06A8"/>
    <w:rsid w:val="006D13B5"/>
    <w:rsid w:val="006D13DB"/>
    <w:rsid w:val="006D1968"/>
    <w:rsid w:val="006D505C"/>
    <w:rsid w:val="006D6985"/>
    <w:rsid w:val="006D6B4F"/>
    <w:rsid w:val="006E025E"/>
    <w:rsid w:val="006E12FF"/>
    <w:rsid w:val="006E19C9"/>
    <w:rsid w:val="006E296E"/>
    <w:rsid w:val="006E607E"/>
    <w:rsid w:val="006F024A"/>
    <w:rsid w:val="006F0AAB"/>
    <w:rsid w:val="006F1256"/>
    <w:rsid w:val="006F20FD"/>
    <w:rsid w:val="006F2D26"/>
    <w:rsid w:val="006F32A6"/>
    <w:rsid w:val="006F4D93"/>
    <w:rsid w:val="00701098"/>
    <w:rsid w:val="007024A1"/>
    <w:rsid w:val="00702FD3"/>
    <w:rsid w:val="007035F8"/>
    <w:rsid w:val="007041EA"/>
    <w:rsid w:val="00706358"/>
    <w:rsid w:val="00706C5D"/>
    <w:rsid w:val="007074C0"/>
    <w:rsid w:val="00711E40"/>
    <w:rsid w:val="00712C67"/>
    <w:rsid w:val="00715DD0"/>
    <w:rsid w:val="00716394"/>
    <w:rsid w:val="00716B62"/>
    <w:rsid w:val="0071773E"/>
    <w:rsid w:val="00717FF6"/>
    <w:rsid w:val="00720500"/>
    <w:rsid w:val="00721F54"/>
    <w:rsid w:val="007239FF"/>
    <w:rsid w:val="00724E66"/>
    <w:rsid w:val="007256C1"/>
    <w:rsid w:val="00725E73"/>
    <w:rsid w:val="00726CBC"/>
    <w:rsid w:val="00727F0A"/>
    <w:rsid w:val="00730132"/>
    <w:rsid w:val="0073106E"/>
    <w:rsid w:val="00732922"/>
    <w:rsid w:val="0073571E"/>
    <w:rsid w:val="00737061"/>
    <w:rsid w:val="007406FC"/>
    <w:rsid w:val="00741349"/>
    <w:rsid w:val="00746619"/>
    <w:rsid w:val="00750FD2"/>
    <w:rsid w:val="0075162E"/>
    <w:rsid w:val="00751C78"/>
    <w:rsid w:val="00753132"/>
    <w:rsid w:val="00753652"/>
    <w:rsid w:val="007536C3"/>
    <w:rsid w:val="00753CC6"/>
    <w:rsid w:val="00754034"/>
    <w:rsid w:val="0075411F"/>
    <w:rsid w:val="00754360"/>
    <w:rsid w:val="0075439A"/>
    <w:rsid w:val="00754A3F"/>
    <w:rsid w:val="00755420"/>
    <w:rsid w:val="00756556"/>
    <w:rsid w:val="007565B2"/>
    <w:rsid w:val="00757974"/>
    <w:rsid w:val="0076032B"/>
    <w:rsid w:val="007616D8"/>
    <w:rsid w:val="007618C4"/>
    <w:rsid w:val="007642C4"/>
    <w:rsid w:val="00764587"/>
    <w:rsid w:val="00764A69"/>
    <w:rsid w:val="0076527D"/>
    <w:rsid w:val="0076542A"/>
    <w:rsid w:val="00765465"/>
    <w:rsid w:val="007655D6"/>
    <w:rsid w:val="00765E26"/>
    <w:rsid w:val="007668F0"/>
    <w:rsid w:val="007669E3"/>
    <w:rsid w:val="00767980"/>
    <w:rsid w:val="00770B19"/>
    <w:rsid w:val="0077188C"/>
    <w:rsid w:val="00773BA9"/>
    <w:rsid w:val="00773E01"/>
    <w:rsid w:val="0077426C"/>
    <w:rsid w:val="0077438F"/>
    <w:rsid w:val="0077463F"/>
    <w:rsid w:val="00774651"/>
    <w:rsid w:val="00775377"/>
    <w:rsid w:val="00775822"/>
    <w:rsid w:val="007761E7"/>
    <w:rsid w:val="00781AB5"/>
    <w:rsid w:val="00781B9D"/>
    <w:rsid w:val="00782497"/>
    <w:rsid w:val="007826EA"/>
    <w:rsid w:val="00782719"/>
    <w:rsid w:val="007835FF"/>
    <w:rsid w:val="007836EA"/>
    <w:rsid w:val="00783A5A"/>
    <w:rsid w:val="00784CDA"/>
    <w:rsid w:val="00786B9A"/>
    <w:rsid w:val="00786D72"/>
    <w:rsid w:val="0079043B"/>
    <w:rsid w:val="007906C4"/>
    <w:rsid w:val="00791186"/>
    <w:rsid w:val="007922C7"/>
    <w:rsid w:val="007940EA"/>
    <w:rsid w:val="00795A45"/>
    <w:rsid w:val="00795AB1"/>
    <w:rsid w:val="00795F41"/>
    <w:rsid w:val="007967E8"/>
    <w:rsid w:val="007A1606"/>
    <w:rsid w:val="007A2170"/>
    <w:rsid w:val="007A22BF"/>
    <w:rsid w:val="007A2493"/>
    <w:rsid w:val="007A2EB9"/>
    <w:rsid w:val="007A3323"/>
    <w:rsid w:val="007A3346"/>
    <w:rsid w:val="007A3406"/>
    <w:rsid w:val="007A3A8F"/>
    <w:rsid w:val="007A4315"/>
    <w:rsid w:val="007A63A6"/>
    <w:rsid w:val="007A6597"/>
    <w:rsid w:val="007A73C7"/>
    <w:rsid w:val="007B07EA"/>
    <w:rsid w:val="007B132F"/>
    <w:rsid w:val="007B1D71"/>
    <w:rsid w:val="007B1E7F"/>
    <w:rsid w:val="007B292E"/>
    <w:rsid w:val="007B3CC8"/>
    <w:rsid w:val="007B5BEB"/>
    <w:rsid w:val="007B72B8"/>
    <w:rsid w:val="007B7A58"/>
    <w:rsid w:val="007C0353"/>
    <w:rsid w:val="007C0966"/>
    <w:rsid w:val="007C0CF4"/>
    <w:rsid w:val="007C21B5"/>
    <w:rsid w:val="007C25DB"/>
    <w:rsid w:val="007C3988"/>
    <w:rsid w:val="007C4082"/>
    <w:rsid w:val="007C5C72"/>
    <w:rsid w:val="007D0AEB"/>
    <w:rsid w:val="007D2A72"/>
    <w:rsid w:val="007D32EA"/>
    <w:rsid w:val="007D385E"/>
    <w:rsid w:val="007D4DA8"/>
    <w:rsid w:val="007D667A"/>
    <w:rsid w:val="007D7098"/>
    <w:rsid w:val="007E1B16"/>
    <w:rsid w:val="007E23FF"/>
    <w:rsid w:val="007E2492"/>
    <w:rsid w:val="007E46D5"/>
    <w:rsid w:val="007E4AC0"/>
    <w:rsid w:val="007E4BD2"/>
    <w:rsid w:val="007E5AE7"/>
    <w:rsid w:val="007E6619"/>
    <w:rsid w:val="007F3694"/>
    <w:rsid w:val="007F4730"/>
    <w:rsid w:val="007F5046"/>
    <w:rsid w:val="007F5E38"/>
    <w:rsid w:val="007F60B6"/>
    <w:rsid w:val="007F6444"/>
    <w:rsid w:val="007F6469"/>
    <w:rsid w:val="007F688C"/>
    <w:rsid w:val="007F70C8"/>
    <w:rsid w:val="007F7C5E"/>
    <w:rsid w:val="00801393"/>
    <w:rsid w:val="0080261A"/>
    <w:rsid w:val="00802D97"/>
    <w:rsid w:val="00802F88"/>
    <w:rsid w:val="00805671"/>
    <w:rsid w:val="00805BCE"/>
    <w:rsid w:val="0080697C"/>
    <w:rsid w:val="00810998"/>
    <w:rsid w:val="00812406"/>
    <w:rsid w:val="0081293E"/>
    <w:rsid w:val="00812B82"/>
    <w:rsid w:val="00813396"/>
    <w:rsid w:val="00813489"/>
    <w:rsid w:val="0081352D"/>
    <w:rsid w:val="008141D1"/>
    <w:rsid w:val="00815465"/>
    <w:rsid w:val="008161E3"/>
    <w:rsid w:val="00816A1C"/>
    <w:rsid w:val="00817E9A"/>
    <w:rsid w:val="00820FBC"/>
    <w:rsid w:val="00822C69"/>
    <w:rsid w:val="008306BD"/>
    <w:rsid w:val="008306EB"/>
    <w:rsid w:val="00830E81"/>
    <w:rsid w:val="00831A80"/>
    <w:rsid w:val="00831C33"/>
    <w:rsid w:val="00833743"/>
    <w:rsid w:val="008339FC"/>
    <w:rsid w:val="008340A4"/>
    <w:rsid w:val="00834165"/>
    <w:rsid w:val="00835453"/>
    <w:rsid w:val="008356D1"/>
    <w:rsid w:val="008362CA"/>
    <w:rsid w:val="008402FE"/>
    <w:rsid w:val="00840669"/>
    <w:rsid w:val="008408D8"/>
    <w:rsid w:val="00843216"/>
    <w:rsid w:val="00843A11"/>
    <w:rsid w:val="008442AB"/>
    <w:rsid w:val="0084446B"/>
    <w:rsid w:val="00844A21"/>
    <w:rsid w:val="0084573B"/>
    <w:rsid w:val="008467B9"/>
    <w:rsid w:val="00846EA0"/>
    <w:rsid w:val="00847313"/>
    <w:rsid w:val="0085017C"/>
    <w:rsid w:val="00855E59"/>
    <w:rsid w:val="00856295"/>
    <w:rsid w:val="008612AA"/>
    <w:rsid w:val="008616BD"/>
    <w:rsid w:val="00861F80"/>
    <w:rsid w:val="008658C0"/>
    <w:rsid w:val="00865D12"/>
    <w:rsid w:val="008669C2"/>
    <w:rsid w:val="00866FF4"/>
    <w:rsid w:val="00870293"/>
    <w:rsid w:val="008712D0"/>
    <w:rsid w:val="0087135F"/>
    <w:rsid w:val="00871959"/>
    <w:rsid w:val="00871B6E"/>
    <w:rsid w:val="00872B46"/>
    <w:rsid w:val="00872D94"/>
    <w:rsid w:val="0087531C"/>
    <w:rsid w:val="00875760"/>
    <w:rsid w:val="00875ECB"/>
    <w:rsid w:val="00876175"/>
    <w:rsid w:val="008779E5"/>
    <w:rsid w:val="00880364"/>
    <w:rsid w:val="00882851"/>
    <w:rsid w:val="008829DA"/>
    <w:rsid w:val="00891592"/>
    <w:rsid w:val="00891A8B"/>
    <w:rsid w:val="00891E9E"/>
    <w:rsid w:val="00893267"/>
    <w:rsid w:val="008A1E90"/>
    <w:rsid w:val="008A2F68"/>
    <w:rsid w:val="008A321D"/>
    <w:rsid w:val="008A3AB8"/>
    <w:rsid w:val="008A5573"/>
    <w:rsid w:val="008A5A50"/>
    <w:rsid w:val="008A5AAE"/>
    <w:rsid w:val="008A68AD"/>
    <w:rsid w:val="008B0C86"/>
    <w:rsid w:val="008B4FA6"/>
    <w:rsid w:val="008B5204"/>
    <w:rsid w:val="008B5282"/>
    <w:rsid w:val="008B536C"/>
    <w:rsid w:val="008B610A"/>
    <w:rsid w:val="008B65BF"/>
    <w:rsid w:val="008B7C17"/>
    <w:rsid w:val="008C0A49"/>
    <w:rsid w:val="008C0CBD"/>
    <w:rsid w:val="008C2435"/>
    <w:rsid w:val="008C2635"/>
    <w:rsid w:val="008C2D01"/>
    <w:rsid w:val="008C40E6"/>
    <w:rsid w:val="008C4EEE"/>
    <w:rsid w:val="008C69B4"/>
    <w:rsid w:val="008D0004"/>
    <w:rsid w:val="008D03EB"/>
    <w:rsid w:val="008D0F7A"/>
    <w:rsid w:val="008D16A7"/>
    <w:rsid w:val="008D230E"/>
    <w:rsid w:val="008D3993"/>
    <w:rsid w:val="008D43BE"/>
    <w:rsid w:val="008D68E4"/>
    <w:rsid w:val="008D6FEE"/>
    <w:rsid w:val="008E0506"/>
    <w:rsid w:val="008E0CFF"/>
    <w:rsid w:val="008E145D"/>
    <w:rsid w:val="008E17D1"/>
    <w:rsid w:val="008E35EF"/>
    <w:rsid w:val="008E4013"/>
    <w:rsid w:val="008E446F"/>
    <w:rsid w:val="008E44A5"/>
    <w:rsid w:val="008E5D6B"/>
    <w:rsid w:val="008E628C"/>
    <w:rsid w:val="008E76F0"/>
    <w:rsid w:val="008E7835"/>
    <w:rsid w:val="008E7E31"/>
    <w:rsid w:val="008F0211"/>
    <w:rsid w:val="008F15FE"/>
    <w:rsid w:val="008F2D29"/>
    <w:rsid w:val="008F5187"/>
    <w:rsid w:val="008F5431"/>
    <w:rsid w:val="008F60D8"/>
    <w:rsid w:val="008F7125"/>
    <w:rsid w:val="0090029B"/>
    <w:rsid w:val="00902727"/>
    <w:rsid w:val="00902FCB"/>
    <w:rsid w:val="0090312B"/>
    <w:rsid w:val="0090435A"/>
    <w:rsid w:val="00905BA8"/>
    <w:rsid w:val="009067B1"/>
    <w:rsid w:val="00910DB9"/>
    <w:rsid w:val="00912430"/>
    <w:rsid w:val="00914528"/>
    <w:rsid w:val="00914FE5"/>
    <w:rsid w:val="0091538C"/>
    <w:rsid w:val="0091736D"/>
    <w:rsid w:val="00917C79"/>
    <w:rsid w:val="00917F42"/>
    <w:rsid w:val="00921E45"/>
    <w:rsid w:val="00923AAB"/>
    <w:rsid w:val="00923D6C"/>
    <w:rsid w:val="00923EB7"/>
    <w:rsid w:val="0092488B"/>
    <w:rsid w:val="00925AD2"/>
    <w:rsid w:val="00925D01"/>
    <w:rsid w:val="00925D8B"/>
    <w:rsid w:val="00925DF4"/>
    <w:rsid w:val="00927428"/>
    <w:rsid w:val="0093037A"/>
    <w:rsid w:val="00930511"/>
    <w:rsid w:val="00930571"/>
    <w:rsid w:val="00930F9E"/>
    <w:rsid w:val="0093289E"/>
    <w:rsid w:val="00932D43"/>
    <w:rsid w:val="00932EA6"/>
    <w:rsid w:val="00933FE1"/>
    <w:rsid w:val="009348F2"/>
    <w:rsid w:val="00935F58"/>
    <w:rsid w:val="00936EF7"/>
    <w:rsid w:val="00937786"/>
    <w:rsid w:val="00940850"/>
    <w:rsid w:val="0094154D"/>
    <w:rsid w:val="009418E4"/>
    <w:rsid w:val="00941BBE"/>
    <w:rsid w:val="00942E0B"/>
    <w:rsid w:val="00943F82"/>
    <w:rsid w:val="00944299"/>
    <w:rsid w:val="009453A1"/>
    <w:rsid w:val="00945CFA"/>
    <w:rsid w:val="009508C2"/>
    <w:rsid w:val="0095155F"/>
    <w:rsid w:val="00952744"/>
    <w:rsid w:val="00952C30"/>
    <w:rsid w:val="00952DE5"/>
    <w:rsid w:val="00953BB1"/>
    <w:rsid w:val="00954429"/>
    <w:rsid w:val="009563CE"/>
    <w:rsid w:val="00956F67"/>
    <w:rsid w:val="0095734D"/>
    <w:rsid w:val="0095755A"/>
    <w:rsid w:val="00957656"/>
    <w:rsid w:val="00961E2C"/>
    <w:rsid w:val="00961F4D"/>
    <w:rsid w:val="00962818"/>
    <w:rsid w:val="00963F54"/>
    <w:rsid w:val="00964433"/>
    <w:rsid w:val="0096481D"/>
    <w:rsid w:val="00964F29"/>
    <w:rsid w:val="0096655F"/>
    <w:rsid w:val="00966D3F"/>
    <w:rsid w:val="00970C60"/>
    <w:rsid w:val="00970C72"/>
    <w:rsid w:val="00970F54"/>
    <w:rsid w:val="00971F2E"/>
    <w:rsid w:val="00971FEF"/>
    <w:rsid w:val="00975098"/>
    <w:rsid w:val="00975710"/>
    <w:rsid w:val="00976328"/>
    <w:rsid w:val="0097680D"/>
    <w:rsid w:val="009778E3"/>
    <w:rsid w:val="0098013A"/>
    <w:rsid w:val="009801B3"/>
    <w:rsid w:val="00980F0B"/>
    <w:rsid w:val="00981762"/>
    <w:rsid w:val="00982438"/>
    <w:rsid w:val="0098396F"/>
    <w:rsid w:val="00983C6C"/>
    <w:rsid w:val="00983E9B"/>
    <w:rsid w:val="0098404C"/>
    <w:rsid w:val="009850F2"/>
    <w:rsid w:val="009850F8"/>
    <w:rsid w:val="00985283"/>
    <w:rsid w:val="00986738"/>
    <w:rsid w:val="0099093C"/>
    <w:rsid w:val="00991EE3"/>
    <w:rsid w:val="00992C9E"/>
    <w:rsid w:val="009954E3"/>
    <w:rsid w:val="00995588"/>
    <w:rsid w:val="00995992"/>
    <w:rsid w:val="00995C88"/>
    <w:rsid w:val="009967B4"/>
    <w:rsid w:val="00997760"/>
    <w:rsid w:val="0099791F"/>
    <w:rsid w:val="009A02EF"/>
    <w:rsid w:val="009A03E5"/>
    <w:rsid w:val="009A0F3B"/>
    <w:rsid w:val="009A10BE"/>
    <w:rsid w:val="009A1709"/>
    <w:rsid w:val="009A1A96"/>
    <w:rsid w:val="009A1BB4"/>
    <w:rsid w:val="009A2628"/>
    <w:rsid w:val="009A3200"/>
    <w:rsid w:val="009A3481"/>
    <w:rsid w:val="009A4801"/>
    <w:rsid w:val="009A4ADD"/>
    <w:rsid w:val="009A51E9"/>
    <w:rsid w:val="009A6135"/>
    <w:rsid w:val="009B0897"/>
    <w:rsid w:val="009B133E"/>
    <w:rsid w:val="009B2956"/>
    <w:rsid w:val="009B34F4"/>
    <w:rsid w:val="009B3D13"/>
    <w:rsid w:val="009B5F2D"/>
    <w:rsid w:val="009B6134"/>
    <w:rsid w:val="009B6A88"/>
    <w:rsid w:val="009B7917"/>
    <w:rsid w:val="009B7BD9"/>
    <w:rsid w:val="009C2907"/>
    <w:rsid w:val="009C3A91"/>
    <w:rsid w:val="009C544A"/>
    <w:rsid w:val="009C62FE"/>
    <w:rsid w:val="009C6737"/>
    <w:rsid w:val="009C674A"/>
    <w:rsid w:val="009C7C41"/>
    <w:rsid w:val="009C7DD5"/>
    <w:rsid w:val="009D00AE"/>
    <w:rsid w:val="009D0CA2"/>
    <w:rsid w:val="009D2D3B"/>
    <w:rsid w:val="009D43FF"/>
    <w:rsid w:val="009D4823"/>
    <w:rsid w:val="009D6C53"/>
    <w:rsid w:val="009D6D48"/>
    <w:rsid w:val="009D781D"/>
    <w:rsid w:val="009D7ED7"/>
    <w:rsid w:val="009E1D0B"/>
    <w:rsid w:val="009E227D"/>
    <w:rsid w:val="009E23FE"/>
    <w:rsid w:val="009E25C0"/>
    <w:rsid w:val="009E2B05"/>
    <w:rsid w:val="009E2C91"/>
    <w:rsid w:val="009E2DF3"/>
    <w:rsid w:val="009E3D60"/>
    <w:rsid w:val="009E5019"/>
    <w:rsid w:val="009E5E1C"/>
    <w:rsid w:val="009E6254"/>
    <w:rsid w:val="009E7A8E"/>
    <w:rsid w:val="009E7AF2"/>
    <w:rsid w:val="009F0079"/>
    <w:rsid w:val="009F0639"/>
    <w:rsid w:val="009F0FB6"/>
    <w:rsid w:val="009F1B3C"/>
    <w:rsid w:val="009F1D64"/>
    <w:rsid w:val="009F3563"/>
    <w:rsid w:val="009F39C0"/>
    <w:rsid w:val="009F4E62"/>
    <w:rsid w:val="009F58F4"/>
    <w:rsid w:val="009F5BC4"/>
    <w:rsid w:val="009F6428"/>
    <w:rsid w:val="009F6FC2"/>
    <w:rsid w:val="009F75B9"/>
    <w:rsid w:val="00A0140E"/>
    <w:rsid w:val="00A03A02"/>
    <w:rsid w:val="00A04F1B"/>
    <w:rsid w:val="00A0501B"/>
    <w:rsid w:val="00A0529B"/>
    <w:rsid w:val="00A053FE"/>
    <w:rsid w:val="00A058D0"/>
    <w:rsid w:val="00A07534"/>
    <w:rsid w:val="00A07691"/>
    <w:rsid w:val="00A129EE"/>
    <w:rsid w:val="00A12C87"/>
    <w:rsid w:val="00A132E9"/>
    <w:rsid w:val="00A13630"/>
    <w:rsid w:val="00A14947"/>
    <w:rsid w:val="00A16E50"/>
    <w:rsid w:val="00A20F1F"/>
    <w:rsid w:val="00A2108F"/>
    <w:rsid w:val="00A21E3B"/>
    <w:rsid w:val="00A24BC6"/>
    <w:rsid w:val="00A263E9"/>
    <w:rsid w:val="00A2642D"/>
    <w:rsid w:val="00A268FA"/>
    <w:rsid w:val="00A27D0D"/>
    <w:rsid w:val="00A305FC"/>
    <w:rsid w:val="00A31548"/>
    <w:rsid w:val="00A31E07"/>
    <w:rsid w:val="00A320BE"/>
    <w:rsid w:val="00A32A83"/>
    <w:rsid w:val="00A3354D"/>
    <w:rsid w:val="00A3358E"/>
    <w:rsid w:val="00A34D36"/>
    <w:rsid w:val="00A35425"/>
    <w:rsid w:val="00A35A71"/>
    <w:rsid w:val="00A368DB"/>
    <w:rsid w:val="00A36BDB"/>
    <w:rsid w:val="00A3797A"/>
    <w:rsid w:val="00A42111"/>
    <w:rsid w:val="00A423AA"/>
    <w:rsid w:val="00A43FB6"/>
    <w:rsid w:val="00A44143"/>
    <w:rsid w:val="00A4439E"/>
    <w:rsid w:val="00A44F4F"/>
    <w:rsid w:val="00A46493"/>
    <w:rsid w:val="00A50BAB"/>
    <w:rsid w:val="00A52507"/>
    <w:rsid w:val="00A52D1D"/>
    <w:rsid w:val="00A53EC6"/>
    <w:rsid w:val="00A5452F"/>
    <w:rsid w:val="00A55C0F"/>
    <w:rsid w:val="00A55D8B"/>
    <w:rsid w:val="00A5673E"/>
    <w:rsid w:val="00A56D52"/>
    <w:rsid w:val="00A605F0"/>
    <w:rsid w:val="00A60CCB"/>
    <w:rsid w:val="00A61C6B"/>
    <w:rsid w:val="00A626BB"/>
    <w:rsid w:val="00A62ADA"/>
    <w:rsid w:val="00A63F7C"/>
    <w:rsid w:val="00A6578E"/>
    <w:rsid w:val="00A6678A"/>
    <w:rsid w:val="00A668E6"/>
    <w:rsid w:val="00A67863"/>
    <w:rsid w:val="00A67890"/>
    <w:rsid w:val="00A7002E"/>
    <w:rsid w:val="00A7090B"/>
    <w:rsid w:val="00A717C4"/>
    <w:rsid w:val="00A721BA"/>
    <w:rsid w:val="00A721E2"/>
    <w:rsid w:val="00A7287C"/>
    <w:rsid w:val="00A75447"/>
    <w:rsid w:val="00A75791"/>
    <w:rsid w:val="00A75D47"/>
    <w:rsid w:val="00A76B2A"/>
    <w:rsid w:val="00A77E42"/>
    <w:rsid w:val="00A8034D"/>
    <w:rsid w:val="00A80CD9"/>
    <w:rsid w:val="00A81C5E"/>
    <w:rsid w:val="00A82F61"/>
    <w:rsid w:val="00A83DEF"/>
    <w:rsid w:val="00A83EC2"/>
    <w:rsid w:val="00A8442E"/>
    <w:rsid w:val="00A852B2"/>
    <w:rsid w:val="00A858EC"/>
    <w:rsid w:val="00A86F03"/>
    <w:rsid w:val="00A8713F"/>
    <w:rsid w:val="00A87399"/>
    <w:rsid w:val="00A90BA1"/>
    <w:rsid w:val="00A92011"/>
    <w:rsid w:val="00A92302"/>
    <w:rsid w:val="00A94F04"/>
    <w:rsid w:val="00A970B0"/>
    <w:rsid w:val="00A97143"/>
    <w:rsid w:val="00A97A9A"/>
    <w:rsid w:val="00AA0671"/>
    <w:rsid w:val="00AA07EA"/>
    <w:rsid w:val="00AA0C6C"/>
    <w:rsid w:val="00AA1CAF"/>
    <w:rsid w:val="00AA2531"/>
    <w:rsid w:val="00AA30ED"/>
    <w:rsid w:val="00AA3411"/>
    <w:rsid w:val="00AA67E3"/>
    <w:rsid w:val="00AA6A87"/>
    <w:rsid w:val="00AA74F3"/>
    <w:rsid w:val="00AB01DD"/>
    <w:rsid w:val="00AB1E09"/>
    <w:rsid w:val="00AB2814"/>
    <w:rsid w:val="00AB298E"/>
    <w:rsid w:val="00AB303F"/>
    <w:rsid w:val="00AB3066"/>
    <w:rsid w:val="00AB43E3"/>
    <w:rsid w:val="00AB44AE"/>
    <w:rsid w:val="00AB477A"/>
    <w:rsid w:val="00AB5330"/>
    <w:rsid w:val="00AB7508"/>
    <w:rsid w:val="00AB7747"/>
    <w:rsid w:val="00AC10FD"/>
    <w:rsid w:val="00AC14CE"/>
    <w:rsid w:val="00AC186F"/>
    <w:rsid w:val="00AC1AA5"/>
    <w:rsid w:val="00AC2A56"/>
    <w:rsid w:val="00AC3F82"/>
    <w:rsid w:val="00AC46CC"/>
    <w:rsid w:val="00AC5973"/>
    <w:rsid w:val="00AC5F7D"/>
    <w:rsid w:val="00AC7267"/>
    <w:rsid w:val="00AC798E"/>
    <w:rsid w:val="00AD055E"/>
    <w:rsid w:val="00AD47A7"/>
    <w:rsid w:val="00AD615E"/>
    <w:rsid w:val="00AD624E"/>
    <w:rsid w:val="00AD6416"/>
    <w:rsid w:val="00AD68F6"/>
    <w:rsid w:val="00AE02AC"/>
    <w:rsid w:val="00AE0BB3"/>
    <w:rsid w:val="00AE17CB"/>
    <w:rsid w:val="00AE1C90"/>
    <w:rsid w:val="00AE1DDD"/>
    <w:rsid w:val="00AE39A0"/>
    <w:rsid w:val="00AE3C66"/>
    <w:rsid w:val="00AE657B"/>
    <w:rsid w:val="00AE6D78"/>
    <w:rsid w:val="00AF0CBF"/>
    <w:rsid w:val="00AF1935"/>
    <w:rsid w:val="00AF257F"/>
    <w:rsid w:val="00AF33CF"/>
    <w:rsid w:val="00AF390F"/>
    <w:rsid w:val="00AF3EEB"/>
    <w:rsid w:val="00AF3FC1"/>
    <w:rsid w:val="00AF4304"/>
    <w:rsid w:val="00AF44BC"/>
    <w:rsid w:val="00AF4D50"/>
    <w:rsid w:val="00AF4DEF"/>
    <w:rsid w:val="00AF6179"/>
    <w:rsid w:val="00B00962"/>
    <w:rsid w:val="00B00DBD"/>
    <w:rsid w:val="00B019AD"/>
    <w:rsid w:val="00B03677"/>
    <w:rsid w:val="00B0369B"/>
    <w:rsid w:val="00B037EC"/>
    <w:rsid w:val="00B054D2"/>
    <w:rsid w:val="00B0555A"/>
    <w:rsid w:val="00B06933"/>
    <w:rsid w:val="00B06F1E"/>
    <w:rsid w:val="00B07E2F"/>
    <w:rsid w:val="00B10040"/>
    <w:rsid w:val="00B10FD7"/>
    <w:rsid w:val="00B11DFE"/>
    <w:rsid w:val="00B1295A"/>
    <w:rsid w:val="00B138A8"/>
    <w:rsid w:val="00B17692"/>
    <w:rsid w:val="00B2000C"/>
    <w:rsid w:val="00B2088A"/>
    <w:rsid w:val="00B20A45"/>
    <w:rsid w:val="00B20C88"/>
    <w:rsid w:val="00B210EE"/>
    <w:rsid w:val="00B213AA"/>
    <w:rsid w:val="00B21D8D"/>
    <w:rsid w:val="00B22600"/>
    <w:rsid w:val="00B22C5C"/>
    <w:rsid w:val="00B24085"/>
    <w:rsid w:val="00B24F30"/>
    <w:rsid w:val="00B2762B"/>
    <w:rsid w:val="00B30CAA"/>
    <w:rsid w:val="00B31594"/>
    <w:rsid w:val="00B31ABF"/>
    <w:rsid w:val="00B324CB"/>
    <w:rsid w:val="00B3281F"/>
    <w:rsid w:val="00B32B50"/>
    <w:rsid w:val="00B3349F"/>
    <w:rsid w:val="00B33860"/>
    <w:rsid w:val="00B33BE3"/>
    <w:rsid w:val="00B36A19"/>
    <w:rsid w:val="00B36AAD"/>
    <w:rsid w:val="00B371FB"/>
    <w:rsid w:val="00B37755"/>
    <w:rsid w:val="00B40B1D"/>
    <w:rsid w:val="00B4181F"/>
    <w:rsid w:val="00B421EA"/>
    <w:rsid w:val="00B42B21"/>
    <w:rsid w:val="00B43A2B"/>
    <w:rsid w:val="00B43ABD"/>
    <w:rsid w:val="00B46A84"/>
    <w:rsid w:val="00B47639"/>
    <w:rsid w:val="00B47B95"/>
    <w:rsid w:val="00B514AF"/>
    <w:rsid w:val="00B52190"/>
    <w:rsid w:val="00B53857"/>
    <w:rsid w:val="00B53B5D"/>
    <w:rsid w:val="00B54293"/>
    <w:rsid w:val="00B54B97"/>
    <w:rsid w:val="00B5638B"/>
    <w:rsid w:val="00B6055E"/>
    <w:rsid w:val="00B60EB9"/>
    <w:rsid w:val="00B61B84"/>
    <w:rsid w:val="00B6317D"/>
    <w:rsid w:val="00B63519"/>
    <w:rsid w:val="00B648C1"/>
    <w:rsid w:val="00B64BDB"/>
    <w:rsid w:val="00B66443"/>
    <w:rsid w:val="00B70720"/>
    <w:rsid w:val="00B712A5"/>
    <w:rsid w:val="00B72217"/>
    <w:rsid w:val="00B72832"/>
    <w:rsid w:val="00B72B33"/>
    <w:rsid w:val="00B73F67"/>
    <w:rsid w:val="00B754FA"/>
    <w:rsid w:val="00B75793"/>
    <w:rsid w:val="00B76DD5"/>
    <w:rsid w:val="00B76F8C"/>
    <w:rsid w:val="00B7723F"/>
    <w:rsid w:val="00B8007E"/>
    <w:rsid w:val="00B80534"/>
    <w:rsid w:val="00B8072C"/>
    <w:rsid w:val="00B81391"/>
    <w:rsid w:val="00B82B38"/>
    <w:rsid w:val="00B83940"/>
    <w:rsid w:val="00B83C20"/>
    <w:rsid w:val="00B8433C"/>
    <w:rsid w:val="00B84490"/>
    <w:rsid w:val="00B84D23"/>
    <w:rsid w:val="00B86329"/>
    <w:rsid w:val="00B86A36"/>
    <w:rsid w:val="00B87491"/>
    <w:rsid w:val="00B87AA4"/>
    <w:rsid w:val="00B93334"/>
    <w:rsid w:val="00B93595"/>
    <w:rsid w:val="00B93911"/>
    <w:rsid w:val="00B94761"/>
    <w:rsid w:val="00B947D2"/>
    <w:rsid w:val="00B94A15"/>
    <w:rsid w:val="00B95924"/>
    <w:rsid w:val="00B95CEE"/>
    <w:rsid w:val="00B972BE"/>
    <w:rsid w:val="00B9784A"/>
    <w:rsid w:val="00B97C21"/>
    <w:rsid w:val="00BA07B8"/>
    <w:rsid w:val="00BA0A03"/>
    <w:rsid w:val="00BA0BBF"/>
    <w:rsid w:val="00BA29E9"/>
    <w:rsid w:val="00BA7142"/>
    <w:rsid w:val="00BA7285"/>
    <w:rsid w:val="00BA73F3"/>
    <w:rsid w:val="00BA7F86"/>
    <w:rsid w:val="00BB01BA"/>
    <w:rsid w:val="00BB18B5"/>
    <w:rsid w:val="00BB237C"/>
    <w:rsid w:val="00BB2B72"/>
    <w:rsid w:val="00BB41A3"/>
    <w:rsid w:val="00BC1575"/>
    <w:rsid w:val="00BC1C20"/>
    <w:rsid w:val="00BC1FEA"/>
    <w:rsid w:val="00BC32DC"/>
    <w:rsid w:val="00BC35AC"/>
    <w:rsid w:val="00BC35B6"/>
    <w:rsid w:val="00BC4C79"/>
    <w:rsid w:val="00BC5429"/>
    <w:rsid w:val="00BC6722"/>
    <w:rsid w:val="00BC6A29"/>
    <w:rsid w:val="00BC7401"/>
    <w:rsid w:val="00BC7E6D"/>
    <w:rsid w:val="00BD0111"/>
    <w:rsid w:val="00BD1B51"/>
    <w:rsid w:val="00BD4596"/>
    <w:rsid w:val="00BD5638"/>
    <w:rsid w:val="00BD5D53"/>
    <w:rsid w:val="00BE08DB"/>
    <w:rsid w:val="00BE1405"/>
    <w:rsid w:val="00BE2B5B"/>
    <w:rsid w:val="00BE312D"/>
    <w:rsid w:val="00BE46BB"/>
    <w:rsid w:val="00BE6627"/>
    <w:rsid w:val="00BE6826"/>
    <w:rsid w:val="00BE7FA9"/>
    <w:rsid w:val="00BF04ED"/>
    <w:rsid w:val="00BF0B4E"/>
    <w:rsid w:val="00BF0C5A"/>
    <w:rsid w:val="00BF0F88"/>
    <w:rsid w:val="00BF164A"/>
    <w:rsid w:val="00BF1C20"/>
    <w:rsid w:val="00BF259D"/>
    <w:rsid w:val="00BF27A2"/>
    <w:rsid w:val="00BF32F5"/>
    <w:rsid w:val="00BF5A7F"/>
    <w:rsid w:val="00BF6B36"/>
    <w:rsid w:val="00BF7FFB"/>
    <w:rsid w:val="00C00FE6"/>
    <w:rsid w:val="00C02D59"/>
    <w:rsid w:val="00C030A5"/>
    <w:rsid w:val="00C037E6"/>
    <w:rsid w:val="00C0478D"/>
    <w:rsid w:val="00C060CC"/>
    <w:rsid w:val="00C0618A"/>
    <w:rsid w:val="00C10578"/>
    <w:rsid w:val="00C108EB"/>
    <w:rsid w:val="00C10A3B"/>
    <w:rsid w:val="00C1189D"/>
    <w:rsid w:val="00C135BC"/>
    <w:rsid w:val="00C13671"/>
    <w:rsid w:val="00C13FC8"/>
    <w:rsid w:val="00C14C54"/>
    <w:rsid w:val="00C15C95"/>
    <w:rsid w:val="00C1605D"/>
    <w:rsid w:val="00C2159B"/>
    <w:rsid w:val="00C217A1"/>
    <w:rsid w:val="00C21AC7"/>
    <w:rsid w:val="00C22BB0"/>
    <w:rsid w:val="00C22C27"/>
    <w:rsid w:val="00C23002"/>
    <w:rsid w:val="00C232C6"/>
    <w:rsid w:val="00C24A56"/>
    <w:rsid w:val="00C255B6"/>
    <w:rsid w:val="00C2596A"/>
    <w:rsid w:val="00C26565"/>
    <w:rsid w:val="00C27537"/>
    <w:rsid w:val="00C27C31"/>
    <w:rsid w:val="00C30CB2"/>
    <w:rsid w:val="00C32634"/>
    <w:rsid w:val="00C328FE"/>
    <w:rsid w:val="00C33507"/>
    <w:rsid w:val="00C33661"/>
    <w:rsid w:val="00C33F2E"/>
    <w:rsid w:val="00C34AAE"/>
    <w:rsid w:val="00C37267"/>
    <w:rsid w:val="00C37AC3"/>
    <w:rsid w:val="00C4035B"/>
    <w:rsid w:val="00C41804"/>
    <w:rsid w:val="00C429C8"/>
    <w:rsid w:val="00C43061"/>
    <w:rsid w:val="00C4409D"/>
    <w:rsid w:val="00C4438E"/>
    <w:rsid w:val="00C44E72"/>
    <w:rsid w:val="00C45A06"/>
    <w:rsid w:val="00C45B4C"/>
    <w:rsid w:val="00C45FC9"/>
    <w:rsid w:val="00C47E5B"/>
    <w:rsid w:val="00C50E16"/>
    <w:rsid w:val="00C54647"/>
    <w:rsid w:val="00C55674"/>
    <w:rsid w:val="00C55E5A"/>
    <w:rsid w:val="00C567CF"/>
    <w:rsid w:val="00C56BBE"/>
    <w:rsid w:val="00C56CD8"/>
    <w:rsid w:val="00C57A3F"/>
    <w:rsid w:val="00C61E4B"/>
    <w:rsid w:val="00C622E5"/>
    <w:rsid w:val="00C62356"/>
    <w:rsid w:val="00C6326B"/>
    <w:rsid w:val="00C63F7C"/>
    <w:rsid w:val="00C64AB6"/>
    <w:rsid w:val="00C64BFF"/>
    <w:rsid w:val="00C65FE3"/>
    <w:rsid w:val="00C663AA"/>
    <w:rsid w:val="00C66736"/>
    <w:rsid w:val="00C66E9C"/>
    <w:rsid w:val="00C67CE3"/>
    <w:rsid w:val="00C704E9"/>
    <w:rsid w:val="00C70CFD"/>
    <w:rsid w:val="00C70F0D"/>
    <w:rsid w:val="00C719A5"/>
    <w:rsid w:val="00C71FF5"/>
    <w:rsid w:val="00C738AF"/>
    <w:rsid w:val="00C73A1D"/>
    <w:rsid w:val="00C73C62"/>
    <w:rsid w:val="00C74303"/>
    <w:rsid w:val="00C744A8"/>
    <w:rsid w:val="00C76048"/>
    <w:rsid w:val="00C763C9"/>
    <w:rsid w:val="00C77A9A"/>
    <w:rsid w:val="00C77F41"/>
    <w:rsid w:val="00C80057"/>
    <w:rsid w:val="00C8070F"/>
    <w:rsid w:val="00C80AA1"/>
    <w:rsid w:val="00C82232"/>
    <w:rsid w:val="00C82913"/>
    <w:rsid w:val="00C834CB"/>
    <w:rsid w:val="00C84692"/>
    <w:rsid w:val="00C86328"/>
    <w:rsid w:val="00C87148"/>
    <w:rsid w:val="00C916FA"/>
    <w:rsid w:val="00C91960"/>
    <w:rsid w:val="00C91F9D"/>
    <w:rsid w:val="00C9339C"/>
    <w:rsid w:val="00C951DD"/>
    <w:rsid w:val="00C95392"/>
    <w:rsid w:val="00C95DE5"/>
    <w:rsid w:val="00C9710A"/>
    <w:rsid w:val="00C972B1"/>
    <w:rsid w:val="00C9764F"/>
    <w:rsid w:val="00CA1452"/>
    <w:rsid w:val="00CA2CB5"/>
    <w:rsid w:val="00CA2CCE"/>
    <w:rsid w:val="00CA43FD"/>
    <w:rsid w:val="00CA4536"/>
    <w:rsid w:val="00CA45D7"/>
    <w:rsid w:val="00CA4D03"/>
    <w:rsid w:val="00CA5671"/>
    <w:rsid w:val="00CA7CA7"/>
    <w:rsid w:val="00CA7EF8"/>
    <w:rsid w:val="00CB0FF1"/>
    <w:rsid w:val="00CB2CFF"/>
    <w:rsid w:val="00CB2EB0"/>
    <w:rsid w:val="00CB3394"/>
    <w:rsid w:val="00CB493A"/>
    <w:rsid w:val="00CB54F8"/>
    <w:rsid w:val="00CB5BFF"/>
    <w:rsid w:val="00CB6421"/>
    <w:rsid w:val="00CB77BA"/>
    <w:rsid w:val="00CC019F"/>
    <w:rsid w:val="00CC1D6B"/>
    <w:rsid w:val="00CC2E73"/>
    <w:rsid w:val="00CC3475"/>
    <w:rsid w:val="00CC3E32"/>
    <w:rsid w:val="00CC43E2"/>
    <w:rsid w:val="00CC489B"/>
    <w:rsid w:val="00CC49AA"/>
    <w:rsid w:val="00CC5478"/>
    <w:rsid w:val="00CC54D8"/>
    <w:rsid w:val="00CC66DA"/>
    <w:rsid w:val="00CD0160"/>
    <w:rsid w:val="00CD27C5"/>
    <w:rsid w:val="00CD2BCD"/>
    <w:rsid w:val="00CD2F6F"/>
    <w:rsid w:val="00CD3A4C"/>
    <w:rsid w:val="00CD54A9"/>
    <w:rsid w:val="00CD5A4C"/>
    <w:rsid w:val="00CD67E6"/>
    <w:rsid w:val="00CE0B84"/>
    <w:rsid w:val="00CE10E9"/>
    <w:rsid w:val="00CE22D0"/>
    <w:rsid w:val="00CE2910"/>
    <w:rsid w:val="00CE2925"/>
    <w:rsid w:val="00CE35A4"/>
    <w:rsid w:val="00CE45F0"/>
    <w:rsid w:val="00CE5393"/>
    <w:rsid w:val="00CE542E"/>
    <w:rsid w:val="00CE5526"/>
    <w:rsid w:val="00CE5E19"/>
    <w:rsid w:val="00CE5E38"/>
    <w:rsid w:val="00CE6C9F"/>
    <w:rsid w:val="00CF0095"/>
    <w:rsid w:val="00CF13DA"/>
    <w:rsid w:val="00CF16E3"/>
    <w:rsid w:val="00CF1E3F"/>
    <w:rsid w:val="00CF3618"/>
    <w:rsid w:val="00CF36BE"/>
    <w:rsid w:val="00CF3CE6"/>
    <w:rsid w:val="00CF4EB0"/>
    <w:rsid w:val="00CF52CB"/>
    <w:rsid w:val="00CF5F69"/>
    <w:rsid w:val="00CF6000"/>
    <w:rsid w:val="00CF6DDD"/>
    <w:rsid w:val="00CF6E72"/>
    <w:rsid w:val="00D003F3"/>
    <w:rsid w:val="00D0062D"/>
    <w:rsid w:val="00D009EC"/>
    <w:rsid w:val="00D012EA"/>
    <w:rsid w:val="00D01547"/>
    <w:rsid w:val="00D01B95"/>
    <w:rsid w:val="00D02282"/>
    <w:rsid w:val="00D02370"/>
    <w:rsid w:val="00D0364F"/>
    <w:rsid w:val="00D045DF"/>
    <w:rsid w:val="00D04FAA"/>
    <w:rsid w:val="00D05D8C"/>
    <w:rsid w:val="00D06834"/>
    <w:rsid w:val="00D06906"/>
    <w:rsid w:val="00D0739E"/>
    <w:rsid w:val="00D10DD6"/>
    <w:rsid w:val="00D11A24"/>
    <w:rsid w:val="00D138A7"/>
    <w:rsid w:val="00D14A3E"/>
    <w:rsid w:val="00D20208"/>
    <w:rsid w:val="00D21015"/>
    <w:rsid w:val="00D2172E"/>
    <w:rsid w:val="00D21BC8"/>
    <w:rsid w:val="00D254BC"/>
    <w:rsid w:val="00D25A93"/>
    <w:rsid w:val="00D25EE4"/>
    <w:rsid w:val="00D26275"/>
    <w:rsid w:val="00D26CC9"/>
    <w:rsid w:val="00D2775B"/>
    <w:rsid w:val="00D308ED"/>
    <w:rsid w:val="00D30ABC"/>
    <w:rsid w:val="00D30EAF"/>
    <w:rsid w:val="00D31479"/>
    <w:rsid w:val="00D33DA3"/>
    <w:rsid w:val="00D3482B"/>
    <w:rsid w:val="00D35748"/>
    <w:rsid w:val="00D3628A"/>
    <w:rsid w:val="00D3634B"/>
    <w:rsid w:val="00D36D86"/>
    <w:rsid w:val="00D40C92"/>
    <w:rsid w:val="00D40D9E"/>
    <w:rsid w:val="00D417BF"/>
    <w:rsid w:val="00D41A19"/>
    <w:rsid w:val="00D428AA"/>
    <w:rsid w:val="00D43B8F"/>
    <w:rsid w:val="00D4409D"/>
    <w:rsid w:val="00D46488"/>
    <w:rsid w:val="00D4763D"/>
    <w:rsid w:val="00D50872"/>
    <w:rsid w:val="00D50A34"/>
    <w:rsid w:val="00D51EDF"/>
    <w:rsid w:val="00D520A2"/>
    <w:rsid w:val="00D52553"/>
    <w:rsid w:val="00D53118"/>
    <w:rsid w:val="00D53EFA"/>
    <w:rsid w:val="00D542DD"/>
    <w:rsid w:val="00D54423"/>
    <w:rsid w:val="00D54A21"/>
    <w:rsid w:val="00D55184"/>
    <w:rsid w:val="00D557C2"/>
    <w:rsid w:val="00D56058"/>
    <w:rsid w:val="00D57EC6"/>
    <w:rsid w:val="00D60228"/>
    <w:rsid w:val="00D640A3"/>
    <w:rsid w:val="00D64447"/>
    <w:rsid w:val="00D6541E"/>
    <w:rsid w:val="00D6723D"/>
    <w:rsid w:val="00D67718"/>
    <w:rsid w:val="00D706B0"/>
    <w:rsid w:val="00D72601"/>
    <w:rsid w:val="00D72638"/>
    <w:rsid w:val="00D73502"/>
    <w:rsid w:val="00D737A5"/>
    <w:rsid w:val="00D74122"/>
    <w:rsid w:val="00D74989"/>
    <w:rsid w:val="00D75F04"/>
    <w:rsid w:val="00D7752C"/>
    <w:rsid w:val="00D7783D"/>
    <w:rsid w:val="00D77E8C"/>
    <w:rsid w:val="00D803F7"/>
    <w:rsid w:val="00D81AEB"/>
    <w:rsid w:val="00D82298"/>
    <w:rsid w:val="00D82DD6"/>
    <w:rsid w:val="00D842E6"/>
    <w:rsid w:val="00D863E9"/>
    <w:rsid w:val="00D9081C"/>
    <w:rsid w:val="00D917A2"/>
    <w:rsid w:val="00D91C78"/>
    <w:rsid w:val="00D94619"/>
    <w:rsid w:val="00D94A7C"/>
    <w:rsid w:val="00D956AE"/>
    <w:rsid w:val="00D95804"/>
    <w:rsid w:val="00D9583D"/>
    <w:rsid w:val="00D95896"/>
    <w:rsid w:val="00D974CE"/>
    <w:rsid w:val="00D97A3B"/>
    <w:rsid w:val="00DA0D23"/>
    <w:rsid w:val="00DA1557"/>
    <w:rsid w:val="00DA1EEF"/>
    <w:rsid w:val="00DA2DD9"/>
    <w:rsid w:val="00DA4886"/>
    <w:rsid w:val="00DA4A34"/>
    <w:rsid w:val="00DA5955"/>
    <w:rsid w:val="00DA7051"/>
    <w:rsid w:val="00DB02A3"/>
    <w:rsid w:val="00DB2983"/>
    <w:rsid w:val="00DC0621"/>
    <w:rsid w:val="00DC0A4C"/>
    <w:rsid w:val="00DC0C1F"/>
    <w:rsid w:val="00DC0D2C"/>
    <w:rsid w:val="00DC1257"/>
    <w:rsid w:val="00DC1266"/>
    <w:rsid w:val="00DC1FDB"/>
    <w:rsid w:val="00DC2547"/>
    <w:rsid w:val="00DC27D5"/>
    <w:rsid w:val="00DC2BC7"/>
    <w:rsid w:val="00DC3DC0"/>
    <w:rsid w:val="00DC4B1C"/>
    <w:rsid w:val="00DC5B2B"/>
    <w:rsid w:val="00DC6429"/>
    <w:rsid w:val="00DD0321"/>
    <w:rsid w:val="00DD0F51"/>
    <w:rsid w:val="00DD176E"/>
    <w:rsid w:val="00DD1D73"/>
    <w:rsid w:val="00DD2A98"/>
    <w:rsid w:val="00DD318D"/>
    <w:rsid w:val="00DD51F2"/>
    <w:rsid w:val="00DD5914"/>
    <w:rsid w:val="00DD71AB"/>
    <w:rsid w:val="00DE06D9"/>
    <w:rsid w:val="00DE0BA0"/>
    <w:rsid w:val="00DE1399"/>
    <w:rsid w:val="00DE14A3"/>
    <w:rsid w:val="00DE1A55"/>
    <w:rsid w:val="00DE1CC9"/>
    <w:rsid w:val="00DE2027"/>
    <w:rsid w:val="00DE2360"/>
    <w:rsid w:val="00DE2431"/>
    <w:rsid w:val="00DE2F4C"/>
    <w:rsid w:val="00DE6333"/>
    <w:rsid w:val="00DF1041"/>
    <w:rsid w:val="00DF1045"/>
    <w:rsid w:val="00DF10AF"/>
    <w:rsid w:val="00DF17CD"/>
    <w:rsid w:val="00DF2E12"/>
    <w:rsid w:val="00DF314D"/>
    <w:rsid w:val="00DF397B"/>
    <w:rsid w:val="00DF4BDB"/>
    <w:rsid w:val="00DF514A"/>
    <w:rsid w:val="00DF6690"/>
    <w:rsid w:val="00DF6804"/>
    <w:rsid w:val="00DF683C"/>
    <w:rsid w:val="00E00571"/>
    <w:rsid w:val="00E0152B"/>
    <w:rsid w:val="00E02453"/>
    <w:rsid w:val="00E03022"/>
    <w:rsid w:val="00E0358D"/>
    <w:rsid w:val="00E035E6"/>
    <w:rsid w:val="00E04323"/>
    <w:rsid w:val="00E059F9"/>
    <w:rsid w:val="00E070A2"/>
    <w:rsid w:val="00E073EB"/>
    <w:rsid w:val="00E115E3"/>
    <w:rsid w:val="00E11645"/>
    <w:rsid w:val="00E128FF"/>
    <w:rsid w:val="00E152D3"/>
    <w:rsid w:val="00E15F3A"/>
    <w:rsid w:val="00E16E48"/>
    <w:rsid w:val="00E2104A"/>
    <w:rsid w:val="00E211E7"/>
    <w:rsid w:val="00E22601"/>
    <w:rsid w:val="00E23C3F"/>
    <w:rsid w:val="00E2656A"/>
    <w:rsid w:val="00E26FE3"/>
    <w:rsid w:val="00E2774F"/>
    <w:rsid w:val="00E277F8"/>
    <w:rsid w:val="00E30585"/>
    <w:rsid w:val="00E30DA9"/>
    <w:rsid w:val="00E3138A"/>
    <w:rsid w:val="00E3241B"/>
    <w:rsid w:val="00E33684"/>
    <w:rsid w:val="00E33703"/>
    <w:rsid w:val="00E373B1"/>
    <w:rsid w:val="00E376DF"/>
    <w:rsid w:val="00E412D0"/>
    <w:rsid w:val="00E41F83"/>
    <w:rsid w:val="00E42404"/>
    <w:rsid w:val="00E4241A"/>
    <w:rsid w:val="00E42E1F"/>
    <w:rsid w:val="00E439E2"/>
    <w:rsid w:val="00E462A2"/>
    <w:rsid w:val="00E467B4"/>
    <w:rsid w:val="00E5025D"/>
    <w:rsid w:val="00E5056B"/>
    <w:rsid w:val="00E50600"/>
    <w:rsid w:val="00E5184A"/>
    <w:rsid w:val="00E51945"/>
    <w:rsid w:val="00E53CC4"/>
    <w:rsid w:val="00E53FB2"/>
    <w:rsid w:val="00E542C7"/>
    <w:rsid w:val="00E5555F"/>
    <w:rsid w:val="00E55EB5"/>
    <w:rsid w:val="00E56322"/>
    <w:rsid w:val="00E57375"/>
    <w:rsid w:val="00E60982"/>
    <w:rsid w:val="00E61C87"/>
    <w:rsid w:val="00E62C62"/>
    <w:rsid w:val="00E62E0B"/>
    <w:rsid w:val="00E635AD"/>
    <w:rsid w:val="00E638C5"/>
    <w:rsid w:val="00E6497A"/>
    <w:rsid w:val="00E654C1"/>
    <w:rsid w:val="00E65559"/>
    <w:rsid w:val="00E655FD"/>
    <w:rsid w:val="00E65D97"/>
    <w:rsid w:val="00E6670C"/>
    <w:rsid w:val="00E70B09"/>
    <w:rsid w:val="00E713E4"/>
    <w:rsid w:val="00E72A5A"/>
    <w:rsid w:val="00E73354"/>
    <w:rsid w:val="00E73631"/>
    <w:rsid w:val="00E7364F"/>
    <w:rsid w:val="00E73A66"/>
    <w:rsid w:val="00E769EC"/>
    <w:rsid w:val="00E80DF2"/>
    <w:rsid w:val="00E80FAA"/>
    <w:rsid w:val="00E81009"/>
    <w:rsid w:val="00E81771"/>
    <w:rsid w:val="00E8212D"/>
    <w:rsid w:val="00E82136"/>
    <w:rsid w:val="00E826C6"/>
    <w:rsid w:val="00E82ABB"/>
    <w:rsid w:val="00E84EF9"/>
    <w:rsid w:val="00E85585"/>
    <w:rsid w:val="00E907EB"/>
    <w:rsid w:val="00E9242D"/>
    <w:rsid w:val="00E92E9B"/>
    <w:rsid w:val="00E93F17"/>
    <w:rsid w:val="00E940AD"/>
    <w:rsid w:val="00E972F4"/>
    <w:rsid w:val="00E975BE"/>
    <w:rsid w:val="00E976A9"/>
    <w:rsid w:val="00E97844"/>
    <w:rsid w:val="00EA0FD8"/>
    <w:rsid w:val="00EA13BB"/>
    <w:rsid w:val="00EA3C8D"/>
    <w:rsid w:val="00EA5F62"/>
    <w:rsid w:val="00EB3A34"/>
    <w:rsid w:val="00EB4BC6"/>
    <w:rsid w:val="00EB5255"/>
    <w:rsid w:val="00EB5C47"/>
    <w:rsid w:val="00EB5FA2"/>
    <w:rsid w:val="00EC08A6"/>
    <w:rsid w:val="00EC0F60"/>
    <w:rsid w:val="00EC1522"/>
    <w:rsid w:val="00EC20E7"/>
    <w:rsid w:val="00EC3A4B"/>
    <w:rsid w:val="00EC41CA"/>
    <w:rsid w:val="00EC48C3"/>
    <w:rsid w:val="00EC4D8A"/>
    <w:rsid w:val="00EC56BE"/>
    <w:rsid w:val="00EC5FBC"/>
    <w:rsid w:val="00EC6FFC"/>
    <w:rsid w:val="00ED0639"/>
    <w:rsid w:val="00ED0AFB"/>
    <w:rsid w:val="00ED1911"/>
    <w:rsid w:val="00ED29E6"/>
    <w:rsid w:val="00ED33E7"/>
    <w:rsid w:val="00ED523E"/>
    <w:rsid w:val="00ED5D3B"/>
    <w:rsid w:val="00ED7E44"/>
    <w:rsid w:val="00EE0032"/>
    <w:rsid w:val="00EE336F"/>
    <w:rsid w:val="00EE3A9D"/>
    <w:rsid w:val="00EE5AEF"/>
    <w:rsid w:val="00EE5B89"/>
    <w:rsid w:val="00EE6598"/>
    <w:rsid w:val="00EF2068"/>
    <w:rsid w:val="00EF286F"/>
    <w:rsid w:val="00EF325B"/>
    <w:rsid w:val="00EF4755"/>
    <w:rsid w:val="00EF569F"/>
    <w:rsid w:val="00EF6362"/>
    <w:rsid w:val="00EF681A"/>
    <w:rsid w:val="00EF7135"/>
    <w:rsid w:val="00F0038A"/>
    <w:rsid w:val="00F00622"/>
    <w:rsid w:val="00F01943"/>
    <w:rsid w:val="00F024A8"/>
    <w:rsid w:val="00F027DB"/>
    <w:rsid w:val="00F02A6B"/>
    <w:rsid w:val="00F03189"/>
    <w:rsid w:val="00F031BD"/>
    <w:rsid w:val="00F03534"/>
    <w:rsid w:val="00F03594"/>
    <w:rsid w:val="00F036FF"/>
    <w:rsid w:val="00F03CF2"/>
    <w:rsid w:val="00F04ABE"/>
    <w:rsid w:val="00F04B59"/>
    <w:rsid w:val="00F0503A"/>
    <w:rsid w:val="00F057A3"/>
    <w:rsid w:val="00F058F7"/>
    <w:rsid w:val="00F05B53"/>
    <w:rsid w:val="00F0717C"/>
    <w:rsid w:val="00F128BD"/>
    <w:rsid w:val="00F12DF5"/>
    <w:rsid w:val="00F14A7A"/>
    <w:rsid w:val="00F161C4"/>
    <w:rsid w:val="00F17BAF"/>
    <w:rsid w:val="00F17D56"/>
    <w:rsid w:val="00F20ED0"/>
    <w:rsid w:val="00F211DC"/>
    <w:rsid w:val="00F21C0A"/>
    <w:rsid w:val="00F22985"/>
    <w:rsid w:val="00F23205"/>
    <w:rsid w:val="00F249E9"/>
    <w:rsid w:val="00F24ECE"/>
    <w:rsid w:val="00F256FA"/>
    <w:rsid w:val="00F27DF6"/>
    <w:rsid w:val="00F30C94"/>
    <w:rsid w:val="00F32FA5"/>
    <w:rsid w:val="00F3383E"/>
    <w:rsid w:val="00F3446A"/>
    <w:rsid w:val="00F34D44"/>
    <w:rsid w:val="00F3585A"/>
    <w:rsid w:val="00F35C28"/>
    <w:rsid w:val="00F40515"/>
    <w:rsid w:val="00F407EB"/>
    <w:rsid w:val="00F41E61"/>
    <w:rsid w:val="00F42089"/>
    <w:rsid w:val="00F42316"/>
    <w:rsid w:val="00F4357E"/>
    <w:rsid w:val="00F435DB"/>
    <w:rsid w:val="00F44252"/>
    <w:rsid w:val="00F465A7"/>
    <w:rsid w:val="00F46D1F"/>
    <w:rsid w:val="00F46FA0"/>
    <w:rsid w:val="00F50B7C"/>
    <w:rsid w:val="00F520BD"/>
    <w:rsid w:val="00F53548"/>
    <w:rsid w:val="00F550E4"/>
    <w:rsid w:val="00F550E6"/>
    <w:rsid w:val="00F55E5C"/>
    <w:rsid w:val="00F60291"/>
    <w:rsid w:val="00F64A29"/>
    <w:rsid w:val="00F64D16"/>
    <w:rsid w:val="00F657CB"/>
    <w:rsid w:val="00F66B05"/>
    <w:rsid w:val="00F67281"/>
    <w:rsid w:val="00F72242"/>
    <w:rsid w:val="00F72A6A"/>
    <w:rsid w:val="00F7341A"/>
    <w:rsid w:val="00F74345"/>
    <w:rsid w:val="00F7485B"/>
    <w:rsid w:val="00F76A6C"/>
    <w:rsid w:val="00F77A0A"/>
    <w:rsid w:val="00F8025C"/>
    <w:rsid w:val="00F80A0A"/>
    <w:rsid w:val="00F810CB"/>
    <w:rsid w:val="00F81612"/>
    <w:rsid w:val="00F81DAD"/>
    <w:rsid w:val="00F82157"/>
    <w:rsid w:val="00F8269C"/>
    <w:rsid w:val="00F82B19"/>
    <w:rsid w:val="00F83AFC"/>
    <w:rsid w:val="00F84C4A"/>
    <w:rsid w:val="00F85129"/>
    <w:rsid w:val="00F8552A"/>
    <w:rsid w:val="00F85755"/>
    <w:rsid w:val="00F857E3"/>
    <w:rsid w:val="00F85D47"/>
    <w:rsid w:val="00F8603C"/>
    <w:rsid w:val="00F8673B"/>
    <w:rsid w:val="00F87CB5"/>
    <w:rsid w:val="00F90446"/>
    <w:rsid w:val="00F904C1"/>
    <w:rsid w:val="00F90AFF"/>
    <w:rsid w:val="00F92103"/>
    <w:rsid w:val="00F9212D"/>
    <w:rsid w:val="00F94814"/>
    <w:rsid w:val="00F95A9D"/>
    <w:rsid w:val="00F95DCB"/>
    <w:rsid w:val="00F965DA"/>
    <w:rsid w:val="00F9703F"/>
    <w:rsid w:val="00F97222"/>
    <w:rsid w:val="00FA01AE"/>
    <w:rsid w:val="00FA03E1"/>
    <w:rsid w:val="00FA06B9"/>
    <w:rsid w:val="00FA0A67"/>
    <w:rsid w:val="00FA0BD5"/>
    <w:rsid w:val="00FA1922"/>
    <w:rsid w:val="00FA406A"/>
    <w:rsid w:val="00FA431C"/>
    <w:rsid w:val="00FA5667"/>
    <w:rsid w:val="00FA5927"/>
    <w:rsid w:val="00FB0B07"/>
    <w:rsid w:val="00FB1842"/>
    <w:rsid w:val="00FB18D2"/>
    <w:rsid w:val="00FB25EB"/>
    <w:rsid w:val="00FB503A"/>
    <w:rsid w:val="00FB516C"/>
    <w:rsid w:val="00FB71A1"/>
    <w:rsid w:val="00FB759E"/>
    <w:rsid w:val="00FB790A"/>
    <w:rsid w:val="00FC03C0"/>
    <w:rsid w:val="00FC1CF8"/>
    <w:rsid w:val="00FC406D"/>
    <w:rsid w:val="00FC583E"/>
    <w:rsid w:val="00FC7730"/>
    <w:rsid w:val="00FC7F25"/>
    <w:rsid w:val="00FD0236"/>
    <w:rsid w:val="00FD0B23"/>
    <w:rsid w:val="00FD18F4"/>
    <w:rsid w:val="00FD1B71"/>
    <w:rsid w:val="00FD3F5C"/>
    <w:rsid w:val="00FD54DB"/>
    <w:rsid w:val="00FD5D0A"/>
    <w:rsid w:val="00FD619F"/>
    <w:rsid w:val="00FD655D"/>
    <w:rsid w:val="00FD6817"/>
    <w:rsid w:val="00FD758D"/>
    <w:rsid w:val="00FE03E3"/>
    <w:rsid w:val="00FE05E5"/>
    <w:rsid w:val="00FE2D4B"/>
    <w:rsid w:val="00FE583A"/>
    <w:rsid w:val="00FE67AC"/>
    <w:rsid w:val="00FE7CBE"/>
    <w:rsid w:val="00FF1F4D"/>
    <w:rsid w:val="00FF1F93"/>
    <w:rsid w:val="00FF2770"/>
    <w:rsid w:val="00FF360A"/>
    <w:rsid w:val="00FF3C56"/>
    <w:rsid w:val="00FF4D34"/>
    <w:rsid w:val="00FF516F"/>
    <w:rsid w:val="00FF786B"/>
    <w:rsid w:val="01131B48"/>
    <w:rsid w:val="01290F7E"/>
    <w:rsid w:val="015D1E09"/>
    <w:rsid w:val="018A0E13"/>
    <w:rsid w:val="01D9765D"/>
    <w:rsid w:val="01EC338C"/>
    <w:rsid w:val="025C5FF2"/>
    <w:rsid w:val="02697903"/>
    <w:rsid w:val="02B87151"/>
    <w:rsid w:val="02C979FA"/>
    <w:rsid w:val="02F12611"/>
    <w:rsid w:val="02F9373E"/>
    <w:rsid w:val="02F96569"/>
    <w:rsid w:val="02FA4BF1"/>
    <w:rsid w:val="03382E07"/>
    <w:rsid w:val="036A05D8"/>
    <w:rsid w:val="03910325"/>
    <w:rsid w:val="03934A8B"/>
    <w:rsid w:val="039936FA"/>
    <w:rsid w:val="03C9507D"/>
    <w:rsid w:val="03EA7B21"/>
    <w:rsid w:val="03F84282"/>
    <w:rsid w:val="04282BEA"/>
    <w:rsid w:val="04415D9F"/>
    <w:rsid w:val="045F77E1"/>
    <w:rsid w:val="048B2596"/>
    <w:rsid w:val="051D3C9A"/>
    <w:rsid w:val="05216546"/>
    <w:rsid w:val="054E549E"/>
    <w:rsid w:val="055F54B4"/>
    <w:rsid w:val="05657434"/>
    <w:rsid w:val="05A74E87"/>
    <w:rsid w:val="05BC695E"/>
    <w:rsid w:val="05DA659E"/>
    <w:rsid w:val="05DD10B9"/>
    <w:rsid w:val="05F83EAE"/>
    <w:rsid w:val="060F608F"/>
    <w:rsid w:val="062D0C53"/>
    <w:rsid w:val="063E7D85"/>
    <w:rsid w:val="064D67D9"/>
    <w:rsid w:val="06555F67"/>
    <w:rsid w:val="065E0562"/>
    <w:rsid w:val="066E1058"/>
    <w:rsid w:val="069F5975"/>
    <w:rsid w:val="06A60915"/>
    <w:rsid w:val="06C324FD"/>
    <w:rsid w:val="06F408BE"/>
    <w:rsid w:val="07174993"/>
    <w:rsid w:val="07191034"/>
    <w:rsid w:val="07293586"/>
    <w:rsid w:val="07295285"/>
    <w:rsid w:val="072C4001"/>
    <w:rsid w:val="07636392"/>
    <w:rsid w:val="07770C56"/>
    <w:rsid w:val="077D5288"/>
    <w:rsid w:val="078F22DF"/>
    <w:rsid w:val="07B91A3F"/>
    <w:rsid w:val="07BF2129"/>
    <w:rsid w:val="08236B0E"/>
    <w:rsid w:val="082C54AC"/>
    <w:rsid w:val="08501855"/>
    <w:rsid w:val="0869241D"/>
    <w:rsid w:val="087A7E9E"/>
    <w:rsid w:val="08A8746C"/>
    <w:rsid w:val="08DD11B6"/>
    <w:rsid w:val="08E72C70"/>
    <w:rsid w:val="08EA67D6"/>
    <w:rsid w:val="092217DD"/>
    <w:rsid w:val="093A7294"/>
    <w:rsid w:val="094E030B"/>
    <w:rsid w:val="09502548"/>
    <w:rsid w:val="09561E7D"/>
    <w:rsid w:val="09682211"/>
    <w:rsid w:val="09685549"/>
    <w:rsid w:val="097642D4"/>
    <w:rsid w:val="09F45FD8"/>
    <w:rsid w:val="09F84285"/>
    <w:rsid w:val="0A1512FA"/>
    <w:rsid w:val="0A263993"/>
    <w:rsid w:val="0A2D3AC2"/>
    <w:rsid w:val="0A483AEC"/>
    <w:rsid w:val="0A5C6CA9"/>
    <w:rsid w:val="0A60794D"/>
    <w:rsid w:val="0A830071"/>
    <w:rsid w:val="0AA755DF"/>
    <w:rsid w:val="0AB34B49"/>
    <w:rsid w:val="0AC260D6"/>
    <w:rsid w:val="0AD54635"/>
    <w:rsid w:val="0AFD0A0F"/>
    <w:rsid w:val="0B120D44"/>
    <w:rsid w:val="0B1560D8"/>
    <w:rsid w:val="0B1D1819"/>
    <w:rsid w:val="0B3A7DD4"/>
    <w:rsid w:val="0B3E4DAE"/>
    <w:rsid w:val="0B4235B1"/>
    <w:rsid w:val="0B4235F7"/>
    <w:rsid w:val="0B5C5EF7"/>
    <w:rsid w:val="0B6C486F"/>
    <w:rsid w:val="0B8C227D"/>
    <w:rsid w:val="0B8F6296"/>
    <w:rsid w:val="0BD27BF6"/>
    <w:rsid w:val="0BEF52E7"/>
    <w:rsid w:val="0C191002"/>
    <w:rsid w:val="0C3B3C7D"/>
    <w:rsid w:val="0C6C454B"/>
    <w:rsid w:val="0C833643"/>
    <w:rsid w:val="0C9971E0"/>
    <w:rsid w:val="0CA70B60"/>
    <w:rsid w:val="0CAB2EAE"/>
    <w:rsid w:val="0CDE59CC"/>
    <w:rsid w:val="0CEE13B3"/>
    <w:rsid w:val="0D16756A"/>
    <w:rsid w:val="0D26730B"/>
    <w:rsid w:val="0D326C19"/>
    <w:rsid w:val="0D621C7D"/>
    <w:rsid w:val="0D847152"/>
    <w:rsid w:val="0D89184E"/>
    <w:rsid w:val="0DA062A7"/>
    <w:rsid w:val="0DC56F16"/>
    <w:rsid w:val="0DD15EA3"/>
    <w:rsid w:val="0E6F39AF"/>
    <w:rsid w:val="0E73034D"/>
    <w:rsid w:val="0E9E6512"/>
    <w:rsid w:val="0EA83D1F"/>
    <w:rsid w:val="0EAD2BF9"/>
    <w:rsid w:val="0EBD548B"/>
    <w:rsid w:val="0EC41D3D"/>
    <w:rsid w:val="0EF56D77"/>
    <w:rsid w:val="0F13775A"/>
    <w:rsid w:val="0F1E5939"/>
    <w:rsid w:val="0F452E31"/>
    <w:rsid w:val="0F5F45FE"/>
    <w:rsid w:val="0F7A0D2D"/>
    <w:rsid w:val="0F9A112B"/>
    <w:rsid w:val="0FF351FD"/>
    <w:rsid w:val="100225D6"/>
    <w:rsid w:val="10340719"/>
    <w:rsid w:val="10624CD2"/>
    <w:rsid w:val="106D2F64"/>
    <w:rsid w:val="10A13B38"/>
    <w:rsid w:val="10B16378"/>
    <w:rsid w:val="10B63710"/>
    <w:rsid w:val="10C20D77"/>
    <w:rsid w:val="10F10820"/>
    <w:rsid w:val="10F9573E"/>
    <w:rsid w:val="10FE653E"/>
    <w:rsid w:val="111C2F7A"/>
    <w:rsid w:val="113E5671"/>
    <w:rsid w:val="11432D5B"/>
    <w:rsid w:val="11665CA1"/>
    <w:rsid w:val="118E6F11"/>
    <w:rsid w:val="11AC24E6"/>
    <w:rsid w:val="11C92944"/>
    <w:rsid w:val="11D2515D"/>
    <w:rsid w:val="11EB0E0E"/>
    <w:rsid w:val="11EE4D51"/>
    <w:rsid w:val="120C511D"/>
    <w:rsid w:val="12165F88"/>
    <w:rsid w:val="12CF1B39"/>
    <w:rsid w:val="12D26338"/>
    <w:rsid w:val="13275B9E"/>
    <w:rsid w:val="13511DA5"/>
    <w:rsid w:val="136A754E"/>
    <w:rsid w:val="13910535"/>
    <w:rsid w:val="13951726"/>
    <w:rsid w:val="13CC53F7"/>
    <w:rsid w:val="13D0750A"/>
    <w:rsid w:val="13E72581"/>
    <w:rsid w:val="13F2658A"/>
    <w:rsid w:val="141554C8"/>
    <w:rsid w:val="14187679"/>
    <w:rsid w:val="14396509"/>
    <w:rsid w:val="1483317E"/>
    <w:rsid w:val="14C41BF4"/>
    <w:rsid w:val="14D47131"/>
    <w:rsid w:val="14DD2C3C"/>
    <w:rsid w:val="14E005F3"/>
    <w:rsid w:val="14EF7AC7"/>
    <w:rsid w:val="14F615C1"/>
    <w:rsid w:val="15355167"/>
    <w:rsid w:val="154C2AA3"/>
    <w:rsid w:val="15983279"/>
    <w:rsid w:val="15B02AA9"/>
    <w:rsid w:val="15CB38D4"/>
    <w:rsid w:val="15D075D8"/>
    <w:rsid w:val="15E5170F"/>
    <w:rsid w:val="16087E1D"/>
    <w:rsid w:val="16264485"/>
    <w:rsid w:val="16334545"/>
    <w:rsid w:val="16893CBD"/>
    <w:rsid w:val="16895989"/>
    <w:rsid w:val="16D2791F"/>
    <w:rsid w:val="16F77891"/>
    <w:rsid w:val="171E68BB"/>
    <w:rsid w:val="17410382"/>
    <w:rsid w:val="17511D3C"/>
    <w:rsid w:val="1752309E"/>
    <w:rsid w:val="17614481"/>
    <w:rsid w:val="17701D14"/>
    <w:rsid w:val="17735226"/>
    <w:rsid w:val="17765B21"/>
    <w:rsid w:val="17905A13"/>
    <w:rsid w:val="17D03547"/>
    <w:rsid w:val="17E15CCC"/>
    <w:rsid w:val="183C107A"/>
    <w:rsid w:val="189F624C"/>
    <w:rsid w:val="18B77C98"/>
    <w:rsid w:val="18EF15E5"/>
    <w:rsid w:val="191716B1"/>
    <w:rsid w:val="19393A07"/>
    <w:rsid w:val="193C34F7"/>
    <w:rsid w:val="19443AC4"/>
    <w:rsid w:val="19873411"/>
    <w:rsid w:val="198979E9"/>
    <w:rsid w:val="19946411"/>
    <w:rsid w:val="19BC3BD8"/>
    <w:rsid w:val="19C257AA"/>
    <w:rsid w:val="19CA019D"/>
    <w:rsid w:val="19DB70B5"/>
    <w:rsid w:val="1A145BC4"/>
    <w:rsid w:val="1A1C66C0"/>
    <w:rsid w:val="1A1C744E"/>
    <w:rsid w:val="1A3F01F5"/>
    <w:rsid w:val="1A42393B"/>
    <w:rsid w:val="1A937147"/>
    <w:rsid w:val="1A986135"/>
    <w:rsid w:val="1AAD45DE"/>
    <w:rsid w:val="1AED79D1"/>
    <w:rsid w:val="1B046F80"/>
    <w:rsid w:val="1B3267B5"/>
    <w:rsid w:val="1B40161D"/>
    <w:rsid w:val="1B423B1B"/>
    <w:rsid w:val="1B441859"/>
    <w:rsid w:val="1B4B7A22"/>
    <w:rsid w:val="1B6606B1"/>
    <w:rsid w:val="1B661443"/>
    <w:rsid w:val="1B9E1299"/>
    <w:rsid w:val="1C054074"/>
    <w:rsid w:val="1C0D174F"/>
    <w:rsid w:val="1C362480"/>
    <w:rsid w:val="1C3A4061"/>
    <w:rsid w:val="1C3A53FB"/>
    <w:rsid w:val="1C5E7925"/>
    <w:rsid w:val="1C6E36D6"/>
    <w:rsid w:val="1C701805"/>
    <w:rsid w:val="1CA25394"/>
    <w:rsid w:val="1CD15EBE"/>
    <w:rsid w:val="1CD60593"/>
    <w:rsid w:val="1CFD070F"/>
    <w:rsid w:val="1D5F6196"/>
    <w:rsid w:val="1D6132A5"/>
    <w:rsid w:val="1D6A4769"/>
    <w:rsid w:val="1D8E56D5"/>
    <w:rsid w:val="1D912315"/>
    <w:rsid w:val="1DFC2661"/>
    <w:rsid w:val="1E01086B"/>
    <w:rsid w:val="1E232DE7"/>
    <w:rsid w:val="1E4120B4"/>
    <w:rsid w:val="1E575C9E"/>
    <w:rsid w:val="1E581E28"/>
    <w:rsid w:val="1E7A43DA"/>
    <w:rsid w:val="1F0E26C1"/>
    <w:rsid w:val="1F1613EB"/>
    <w:rsid w:val="1F251F55"/>
    <w:rsid w:val="1F301408"/>
    <w:rsid w:val="1F340117"/>
    <w:rsid w:val="1F5C08C8"/>
    <w:rsid w:val="1F6948CA"/>
    <w:rsid w:val="1FB857A3"/>
    <w:rsid w:val="1FE1032A"/>
    <w:rsid w:val="1FE7539E"/>
    <w:rsid w:val="1FEB5538"/>
    <w:rsid w:val="201B6903"/>
    <w:rsid w:val="202B59D7"/>
    <w:rsid w:val="20671BE0"/>
    <w:rsid w:val="206C677F"/>
    <w:rsid w:val="20731D8B"/>
    <w:rsid w:val="20795EDE"/>
    <w:rsid w:val="20963CB8"/>
    <w:rsid w:val="209F4A2C"/>
    <w:rsid w:val="20A81A1B"/>
    <w:rsid w:val="20B07FB6"/>
    <w:rsid w:val="20B646FB"/>
    <w:rsid w:val="20D01DCF"/>
    <w:rsid w:val="20D60F79"/>
    <w:rsid w:val="20DD40D7"/>
    <w:rsid w:val="20F70991"/>
    <w:rsid w:val="210C3E27"/>
    <w:rsid w:val="211C60E8"/>
    <w:rsid w:val="213B74B1"/>
    <w:rsid w:val="215A2310"/>
    <w:rsid w:val="2168547C"/>
    <w:rsid w:val="21A61571"/>
    <w:rsid w:val="21CE57A6"/>
    <w:rsid w:val="21DE318A"/>
    <w:rsid w:val="21E24303"/>
    <w:rsid w:val="21EF5B80"/>
    <w:rsid w:val="22123A01"/>
    <w:rsid w:val="2224381A"/>
    <w:rsid w:val="224354C2"/>
    <w:rsid w:val="22446A3F"/>
    <w:rsid w:val="224D5CAF"/>
    <w:rsid w:val="22576990"/>
    <w:rsid w:val="22E46712"/>
    <w:rsid w:val="22F47480"/>
    <w:rsid w:val="22FA1721"/>
    <w:rsid w:val="233F60BE"/>
    <w:rsid w:val="235D4796"/>
    <w:rsid w:val="237621D9"/>
    <w:rsid w:val="237C57A8"/>
    <w:rsid w:val="23DE1C48"/>
    <w:rsid w:val="23E01DFF"/>
    <w:rsid w:val="23EC3A91"/>
    <w:rsid w:val="240210CD"/>
    <w:rsid w:val="2438604E"/>
    <w:rsid w:val="247A5CA9"/>
    <w:rsid w:val="249C4E4A"/>
    <w:rsid w:val="24B20679"/>
    <w:rsid w:val="24BF09F7"/>
    <w:rsid w:val="24C1126B"/>
    <w:rsid w:val="24CA3C90"/>
    <w:rsid w:val="25001CD9"/>
    <w:rsid w:val="250764FC"/>
    <w:rsid w:val="251D41DD"/>
    <w:rsid w:val="252D53FE"/>
    <w:rsid w:val="25333A00"/>
    <w:rsid w:val="253F254E"/>
    <w:rsid w:val="259F05D7"/>
    <w:rsid w:val="25E154EE"/>
    <w:rsid w:val="25EC2D81"/>
    <w:rsid w:val="263A491A"/>
    <w:rsid w:val="26A96EED"/>
    <w:rsid w:val="26AF32F4"/>
    <w:rsid w:val="26B26793"/>
    <w:rsid w:val="270E3B22"/>
    <w:rsid w:val="2726739B"/>
    <w:rsid w:val="277057A2"/>
    <w:rsid w:val="27A10DC8"/>
    <w:rsid w:val="28180235"/>
    <w:rsid w:val="281827A2"/>
    <w:rsid w:val="283F090E"/>
    <w:rsid w:val="28611182"/>
    <w:rsid w:val="28B43AB0"/>
    <w:rsid w:val="2900433A"/>
    <w:rsid w:val="290659FC"/>
    <w:rsid w:val="291F0D4E"/>
    <w:rsid w:val="29206EB8"/>
    <w:rsid w:val="29595666"/>
    <w:rsid w:val="295A5E0D"/>
    <w:rsid w:val="296B10DB"/>
    <w:rsid w:val="29874881"/>
    <w:rsid w:val="29E325E0"/>
    <w:rsid w:val="29F75336"/>
    <w:rsid w:val="2A18452A"/>
    <w:rsid w:val="2A435A2A"/>
    <w:rsid w:val="2A452503"/>
    <w:rsid w:val="2A4E3A0F"/>
    <w:rsid w:val="2A637432"/>
    <w:rsid w:val="2A7C519C"/>
    <w:rsid w:val="2A8101B9"/>
    <w:rsid w:val="2A9E7FD5"/>
    <w:rsid w:val="2ABC2634"/>
    <w:rsid w:val="2ACD6A87"/>
    <w:rsid w:val="2AD67958"/>
    <w:rsid w:val="2AE52EC1"/>
    <w:rsid w:val="2AFD492E"/>
    <w:rsid w:val="2B0528EF"/>
    <w:rsid w:val="2B0F416E"/>
    <w:rsid w:val="2B23418E"/>
    <w:rsid w:val="2B261911"/>
    <w:rsid w:val="2B2B0B9C"/>
    <w:rsid w:val="2BA936A8"/>
    <w:rsid w:val="2C315A5A"/>
    <w:rsid w:val="2C4B1C25"/>
    <w:rsid w:val="2C595428"/>
    <w:rsid w:val="2C5B6C3F"/>
    <w:rsid w:val="2C884632"/>
    <w:rsid w:val="2C9344EE"/>
    <w:rsid w:val="2CA74CBF"/>
    <w:rsid w:val="2CB95615"/>
    <w:rsid w:val="2CC93D5E"/>
    <w:rsid w:val="2CD86C3B"/>
    <w:rsid w:val="2D02355D"/>
    <w:rsid w:val="2D1B4A8C"/>
    <w:rsid w:val="2D275EBA"/>
    <w:rsid w:val="2D2C3EAD"/>
    <w:rsid w:val="2D4B7F4D"/>
    <w:rsid w:val="2D5A5ACF"/>
    <w:rsid w:val="2D5F261A"/>
    <w:rsid w:val="2D682FA8"/>
    <w:rsid w:val="2D7F266D"/>
    <w:rsid w:val="2D9E56F5"/>
    <w:rsid w:val="2DA95544"/>
    <w:rsid w:val="2DB66F7C"/>
    <w:rsid w:val="2DBE5581"/>
    <w:rsid w:val="2DFD50AA"/>
    <w:rsid w:val="2E197F71"/>
    <w:rsid w:val="2E354F10"/>
    <w:rsid w:val="2E577083"/>
    <w:rsid w:val="2E667F96"/>
    <w:rsid w:val="2E6F468C"/>
    <w:rsid w:val="2E732D7E"/>
    <w:rsid w:val="2E7C72C4"/>
    <w:rsid w:val="2E8226AB"/>
    <w:rsid w:val="2ED367A2"/>
    <w:rsid w:val="2ED91124"/>
    <w:rsid w:val="2F1A4693"/>
    <w:rsid w:val="2F4C1EBE"/>
    <w:rsid w:val="2F656CE0"/>
    <w:rsid w:val="2F7958D1"/>
    <w:rsid w:val="2F971BB8"/>
    <w:rsid w:val="2FD065E6"/>
    <w:rsid w:val="2FD96870"/>
    <w:rsid w:val="3038636F"/>
    <w:rsid w:val="30580BC9"/>
    <w:rsid w:val="305C56E5"/>
    <w:rsid w:val="30CC5FB6"/>
    <w:rsid w:val="30F878AC"/>
    <w:rsid w:val="30FB7161"/>
    <w:rsid w:val="31003DB8"/>
    <w:rsid w:val="311E2ED7"/>
    <w:rsid w:val="31273277"/>
    <w:rsid w:val="315619EE"/>
    <w:rsid w:val="315C449C"/>
    <w:rsid w:val="3185332A"/>
    <w:rsid w:val="31AE1307"/>
    <w:rsid w:val="31B82709"/>
    <w:rsid w:val="31C21AA8"/>
    <w:rsid w:val="31D05482"/>
    <w:rsid w:val="31E47943"/>
    <w:rsid w:val="32217791"/>
    <w:rsid w:val="3222632F"/>
    <w:rsid w:val="32400B34"/>
    <w:rsid w:val="324273DC"/>
    <w:rsid w:val="327279EF"/>
    <w:rsid w:val="328D777F"/>
    <w:rsid w:val="32951856"/>
    <w:rsid w:val="329E6876"/>
    <w:rsid w:val="32A95302"/>
    <w:rsid w:val="32B80903"/>
    <w:rsid w:val="32C3123D"/>
    <w:rsid w:val="32EB3B6C"/>
    <w:rsid w:val="333015F2"/>
    <w:rsid w:val="334B6320"/>
    <w:rsid w:val="33D934D4"/>
    <w:rsid w:val="33EC7B9C"/>
    <w:rsid w:val="33FE2F6A"/>
    <w:rsid w:val="340E07E5"/>
    <w:rsid w:val="34235BF7"/>
    <w:rsid w:val="34281B8A"/>
    <w:rsid w:val="34684D49"/>
    <w:rsid w:val="347D72A6"/>
    <w:rsid w:val="347F5EFC"/>
    <w:rsid w:val="34A2025B"/>
    <w:rsid w:val="34B64014"/>
    <w:rsid w:val="34BC099C"/>
    <w:rsid w:val="34CE72A2"/>
    <w:rsid w:val="34D32303"/>
    <w:rsid w:val="34DE67A6"/>
    <w:rsid w:val="34FD1603"/>
    <w:rsid w:val="351E29D4"/>
    <w:rsid w:val="352A76F3"/>
    <w:rsid w:val="353A59CF"/>
    <w:rsid w:val="355F763A"/>
    <w:rsid w:val="356F09EB"/>
    <w:rsid w:val="35824BFA"/>
    <w:rsid w:val="358C5FA8"/>
    <w:rsid w:val="35A973C7"/>
    <w:rsid w:val="35B764A1"/>
    <w:rsid w:val="35C15DF1"/>
    <w:rsid w:val="35FE7713"/>
    <w:rsid w:val="3602542B"/>
    <w:rsid w:val="36074A7F"/>
    <w:rsid w:val="360B2817"/>
    <w:rsid w:val="361B30F9"/>
    <w:rsid w:val="36662D3E"/>
    <w:rsid w:val="367C5D10"/>
    <w:rsid w:val="36923549"/>
    <w:rsid w:val="36AA291D"/>
    <w:rsid w:val="36B75FBF"/>
    <w:rsid w:val="36BD0C45"/>
    <w:rsid w:val="36E732E4"/>
    <w:rsid w:val="370A7282"/>
    <w:rsid w:val="37145F5F"/>
    <w:rsid w:val="37537F32"/>
    <w:rsid w:val="375B6B4D"/>
    <w:rsid w:val="377D0B0B"/>
    <w:rsid w:val="3781285B"/>
    <w:rsid w:val="378D7CC6"/>
    <w:rsid w:val="379569FE"/>
    <w:rsid w:val="37C86D00"/>
    <w:rsid w:val="37CC2F9B"/>
    <w:rsid w:val="37E00298"/>
    <w:rsid w:val="38106D71"/>
    <w:rsid w:val="38113686"/>
    <w:rsid w:val="38195813"/>
    <w:rsid w:val="38196A86"/>
    <w:rsid w:val="38B302F9"/>
    <w:rsid w:val="38F12CD3"/>
    <w:rsid w:val="38F94775"/>
    <w:rsid w:val="39246DFA"/>
    <w:rsid w:val="392971ED"/>
    <w:rsid w:val="39325651"/>
    <w:rsid w:val="395D0799"/>
    <w:rsid w:val="3972488B"/>
    <w:rsid w:val="3990340A"/>
    <w:rsid w:val="39A10074"/>
    <w:rsid w:val="39B61E02"/>
    <w:rsid w:val="39B62169"/>
    <w:rsid w:val="3A2B4A80"/>
    <w:rsid w:val="3A872856"/>
    <w:rsid w:val="3ACC4283"/>
    <w:rsid w:val="3B180405"/>
    <w:rsid w:val="3B2D64FF"/>
    <w:rsid w:val="3B3763D1"/>
    <w:rsid w:val="3B602CD2"/>
    <w:rsid w:val="3B6A55BB"/>
    <w:rsid w:val="3B731AB5"/>
    <w:rsid w:val="3B826DCB"/>
    <w:rsid w:val="3BA069B6"/>
    <w:rsid w:val="3BA37B6F"/>
    <w:rsid w:val="3BD979AE"/>
    <w:rsid w:val="3BE517E8"/>
    <w:rsid w:val="3BE528E6"/>
    <w:rsid w:val="3BFA65CD"/>
    <w:rsid w:val="3BFF15A9"/>
    <w:rsid w:val="3C187054"/>
    <w:rsid w:val="3C2B6D87"/>
    <w:rsid w:val="3C2F6E1E"/>
    <w:rsid w:val="3C3976F6"/>
    <w:rsid w:val="3C47343B"/>
    <w:rsid w:val="3C4F296C"/>
    <w:rsid w:val="3C4F64BA"/>
    <w:rsid w:val="3C5158A1"/>
    <w:rsid w:val="3C617B5E"/>
    <w:rsid w:val="3C793F97"/>
    <w:rsid w:val="3C7F3809"/>
    <w:rsid w:val="3C921F26"/>
    <w:rsid w:val="3CA57581"/>
    <w:rsid w:val="3CC628E8"/>
    <w:rsid w:val="3CDA245A"/>
    <w:rsid w:val="3D0755F1"/>
    <w:rsid w:val="3D1E06B7"/>
    <w:rsid w:val="3D535FDC"/>
    <w:rsid w:val="3DCB25D0"/>
    <w:rsid w:val="3DDE696D"/>
    <w:rsid w:val="3DED2C53"/>
    <w:rsid w:val="3E2972F7"/>
    <w:rsid w:val="3E3170D5"/>
    <w:rsid w:val="3E805BD6"/>
    <w:rsid w:val="3EB1425C"/>
    <w:rsid w:val="3EBC7EA2"/>
    <w:rsid w:val="3EBF26D7"/>
    <w:rsid w:val="3ECB39C4"/>
    <w:rsid w:val="3EDA0523"/>
    <w:rsid w:val="3EFA3A97"/>
    <w:rsid w:val="3F1E727C"/>
    <w:rsid w:val="3F337FF6"/>
    <w:rsid w:val="3FDE5C3F"/>
    <w:rsid w:val="407A6407"/>
    <w:rsid w:val="408E40D6"/>
    <w:rsid w:val="40A16021"/>
    <w:rsid w:val="40CF55D8"/>
    <w:rsid w:val="40DC4AF4"/>
    <w:rsid w:val="40EA519B"/>
    <w:rsid w:val="40EE236D"/>
    <w:rsid w:val="41187B37"/>
    <w:rsid w:val="416219AA"/>
    <w:rsid w:val="419A7707"/>
    <w:rsid w:val="41A1079C"/>
    <w:rsid w:val="41C647A1"/>
    <w:rsid w:val="41D84409"/>
    <w:rsid w:val="41DC4305"/>
    <w:rsid w:val="41EF31A0"/>
    <w:rsid w:val="41FD2F74"/>
    <w:rsid w:val="4200449D"/>
    <w:rsid w:val="423160D6"/>
    <w:rsid w:val="423A3BCC"/>
    <w:rsid w:val="424E57D2"/>
    <w:rsid w:val="4254350E"/>
    <w:rsid w:val="425D1C65"/>
    <w:rsid w:val="4268561C"/>
    <w:rsid w:val="42862617"/>
    <w:rsid w:val="429A140C"/>
    <w:rsid w:val="42A46E2E"/>
    <w:rsid w:val="42B26C49"/>
    <w:rsid w:val="42C340FA"/>
    <w:rsid w:val="42E6299D"/>
    <w:rsid w:val="43004CED"/>
    <w:rsid w:val="4301248F"/>
    <w:rsid w:val="433A6FE6"/>
    <w:rsid w:val="43480868"/>
    <w:rsid w:val="4350713C"/>
    <w:rsid w:val="436653E0"/>
    <w:rsid w:val="43942225"/>
    <w:rsid w:val="439873F8"/>
    <w:rsid w:val="43C4431A"/>
    <w:rsid w:val="43CB0DDB"/>
    <w:rsid w:val="43D95C8B"/>
    <w:rsid w:val="440270AE"/>
    <w:rsid w:val="441412B7"/>
    <w:rsid w:val="442C492F"/>
    <w:rsid w:val="443A225E"/>
    <w:rsid w:val="444459DA"/>
    <w:rsid w:val="445439A1"/>
    <w:rsid w:val="4464774B"/>
    <w:rsid w:val="44844CDB"/>
    <w:rsid w:val="44847772"/>
    <w:rsid w:val="44910A36"/>
    <w:rsid w:val="44A74FCA"/>
    <w:rsid w:val="44B951CC"/>
    <w:rsid w:val="44CD14E0"/>
    <w:rsid w:val="44F20B0B"/>
    <w:rsid w:val="450C3AC5"/>
    <w:rsid w:val="45153461"/>
    <w:rsid w:val="45206FDC"/>
    <w:rsid w:val="452E5F4C"/>
    <w:rsid w:val="45612018"/>
    <w:rsid w:val="458946E9"/>
    <w:rsid w:val="45A47C0E"/>
    <w:rsid w:val="45B30F35"/>
    <w:rsid w:val="45CA3E9D"/>
    <w:rsid w:val="45EA4025"/>
    <w:rsid w:val="462B0BD3"/>
    <w:rsid w:val="46577FD6"/>
    <w:rsid w:val="465E062E"/>
    <w:rsid w:val="46684CE4"/>
    <w:rsid w:val="4693710B"/>
    <w:rsid w:val="46C61000"/>
    <w:rsid w:val="46D955A7"/>
    <w:rsid w:val="46ED54EC"/>
    <w:rsid w:val="47133957"/>
    <w:rsid w:val="4714323A"/>
    <w:rsid w:val="473B112C"/>
    <w:rsid w:val="47640900"/>
    <w:rsid w:val="477C56AC"/>
    <w:rsid w:val="47A07E0C"/>
    <w:rsid w:val="47AC3F5B"/>
    <w:rsid w:val="47B642F1"/>
    <w:rsid w:val="47CC1972"/>
    <w:rsid w:val="47D23130"/>
    <w:rsid w:val="47DE1152"/>
    <w:rsid w:val="47E0136E"/>
    <w:rsid w:val="4806703D"/>
    <w:rsid w:val="483E6094"/>
    <w:rsid w:val="484464F8"/>
    <w:rsid w:val="48487C9B"/>
    <w:rsid w:val="484B4B61"/>
    <w:rsid w:val="486C3763"/>
    <w:rsid w:val="4870272E"/>
    <w:rsid w:val="487D77CB"/>
    <w:rsid w:val="48835AC0"/>
    <w:rsid w:val="48CE566A"/>
    <w:rsid w:val="48DC52F3"/>
    <w:rsid w:val="48F40FCD"/>
    <w:rsid w:val="490E0B4B"/>
    <w:rsid w:val="493F7494"/>
    <w:rsid w:val="499B507E"/>
    <w:rsid w:val="49B50AB0"/>
    <w:rsid w:val="49BE748D"/>
    <w:rsid w:val="49D9711D"/>
    <w:rsid w:val="49DC7715"/>
    <w:rsid w:val="49EE2E0B"/>
    <w:rsid w:val="49F76A1B"/>
    <w:rsid w:val="4A023139"/>
    <w:rsid w:val="4A264637"/>
    <w:rsid w:val="4A2A68D0"/>
    <w:rsid w:val="4A2F038B"/>
    <w:rsid w:val="4A3D165A"/>
    <w:rsid w:val="4A7B576F"/>
    <w:rsid w:val="4A8331E9"/>
    <w:rsid w:val="4AA86674"/>
    <w:rsid w:val="4AC66034"/>
    <w:rsid w:val="4AEF30EF"/>
    <w:rsid w:val="4AF561A9"/>
    <w:rsid w:val="4AF56EDE"/>
    <w:rsid w:val="4AFC2C15"/>
    <w:rsid w:val="4B490BBD"/>
    <w:rsid w:val="4B616557"/>
    <w:rsid w:val="4B8A1104"/>
    <w:rsid w:val="4BC029A0"/>
    <w:rsid w:val="4BD90EFA"/>
    <w:rsid w:val="4C105929"/>
    <w:rsid w:val="4C107D48"/>
    <w:rsid w:val="4C1D697A"/>
    <w:rsid w:val="4C384DDE"/>
    <w:rsid w:val="4C4A0649"/>
    <w:rsid w:val="4C721B3C"/>
    <w:rsid w:val="4C7E5ECA"/>
    <w:rsid w:val="4C876AA5"/>
    <w:rsid w:val="4C904D73"/>
    <w:rsid w:val="4CB161E9"/>
    <w:rsid w:val="4CBC4968"/>
    <w:rsid w:val="4CFC7915"/>
    <w:rsid w:val="4D0E00FB"/>
    <w:rsid w:val="4D176606"/>
    <w:rsid w:val="4D284ECA"/>
    <w:rsid w:val="4D711924"/>
    <w:rsid w:val="4DA447B8"/>
    <w:rsid w:val="4DEC4FB0"/>
    <w:rsid w:val="4DF45702"/>
    <w:rsid w:val="4E075D8A"/>
    <w:rsid w:val="4E1A56BA"/>
    <w:rsid w:val="4E3449A7"/>
    <w:rsid w:val="4E573638"/>
    <w:rsid w:val="4E60254D"/>
    <w:rsid w:val="4E611AB9"/>
    <w:rsid w:val="4E816CDB"/>
    <w:rsid w:val="4EC00FAD"/>
    <w:rsid w:val="4ED17C62"/>
    <w:rsid w:val="4EE72FE2"/>
    <w:rsid w:val="4F015E8B"/>
    <w:rsid w:val="4F624D5E"/>
    <w:rsid w:val="4F6771FC"/>
    <w:rsid w:val="4F6A7E91"/>
    <w:rsid w:val="4F76363C"/>
    <w:rsid w:val="4F7E172F"/>
    <w:rsid w:val="4F9843DC"/>
    <w:rsid w:val="4FC62A8C"/>
    <w:rsid w:val="4FD911B3"/>
    <w:rsid w:val="4FE146DA"/>
    <w:rsid w:val="4FE20F0D"/>
    <w:rsid w:val="4FE51552"/>
    <w:rsid w:val="50017B1C"/>
    <w:rsid w:val="50105081"/>
    <w:rsid w:val="50446F33"/>
    <w:rsid w:val="50504C4B"/>
    <w:rsid w:val="509C6E7C"/>
    <w:rsid w:val="50CF6C60"/>
    <w:rsid w:val="51030A1F"/>
    <w:rsid w:val="510C4D12"/>
    <w:rsid w:val="513F4814"/>
    <w:rsid w:val="515106B1"/>
    <w:rsid w:val="515B42AA"/>
    <w:rsid w:val="5162104E"/>
    <w:rsid w:val="51657F8C"/>
    <w:rsid w:val="517E4880"/>
    <w:rsid w:val="51862EB9"/>
    <w:rsid w:val="519C08F1"/>
    <w:rsid w:val="51D86E81"/>
    <w:rsid w:val="522021B9"/>
    <w:rsid w:val="522E4CA5"/>
    <w:rsid w:val="52347F15"/>
    <w:rsid w:val="52636E74"/>
    <w:rsid w:val="5269228D"/>
    <w:rsid w:val="530F0D59"/>
    <w:rsid w:val="532C3A30"/>
    <w:rsid w:val="53342DD7"/>
    <w:rsid w:val="53540668"/>
    <w:rsid w:val="537475E0"/>
    <w:rsid w:val="537D5FD6"/>
    <w:rsid w:val="53955D73"/>
    <w:rsid w:val="539D45B7"/>
    <w:rsid w:val="53A039CC"/>
    <w:rsid w:val="53A1505A"/>
    <w:rsid w:val="53A94D0A"/>
    <w:rsid w:val="53E6102F"/>
    <w:rsid w:val="53E87F34"/>
    <w:rsid w:val="53EF7960"/>
    <w:rsid w:val="53F04D60"/>
    <w:rsid w:val="54063E08"/>
    <w:rsid w:val="54083DC9"/>
    <w:rsid w:val="54104779"/>
    <w:rsid w:val="543437E8"/>
    <w:rsid w:val="54C90F9E"/>
    <w:rsid w:val="54D2310B"/>
    <w:rsid w:val="54F11560"/>
    <w:rsid w:val="54F73313"/>
    <w:rsid w:val="54F80955"/>
    <w:rsid w:val="55027C53"/>
    <w:rsid w:val="55115E79"/>
    <w:rsid w:val="55134624"/>
    <w:rsid w:val="552A452C"/>
    <w:rsid w:val="55417A82"/>
    <w:rsid w:val="555170A7"/>
    <w:rsid w:val="5587536D"/>
    <w:rsid w:val="559B174B"/>
    <w:rsid w:val="55B9151A"/>
    <w:rsid w:val="55CE0CF4"/>
    <w:rsid w:val="55E40084"/>
    <w:rsid w:val="561F0B31"/>
    <w:rsid w:val="562A59EC"/>
    <w:rsid w:val="563303E7"/>
    <w:rsid w:val="568217BC"/>
    <w:rsid w:val="5690156A"/>
    <w:rsid w:val="56B22A9C"/>
    <w:rsid w:val="56BF7C72"/>
    <w:rsid w:val="56F664B8"/>
    <w:rsid w:val="570F1328"/>
    <w:rsid w:val="57470A90"/>
    <w:rsid w:val="575C7BD0"/>
    <w:rsid w:val="57867BCE"/>
    <w:rsid w:val="57AF68E8"/>
    <w:rsid w:val="57B72A76"/>
    <w:rsid w:val="57C3426C"/>
    <w:rsid w:val="57CE1F93"/>
    <w:rsid w:val="582E1C82"/>
    <w:rsid w:val="58300991"/>
    <w:rsid w:val="58584F50"/>
    <w:rsid w:val="587003DF"/>
    <w:rsid w:val="58770836"/>
    <w:rsid w:val="588743D1"/>
    <w:rsid w:val="5887701A"/>
    <w:rsid w:val="589B323E"/>
    <w:rsid w:val="58B116FF"/>
    <w:rsid w:val="58CA66C7"/>
    <w:rsid w:val="58D77C23"/>
    <w:rsid w:val="591C47C5"/>
    <w:rsid w:val="59226D3A"/>
    <w:rsid w:val="592D714D"/>
    <w:rsid w:val="59340BFF"/>
    <w:rsid w:val="5945374D"/>
    <w:rsid w:val="595206F0"/>
    <w:rsid w:val="59741128"/>
    <w:rsid w:val="598E1B7C"/>
    <w:rsid w:val="598F49A2"/>
    <w:rsid w:val="59BC4EE8"/>
    <w:rsid w:val="59C0439F"/>
    <w:rsid w:val="59CA3C2C"/>
    <w:rsid w:val="59D6457B"/>
    <w:rsid w:val="5A1F6894"/>
    <w:rsid w:val="5A3E2773"/>
    <w:rsid w:val="5A873491"/>
    <w:rsid w:val="5AAC0347"/>
    <w:rsid w:val="5AB81BD1"/>
    <w:rsid w:val="5ABE2233"/>
    <w:rsid w:val="5ACF3F53"/>
    <w:rsid w:val="5AFD0A41"/>
    <w:rsid w:val="5B535772"/>
    <w:rsid w:val="5B9B08BB"/>
    <w:rsid w:val="5BA3489D"/>
    <w:rsid w:val="5BD00FBC"/>
    <w:rsid w:val="5BDF5D95"/>
    <w:rsid w:val="5BFE7528"/>
    <w:rsid w:val="5C611888"/>
    <w:rsid w:val="5C8E2CEF"/>
    <w:rsid w:val="5CA4167C"/>
    <w:rsid w:val="5CCA026C"/>
    <w:rsid w:val="5CDC29CB"/>
    <w:rsid w:val="5CE60D7D"/>
    <w:rsid w:val="5CE90BED"/>
    <w:rsid w:val="5D521F6E"/>
    <w:rsid w:val="5D624BB2"/>
    <w:rsid w:val="5D697DC5"/>
    <w:rsid w:val="5D8B2D0B"/>
    <w:rsid w:val="5D96548B"/>
    <w:rsid w:val="5DAB5B22"/>
    <w:rsid w:val="5DBB244F"/>
    <w:rsid w:val="5E053485"/>
    <w:rsid w:val="5E2467F1"/>
    <w:rsid w:val="5E48449A"/>
    <w:rsid w:val="5E6860E5"/>
    <w:rsid w:val="5E7514A4"/>
    <w:rsid w:val="5E8A356A"/>
    <w:rsid w:val="5ECC5796"/>
    <w:rsid w:val="5ECF727A"/>
    <w:rsid w:val="5ED137AD"/>
    <w:rsid w:val="5F1A2B43"/>
    <w:rsid w:val="5F2D2945"/>
    <w:rsid w:val="5F4C03B4"/>
    <w:rsid w:val="5F9B7003"/>
    <w:rsid w:val="5FB837BB"/>
    <w:rsid w:val="5FE52181"/>
    <w:rsid w:val="6023751F"/>
    <w:rsid w:val="60455B3F"/>
    <w:rsid w:val="604C4297"/>
    <w:rsid w:val="608F2ABA"/>
    <w:rsid w:val="609066B8"/>
    <w:rsid w:val="60CC405A"/>
    <w:rsid w:val="60DF7FBD"/>
    <w:rsid w:val="60E14BBD"/>
    <w:rsid w:val="60FF1991"/>
    <w:rsid w:val="61316D67"/>
    <w:rsid w:val="61643340"/>
    <w:rsid w:val="61720808"/>
    <w:rsid w:val="61C14D93"/>
    <w:rsid w:val="61C609B4"/>
    <w:rsid w:val="61E215D8"/>
    <w:rsid w:val="62037CDB"/>
    <w:rsid w:val="620D10BB"/>
    <w:rsid w:val="621B3775"/>
    <w:rsid w:val="6228685B"/>
    <w:rsid w:val="62364782"/>
    <w:rsid w:val="624A1CA0"/>
    <w:rsid w:val="62817C8D"/>
    <w:rsid w:val="62A61922"/>
    <w:rsid w:val="63017972"/>
    <w:rsid w:val="633D5E8C"/>
    <w:rsid w:val="634D0AF4"/>
    <w:rsid w:val="634F4E67"/>
    <w:rsid w:val="63561EA2"/>
    <w:rsid w:val="63590B31"/>
    <w:rsid w:val="6394356A"/>
    <w:rsid w:val="63BD202A"/>
    <w:rsid w:val="63C61B2C"/>
    <w:rsid w:val="63D33C9F"/>
    <w:rsid w:val="63D40BE9"/>
    <w:rsid w:val="63D774FA"/>
    <w:rsid w:val="63E40C68"/>
    <w:rsid w:val="63ED6339"/>
    <w:rsid w:val="64102431"/>
    <w:rsid w:val="644771FB"/>
    <w:rsid w:val="644A0841"/>
    <w:rsid w:val="646027A1"/>
    <w:rsid w:val="64A30DAC"/>
    <w:rsid w:val="64A353AA"/>
    <w:rsid w:val="64A5243A"/>
    <w:rsid w:val="64C75775"/>
    <w:rsid w:val="64D3411F"/>
    <w:rsid w:val="64F531DE"/>
    <w:rsid w:val="65373578"/>
    <w:rsid w:val="655E09B0"/>
    <w:rsid w:val="65707A92"/>
    <w:rsid w:val="658906FF"/>
    <w:rsid w:val="6591708B"/>
    <w:rsid w:val="65C36BC1"/>
    <w:rsid w:val="66374284"/>
    <w:rsid w:val="66497FC9"/>
    <w:rsid w:val="66630D48"/>
    <w:rsid w:val="669D21BD"/>
    <w:rsid w:val="66C0263F"/>
    <w:rsid w:val="670E577B"/>
    <w:rsid w:val="671F124A"/>
    <w:rsid w:val="673C35B0"/>
    <w:rsid w:val="675B37A5"/>
    <w:rsid w:val="677A33C6"/>
    <w:rsid w:val="677F1C35"/>
    <w:rsid w:val="67A437C0"/>
    <w:rsid w:val="67DE2ED0"/>
    <w:rsid w:val="681F6961"/>
    <w:rsid w:val="6853443D"/>
    <w:rsid w:val="68610A2F"/>
    <w:rsid w:val="68805514"/>
    <w:rsid w:val="68965EDB"/>
    <w:rsid w:val="68B539BE"/>
    <w:rsid w:val="68C8445A"/>
    <w:rsid w:val="69316E2F"/>
    <w:rsid w:val="693F2629"/>
    <w:rsid w:val="694E2071"/>
    <w:rsid w:val="69745286"/>
    <w:rsid w:val="69766163"/>
    <w:rsid w:val="697A3B33"/>
    <w:rsid w:val="69BB0E9B"/>
    <w:rsid w:val="69D44760"/>
    <w:rsid w:val="69FB1A96"/>
    <w:rsid w:val="6A0F527F"/>
    <w:rsid w:val="6A1D5F1C"/>
    <w:rsid w:val="6A520EC7"/>
    <w:rsid w:val="6ABE03A7"/>
    <w:rsid w:val="6ACB15B2"/>
    <w:rsid w:val="6AE535DA"/>
    <w:rsid w:val="6AF87E20"/>
    <w:rsid w:val="6B0E7F32"/>
    <w:rsid w:val="6B322639"/>
    <w:rsid w:val="6B3872C7"/>
    <w:rsid w:val="6B6F4AFA"/>
    <w:rsid w:val="6BB7457A"/>
    <w:rsid w:val="6C1E028A"/>
    <w:rsid w:val="6C262865"/>
    <w:rsid w:val="6C3D203B"/>
    <w:rsid w:val="6C3D58A2"/>
    <w:rsid w:val="6C636C38"/>
    <w:rsid w:val="6C706F4E"/>
    <w:rsid w:val="6CA10756"/>
    <w:rsid w:val="6CD74DD0"/>
    <w:rsid w:val="6CEA68AF"/>
    <w:rsid w:val="6D6B3388"/>
    <w:rsid w:val="6D722492"/>
    <w:rsid w:val="6D7375AD"/>
    <w:rsid w:val="6D7A61C9"/>
    <w:rsid w:val="6D7B7A45"/>
    <w:rsid w:val="6D840D64"/>
    <w:rsid w:val="6D8D5019"/>
    <w:rsid w:val="6DA43E20"/>
    <w:rsid w:val="6DB24F06"/>
    <w:rsid w:val="6DB34098"/>
    <w:rsid w:val="6DB545B6"/>
    <w:rsid w:val="6DB76D79"/>
    <w:rsid w:val="6DE02FB4"/>
    <w:rsid w:val="6DE85FD7"/>
    <w:rsid w:val="6E1C7AC7"/>
    <w:rsid w:val="6E283495"/>
    <w:rsid w:val="6E421B8B"/>
    <w:rsid w:val="6E4F657B"/>
    <w:rsid w:val="6E514CED"/>
    <w:rsid w:val="6E8470C0"/>
    <w:rsid w:val="6E89799E"/>
    <w:rsid w:val="6EB563D5"/>
    <w:rsid w:val="6ED66434"/>
    <w:rsid w:val="6ED92677"/>
    <w:rsid w:val="6EE61EE2"/>
    <w:rsid w:val="6EE906E1"/>
    <w:rsid w:val="6EEF6EAB"/>
    <w:rsid w:val="6EF00649"/>
    <w:rsid w:val="6EFB0B7A"/>
    <w:rsid w:val="6F03131A"/>
    <w:rsid w:val="6F10242F"/>
    <w:rsid w:val="6F103A37"/>
    <w:rsid w:val="6F225983"/>
    <w:rsid w:val="6F511B0F"/>
    <w:rsid w:val="6FA83FB5"/>
    <w:rsid w:val="6FAD4E03"/>
    <w:rsid w:val="6FD62193"/>
    <w:rsid w:val="6FD974BC"/>
    <w:rsid w:val="6FE8536D"/>
    <w:rsid w:val="6FFC5590"/>
    <w:rsid w:val="700E3D4B"/>
    <w:rsid w:val="701679A4"/>
    <w:rsid w:val="706D1DD0"/>
    <w:rsid w:val="707120B4"/>
    <w:rsid w:val="707F5D11"/>
    <w:rsid w:val="7085106F"/>
    <w:rsid w:val="70856B87"/>
    <w:rsid w:val="708E10B8"/>
    <w:rsid w:val="709D2EA4"/>
    <w:rsid w:val="709E7A60"/>
    <w:rsid w:val="70D527EE"/>
    <w:rsid w:val="71167BC1"/>
    <w:rsid w:val="712A5987"/>
    <w:rsid w:val="715B5300"/>
    <w:rsid w:val="71723296"/>
    <w:rsid w:val="71884514"/>
    <w:rsid w:val="719C045A"/>
    <w:rsid w:val="71A417CF"/>
    <w:rsid w:val="71B56C98"/>
    <w:rsid w:val="71D27F8A"/>
    <w:rsid w:val="71E95F43"/>
    <w:rsid w:val="71F47184"/>
    <w:rsid w:val="72070B3D"/>
    <w:rsid w:val="721A6F80"/>
    <w:rsid w:val="72240C7E"/>
    <w:rsid w:val="722632D4"/>
    <w:rsid w:val="72553024"/>
    <w:rsid w:val="7265189C"/>
    <w:rsid w:val="72706BE8"/>
    <w:rsid w:val="72B23536"/>
    <w:rsid w:val="72EE73DA"/>
    <w:rsid w:val="72F2143E"/>
    <w:rsid w:val="73122968"/>
    <w:rsid w:val="731F5D5E"/>
    <w:rsid w:val="73517F54"/>
    <w:rsid w:val="735217E4"/>
    <w:rsid w:val="735C2097"/>
    <w:rsid w:val="735E5CD8"/>
    <w:rsid w:val="736D1D34"/>
    <w:rsid w:val="73734FD8"/>
    <w:rsid w:val="73996187"/>
    <w:rsid w:val="739B6209"/>
    <w:rsid w:val="73A509C5"/>
    <w:rsid w:val="73AA6208"/>
    <w:rsid w:val="73B64906"/>
    <w:rsid w:val="73BB6668"/>
    <w:rsid w:val="73C51AD5"/>
    <w:rsid w:val="73DD0AD4"/>
    <w:rsid w:val="73DE4104"/>
    <w:rsid w:val="73E72BD1"/>
    <w:rsid w:val="741719EE"/>
    <w:rsid w:val="741E793C"/>
    <w:rsid w:val="743025EA"/>
    <w:rsid w:val="744F5002"/>
    <w:rsid w:val="74566B7F"/>
    <w:rsid w:val="745E3944"/>
    <w:rsid w:val="74BE6CC0"/>
    <w:rsid w:val="74D6770C"/>
    <w:rsid w:val="74EC1187"/>
    <w:rsid w:val="75115B06"/>
    <w:rsid w:val="75754748"/>
    <w:rsid w:val="757973BE"/>
    <w:rsid w:val="7580184A"/>
    <w:rsid w:val="75F145C2"/>
    <w:rsid w:val="75FF76C8"/>
    <w:rsid w:val="76097B18"/>
    <w:rsid w:val="762545EC"/>
    <w:rsid w:val="7635099D"/>
    <w:rsid w:val="764608FB"/>
    <w:rsid w:val="764F7C06"/>
    <w:rsid w:val="766B3A51"/>
    <w:rsid w:val="768111EB"/>
    <w:rsid w:val="76817D38"/>
    <w:rsid w:val="7699792B"/>
    <w:rsid w:val="76CA6CE3"/>
    <w:rsid w:val="77153FA2"/>
    <w:rsid w:val="774339C0"/>
    <w:rsid w:val="77762421"/>
    <w:rsid w:val="779C41BC"/>
    <w:rsid w:val="77B56B1F"/>
    <w:rsid w:val="780642A5"/>
    <w:rsid w:val="780F09F4"/>
    <w:rsid w:val="783F5D76"/>
    <w:rsid w:val="78645BBA"/>
    <w:rsid w:val="78A90480"/>
    <w:rsid w:val="78B95A64"/>
    <w:rsid w:val="78D8053F"/>
    <w:rsid w:val="78F87306"/>
    <w:rsid w:val="795E731F"/>
    <w:rsid w:val="7981604F"/>
    <w:rsid w:val="798D0CAB"/>
    <w:rsid w:val="79E03CB4"/>
    <w:rsid w:val="7A080AFF"/>
    <w:rsid w:val="7A364017"/>
    <w:rsid w:val="7A3B23D1"/>
    <w:rsid w:val="7A3F5317"/>
    <w:rsid w:val="7A467DD9"/>
    <w:rsid w:val="7A5332F3"/>
    <w:rsid w:val="7A654DDF"/>
    <w:rsid w:val="7A8265E1"/>
    <w:rsid w:val="7ACF0C4A"/>
    <w:rsid w:val="7ADF3AC1"/>
    <w:rsid w:val="7AFC0C52"/>
    <w:rsid w:val="7AFF5F1B"/>
    <w:rsid w:val="7B3A016C"/>
    <w:rsid w:val="7B3F5288"/>
    <w:rsid w:val="7B543166"/>
    <w:rsid w:val="7B686D42"/>
    <w:rsid w:val="7B841746"/>
    <w:rsid w:val="7BA60E80"/>
    <w:rsid w:val="7BAA235B"/>
    <w:rsid w:val="7BDA39F5"/>
    <w:rsid w:val="7BDC4057"/>
    <w:rsid w:val="7BEF3E34"/>
    <w:rsid w:val="7BF173CC"/>
    <w:rsid w:val="7BFB398B"/>
    <w:rsid w:val="7C2B1266"/>
    <w:rsid w:val="7C324FED"/>
    <w:rsid w:val="7C3323AA"/>
    <w:rsid w:val="7C55014E"/>
    <w:rsid w:val="7C6678A7"/>
    <w:rsid w:val="7C6C5AC7"/>
    <w:rsid w:val="7C820061"/>
    <w:rsid w:val="7CC6544B"/>
    <w:rsid w:val="7CD103EC"/>
    <w:rsid w:val="7D0239FF"/>
    <w:rsid w:val="7D0A7614"/>
    <w:rsid w:val="7D465AEA"/>
    <w:rsid w:val="7D5E40CD"/>
    <w:rsid w:val="7D6438CC"/>
    <w:rsid w:val="7DA8414A"/>
    <w:rsid w:val="7DB42611"/>
    <w:rsid w:val="7DCD56F2"/>
    <w:rsid w:val="7DF46F3B"/>
    <w:rsid w:val="7E025B35"/>
    <w:rsid w:val="7E497ECD"/>
    <w:rsid w:val="7E5C742E"/>
    <w:rsid w:val="7E6346E1"/>
    <w:rsid w:val="7E634995"/>
    <w:rsid w:val="7E685554"/>
    <w:rsid w:val="7E687B9D"/>
    <w:rsid w:val="7E821057"/>
    <w:rsid w:val="7EAD1E63"/>
    <w:rsid w:val="7EE85947"/>
    <w:rsid w:val="7EF3673E"/>
    <w:rsid w:val="7F001CE7"/>
    <w:rsid w:val="7F5E3DF5"/>
    <w:rsid w:val="7FAD5E8A"/>
    <w:rsid w:val="7FB23EF6"/>
    <w:rsid w:val="7FC5605C"/>
    <w:rsid w:val="7FE354AD"/>
    <w:rsid w:val="7FE47E50"/>
    <w:rsid w:val="7FF562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qFormat="1"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unhideWhenUsed="0" w:uiPriority="0" w:semiHidden="0" w:name="Body Text First Indent 2" w:locked="1"/>
    <w:lsdException w:qFormat="1" w:uiPriority="99"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99"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numPr>
        <w:ilvl w:val="1"/>
        <w:numId w:val="1"/>
      </w:numPr>
      <w:ind w:firstLineChars="0"/>
      <w:jc w:val="left"/>
      <w:outlineLvl w:val="1"/>
    </w:pPr>
    <w:rPr>
      <w:rFonts w:eastAsia="黑体"/>
      <w:b/>
      <w:snapToGrid w:val="0"/>
      <w:sz w:val="28"/>
      <w:szCs w:val="24"/>
    </w:rPr>
  </w:style>
  <w:style w:type="paragraph" w:styleId="4">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link w:val="29"/>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Note Heading"/>
    <w:basedOn w:val="1"/>
    <w:next w:val="1"/>
    <w:unhideWhenUsed/>
    <w:qFormat/>
    <w:locked/>
    <w:uiPriority w:val="99"/>
    <w:pPr>
      <w:jc w:val="center"/>
    </w:pPr>
    <w:rPr>
      <w:szCs w:val="20"/>
    </w:rPr>
  </w:style>
  <w:style w:type="paragraph" w:styleId="7">
    <w:name w:val="Normal Indent"/>
    <w:basedOn w:val="1"/>
    <w:link w:val="37"/>
    <w:qFormat/>
    <w:locked/>
    <w:uiPriority w:val="0"/>
    <w:pPr>
      <w:ind w:firstLine="420"/>
    </w:pPr>
    <w:rPr>
      <w:szCs w:val="20"/>
    </w:rPr>
  </w:style>
  <w:style w:type="paragraph" w:styleId="8">
    <w:name w:val="index 5"/>
    <w:basedOn w:val="1"/>
    <w:next w:val="1"/>
    <w:qFormat/>
    <w:locked/>
    <w:uiPriority w:val="0"/>
    <w:pPr>
      <w:ind w:left="800" w:leftChars="800"/>
    </w:pPr>
  </w:style>
  <w:style w:type="paragraph" w:styleId="9">
    <w:name w:val="annotation text"/>
    <w:basedOn w:val="1"/>
    <w:link w:val="38"/>
    <w:semiHidden/>
    <w:qFormat/>
    <w:uiPriority w:val="0"/>
    <w:pPr>
      <w:jc w:val="left"/>
    </w:pPr>
    <w:rPr>
      <w:kern w:val="0"/>
      <w:sz w:val="24"/>
      <w:szCs w:val="20"/>
    </w:rPr>
  </w:style>
  <w:style w:type="paragraph" w:styleId="10">
    <w:name w:val="Body Text"/>
    <w:basedOn w:val="1"/>
    <w:next w:val="1"/>
    <w:link w:val="39"/>
    <w:qFormat/>
    <w:uiPriority w:val="0"/>
    <w:pPr>
      <w:widowControl/>
      <w:snapToGrid w:val="0"/>
      <w:spacing w:before="60" w:after="160" w:line="259" w:lineRule="auto"/>
      <w:ind w:right="113"/>
    </w:pPr>
    <w:rPr>
      <w:kern w:val="0"/>
      <w:sz w:val="18"/>
      <w:szCs w:val="20"/>
    </w:rPr>
  </w:style>
  <w:style w:type="paragraph" w:styleId="11">
    <w:name w:val="Body Text Indent"/>
    <w:basedOn w:val="1"/>
    <w:next w:val="10"/>
    <w:link w:val="40"/>
    <w:qFormat/>
    <w:uiPriority w:val="0"/>
    <w:pPr>
      <w:spacing w:after="120"/>
      <w:ind w:left="420" w:leftChars="200"/>
    </w:pPr>
    <w:rPr>
      <w:kern w:val="0"/>
      <w:sz w:val="24"/>
      <w:szCs w:val="20"/>
    </w:rPr>
  </w:style>
  <w:style w:type="paragraph" w:styleId="12">
    <w:name w:val="Block Text"/>
    <w:basedOn w:val="1"/>
    <w:qFormat/>
    <w:locked/>
    <w:uiPriority w:val="99"/>
    <w:pPr>
      <w:autoSpaceDE w:val="0"/>
      <w:autoSpaceDN w:val="0"/>
      <w:adjustRightInd w:val="0"/>
      <w:snapToGrid w:val="0"/>
      <w:spacing w:line="408" w:lineRule="auto"/>
      <w:ind w:left="-113" w:right="-510" w:firstLine="510" w:firstLineChars="0"/>
      <w:jc w:val="left"/>
    </w:pPr>
    <w:rPr>
      <w:kern w:val="0"/>
      <w:sz w:val="24"/>
      <w:szCs w:val="20"/>
    </w:rPr>
  </w:style>
  <w:style w:type="paragraph" w:styleId="13">
    <w:name w:val="Plain Text"/>
    <w:basedOn w:val="1"/>
    <w:next w:val="1"/>
    <w:link w:val="41"/>
    <w:qFormat/>
    <w:locked/>
    <w:uiPriority w:val="0"/>
    <w:rPr>
      <w:rFonts w:ascii="宋体" w:hAnsi="Courier New"/>
      <w:szCs w:val="20"/>
    </w:rPr>
  </w:style>
  <w:style w:type="paragraph" w:styleId="14">
    <w:name w:val="Date"/>
    <w:basedOn w:val="1"/>
    <w:next w:val="1"/>
    <w:link w:val="42"/>
    <w:qFormat/>
    <w:uiPriority w:val="0"/>
    <w:pPr>
      <w:ind w:left="100" w:leftChars="2500"/>
    </w:pPr>
    <w:rPr>
      <w:kern w:val="0"/>
      <w:sz w:val="24"/>
      <w:szCs w:val="20"/>
    </w:rPr>
  </w:style>
  <w:style w:type="paragraph" w:styleId="15">
    <w:name w:val="Body Text Indent 2"/>
    <w:basedOn w:val="16"/>
    <w:next w:val="1"/>
    <w:qFormat/>
    <w:locked/>
    <w:uiPriority w:val="0"/>
    <w:pPr>
      <w:spacing w:after="120" w:afterLines="0" w:line="480" w:lineRule="auto"/>
      <w:ind w:left="420" w:leftChars="200"/>
    </w:pPr>
  </w:style>
  <w:style w:type="paragraph" w:customStyle="1" w:styleId="16">
    <w:name w:val="表头"/>
    <w:basedOn w:val="1"/>
    <w:qFormat/>
    <w:uiPriority w:val="0"/>
    <w:pPr>
      <w:spacing w:line="360" w:lineRule="auto"/>
      <w:jc w:val="center"/>
    </w:pPr>
    <w:rPr>
      <w:b/>
      <w:sz w:val="24"/>
    </w:rPr>
  </w:style>
  <w:style w:type="paragraph" w:styleId="17">
    <w:name w:val="Balloon Text"/>
    <w:basedOn w:val="1"/>
    <w:link w:val="43"/>
    <w:semiHidden/>
    <w:qFormat/>
    <w:uiPriority w:val="0"/>
    <w:rPr>
      <w:kern w:val="0"/>
      <w:sz w:val="18"/>
      <w:szCs w:val="20"/>
    </w:rPr>
  </w:style>
  <w:style w:type="paragraph" w:styleId="18">
    <w:name w:val="footer"/>
    <w:basedOn w:val="1"/>
    <w:link w:val="44"/>
    <w:qFormat/>
    <w:uiPriority w:val="99"/>
    <w:pPr>
      <w:tabs>
        <w:tab w:val="center" w:pos="4153"/>
        <w:tab w:val="right" w:pos="8306"/>
      </w:tabs>
      <w:snapToGrid w:val="0"/>
      <w:jc w:val="left"/>
    </w:pPr>
    <w:rPr>
      <w:kern w:val="0"/>
      <w:sz w:val="18"/>
      <w:szCs w:val="20"/>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semiHidden/>
    <w:qFormat/>
    <w:locked/>
    <w:uiPriority w:val="0"/>
  </w:style>
  <w:style w:type="paragraph" w:styleId="21">
    <w:name w:val="List"/>
    <w:basedOn w:val="1"/>
    <w:qFormat/>
    <w:locked/>
    <w:uiPriority w:val="0"/>
    <w:pPr>
      <w:ind w:left="200" w:hanging="200" w:hangingChars="200"/>
    </w:pPr>
  </w:style>
  <w:style w:type="paragraph" w:styleId="22">
    <w:name w:val="toc 2"/>
    <w:basedOn w:val="1"/>
    <w:next w:val="1"/>
    <w:qFormat/>
    <w:locked/>
    <w:uiPriority w:val="0"/>
    <w:pPr>
      <w:ind w:left="420" w:leftChars="200"/>
    </w:pPr>
  </w:style>
  <w:style w:type="paragraph" w:styleId="23">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9"/>
    <w:next w:val="9"/>
    <w:link w:val="47"/>
    <w:semiHidden/>
    <w:qFormat/>
    <w:uiPriority w:val="0"/>
    <w:rPr>
      <w:b/>
      <w:sz w:val="24"/>
      <w:szCs w:val="20"/>
    </w:rPr>
  </w:style>
  <w:style w:type="paragraph" w:styleId="25">
    <w:name w:val="Body Text First Indent"/>
    <w:basedOn w:val="10"/>
    <w:qFormat/>
    <w:locked/>
    <w:uiPriority w:val="0"/>
    <w:pPr>
      <w:widowControl w:val="0"/>
      <w:snapToGrid/>
      <w:spacing w:before="0" w:after="120" w:line="240" w:lineRule="auto"/>
      <w:ind w:right="0" w:firstLine="420" w:firstLineChars="100"/>
    </w:pPr>
    <w:rPr>
      <w:kern w:val="2"/>
      <w:sz w:val="21"/>
      <w:szCs w:val="24"/>
    </w:rPr>
  </w:style>
  <w:style w:type="table" w:styleId="27">
    <w:name w:val="Table Grid"/>
    <w:basedOn w:val="26"/>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31"/>
    <w:basedOn w:val="1"/>
    <w:link w:val="28"/>
    <w:qFormat/>
    <w:uiPriority w:val="0"/>
  </w:style>
  <w:style w:type="character" w:styleId="30">
    <w:name w:val="Strong"/>
    <w:basedOn w:val="28"/>
    <w:qFormat/>
    <w:locked/>
    <w:uiPriority w:val="0"/>
    <w:rPr>
      <w:b/>
      <w:bCs/>
    </w:rPr>
  </w:style>
  <w:style w:type="character" w:styleId="31">
    <w:name w:val="page number"/>
    <w:basedOn w:val="28"/>
    <w:qFormat/>
    <w:locked/>
    <w:uiPriority w:val="0"/>
  </w:style>
  <w:style w:type="character" w:styleId="32">
    <w:name w:val="Emphasis"/>
    <w:basedOn w:val="28"/>
    <w:qFormat/>
    <w:locked/>
    <w:uiPriority w:val="0"/>
    <w:rPr>
      <w:i/>
    </w:rPr>
  </w:style>
  <w:style w:type="character" w:styleId="33">
    <w:name w:val="Hyperlink"/>
    <w:basedOn w:val="28"/>
    <w:qFormat/>
    <w:locked/>
    <w:uiPriority w:val="0"/>
    <w:rPr>
      <w:color w:val="0000FF"/>
      <w:u w:val="single"/>
    </w:rPr>
  </w:style>
  <w:style w:type="character" w:styleId="34">
    <w:name w:val="annotation reference"/>
    <w:semiHidden/>
    <w:qFormat/>
    <w:uiPriority w:val="0"/>
    <w:rPr>
      <w:sz w:val="21"/>
    </w:rPr>
  </w:style>
  <w:style w:type="paragraph" w:customStyle="1" w:styleId="35">
    <w:name w:val="Default"/>
    <w:basedOn w:val="36"/>
    <w:next w:val="1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37">
    <w:name w:val="表正文 Char"/>
    <w:link w:val="7"/>
    <w:qFormat/>
    <w:locked/>
    <w:uiPriority w:val="0"/>
    <w:rPr>
      <w:rFonts w:eastAsia="宋体"/>
      <w:kern w:val="2"/>
      <w:sz w:val="21"/>
      <w:lang w:val="en-US" w:eastAsia="zh-CN" w:bidi="ar-SA"/>
    </w:rPr>
  </w:style>
  <w:style w:type="character" w:customStyle="1" w:styleId="38">
    <w:name w:val="批注文字 Char"/>
    <w:link w:val="9"/>
    <w:qFormat/>
    <w:locked/>
    <w:uiPriority w:val="0"/>
    <w:rPr>
      <w:rFonts w:ascii="Times New Roman" w:hAnsi="Times New Roman" w:eastAsia="宋体"/>
      <w:sz w:val="24"/>
    </w:rPr>
  </w:style>
  <w:style w:type="character" w:customStyle="1" w:styleId="39">
    <w:name w:val="正文文本 Char"/>
    <w:link w:val="10"/>
    <w:qFormat/>
    <w:locked/>
    <w:uiPriority w:val="0"/>
    <w:rPr>
      <w:sz w:val="18"/>
    </w:rPr>
  </w:style>
  <w:style w:type="character" w:customStyle="1" w:styleId="40">
    <w:name w:val="正文文本缩进 Char"/>
    <w:link w:val="11"/>
    <w:semiHidden/>
    <w:qFormat/>
    <w:locked/>
    <w:uiPriority w:val="0"/>
    <w:rPr>
      <w:rFonts w:ascii="Times New Roman" w:hAnsi="Times New Roman" w:eastAsia="宋体"/>
      <w:sz w:val="24"/>
    </w:rPr>
  </w:style>
  <w:style w:type="character" w:customStyle="1" w:styleId="41">
    <w:name w:val="普通文字 Char3"/>
    <w:link w:val="13"/>
    <w:qFormat/>
    <w:uiPriority w:val="0"/>
    <w:rPr>
      <w:rFonts w:ascii="宋体" w:hAnsi="Courier New" w:eastAsia="宋体"/>
      <w:kern w:val="2"/>
      <w:sz w:val="21"/>
      <w:lang w:val="en-US" w:eastAsia="zh-CN" w:bidi="ar-SA"/>
    </w:rPr>
  </w:style>
  <w:style w:type="character" w:customStyle="1" w:styleId="42">
    <w:name w:val="日期 Char"/>
    <w:link w:val="14"/>
    <w:qFormat/>
    <w:locked/>
    <w:uiPriority w:val="0"/>
    <w:rPr>
      <w:rFonts w:ascii="Times New Roman" w:hAnsi="Times New Roman" w:eastAsia="宋体"/>
      <w:sz w:val="24"/>
    </w:rPr>
  </w:style>
  <w:style w:type="character" w:customStyle="1" w:styleId="43">
    <w:name w:val="批注框文本 Char"/>
    <w:link w:val="17"/>
    <w:semiHidden/>
    <w:qFormat/>
    <w:locked/>
    <w:uiPriority w:val="0"/>
    <w:rPr>
      <w:rFonts w:ascii="Times New Roman" w:hAnsi="Times New Roman" w:eastAsia="宋体"/>
      <w:sz w:val="18"/>
    </w:rPr>
  </w:style>
  <w:style w:type="character" w:customStyle="1" w:styleId="44">
    <w:name w:val="页脚 Char"/>
    <w:link w:val="18"/>
    <w:qFormat/>
    <w:locked/>
    <w:uiPriority w:val="99"/>
    <w:rPr>
      <w:sz w:val="18"/>
    </w:rPr>
  </w:style>
  <w:style w:type="character" w:customStyle="1" w:styleId="45">
    <w:name w:val="页眉 Char"/>
    <w:link w:val="19"/>
    <w:qFormat/>
    <w:locked/>
    <w:uiPriority w:val="0"/>
    <w:rPr>
      <w:sz w:val="18"/>
    </w:rPr>
  </w:style>
  <w:style w:type="character" w:customStyle="1" w:styleId="46">
    <w:name w:val="普通(网站) Char"/>
    <w:link w:val="23"/>
    <w:qFormat/>
    <w:locked/>
    <w:uiPriority w:val="0"/>
    <w:rPr>
      <w:rFonts w:ascii="宋体" w:hAnsi="宋体" w:eastAsia="宋体"/>
      <w:sz w:val="24"/>
    </w:rPr>
  </w:style>
  <w:style w:type="character" w:customStyle="1" w:styleId="47">
    <w:name w:val="批注主题 Char"/>
    <w:link w:val="24"/>
    <w:semiHidden/>
    <w:qFormat/>
    <w:locked/>
    <w:uiPriority w:val="0"/>
    <w:rPr>
      <w:rFonts w:ascii="Times New Roman" w:hAnsi="Times New Roman" w:eastAsia="宋体"/>
      <w:b/>
      <w:kern w:val="2"/>
      <w:sz w:val="24"/>
    </w:rPr>
  </w:style>
  <w:style w:type="character" w:customStyle="1" w:styleId="48">
    <w:name w:val="doc_title fs_c_76"/>
    <w:basedOn w:val="28"/>
    <w:qFormat/>
    <w:uiPriority w:val="0"/>
  </w:style>
  <w:style w:type="character" w:customStyle="1" w:styleId="49">
    <w:name w:val="表格 Char Char"/>
    <w:qFormat/>
    <w:locked/>
    <w:uiPriority w:val="0"/>
    <w:rPr>
      <w:rFonts w:ascii="宋体" w:hAnsi="宋体" w:eastAsia="宋体"/>
      <w:sz w:val="21"/>
      <w:lang w:val="en-US" w:eastAsia="zh-CN" w:bidi="ar-SA"/>
    </w:rPr>
  </w:style>
  <w:style w:type="character" w:customStyle="1" w:styleId="50">
    <w:name w:val="Char Char3"/>
    <w:basedOn w:val="28"/>
    <w:qFormat/>
    <w:locked/>
    <w:uiPriority w:val="0"/>
    <w:rPr>
      <w:kern w:val="2"/>
      <w:sz w:val="21"/>
      <w:lang w:bidi="ar-SA"/>
    </w:rPr>
  </w:style>
  <w:style w:type="character" w:customStyle="1" w:styleId="51">
    <w:name w:val="普通文字 Char2"/>
    <w:qFormat/>
    <w:locked/>
    <w:uiPriority w:val="0"/>
    <w:rPr>
      <w:rFonts w:ascii="宋体" w:hAnsi="Courier New" w:eastAsia="宋体"/>
      <w:kern w:val="2"/>
      <w:sz w:val="21"/>
      <w:lang w:val="en-US" w:eastAsia="zh-CN" w:bidi="ar-SA"/>
    </w:rPr>
  </w:style>
  <w:style w:type="character" w:customStyle="1" w:styleId="52">
    <w:name w:val="批注文字 字符1"/>
    <w:semiHidden/>
    <w:qFormat/>
    <w:uiPriority w:val="0"/>
    <w:rPr>
      <w:rFonts w:ascii="Times New Roman" w:hAnsi="Times New Roman" w:eastAsia="宋体"/>
      <w:sz w:val="24"/>
    </w:rPr>
  </w:style>
  <w:style w:type="character" w:customStyle="1" w:styleId="53">
    <w:name w:val="页脚 字符"/>
    <w:basedOn w:val="28"/>
    <w:qFormat/>
    <w:uiPriority w:val="99"/>
  </w:style>
  <w:style w:type="character" w:customStyle="1" w:styleId="54">
    <w:name w:val="正文文本 字符1"/>
    <w:semiHidden/>
    <w:qFormat/>
    <w:uiPriority w:val="0"/>
    <w:rPr>
      <w:rFonts w:ascii="Times New Roman" w:hAnsi="Times New Roman" w:eastAsia="宋体"/>
      <w:sz w:val="24"/>
    </w:rPr>
  </w:style>
  <w:style w:type="character" w:customStyle="1" w:styleId="55">
    <w:name w:val="普通文字 Char1"/>
    <w:qFormat/>
    <w:uiPriority w:val="0"/>
    <w:rPr>
      <w:rFonts w:ascii="宋体" w:hAnsi="Courier New" w:eastAsia="宋体"/>
      <w:kern w:val="2"/>
      <w:sz w:val="21"/>
      <w:lang w:val="en-US" w:eastAsia="zh-CN" w:bidi="ar-SA"/>
    </w:rPr>
  </w:style>
  <w:style w:type="character" w:customStyle="1" w:styleId="56">
    <w:name w:val="日期 字符"/>
    <w:semiHidden/>
    <w:qFormat/>
    <w:uiPriority w:val="0"/>
    <w:rPr>
      <w:rFonts w:ascii="Times New Roman" w:hAnsi="Times New Roman" w:eastAsia="宋体"/>
      <w:sz w:val="24"/>
    </w:rPr>
  </w:style>
  <w:style w:type="character" w:customStyle="1" w:styleId="57">
    <w:name w:val=" Char Char4"/>
    <w:qFormat/>
    <w:uiPriority w:val="0"/>
    <w:rPr>
      <w:rFonts w:ascii="宋体" w:hAnsi="Courier New" w:eastAsia="宋体"/>
      <w:kern w:val="2"/>
      <w:sz w:val="21"/>
      <w:lang w:val="en-US" w:eastAsia="zh-CN" w:bidi="ar-SA"/>
    </w:rPr>
  </w:style>
  <w:style w:type="character" w:customStyle="1" w:styleId="58">
    <w:name w:val="15"/>
    <w:basedOn w:val="28"/>
    <w:qFormat/>
    <w:uiPriority w:val="0"/>
    <w:rPr>
      <w:rFonts w:hint="default" w:ascii="Times New Roman" w:hAnsi="Times New Roman" w:cs="Times New Roman"/>
      <w:color w:val="000000"/>
      <w:sz w:val="24"/>
      <w:szCs w:val="24"/>
    </w:rPr>
  </w:style>
  <w:style w:type="character" w:customStyle="1" w:styleId="59">
    <w:name w:val="表格 Char"/>
    <w:link w:val="60"/>
    <w:qFormat/>
    <w:locked/>
    <w:uiPriority w:val="0"/>
    <w:rPr>
      <w:rFonts w:ascii="宋体"/>
      <w:sz w:val="21"/>
    </w:rPr>
  </w:style>
  <w:style w:type="paragraph" w:customStyle="1" w:styleId="60">
    <w:name w:val="表格"/>
    <w:basedOn w:val="1"/>
    <w:link w:val="59"/>
    <w:qFormat/>
    <w:uiPriority w:val="0"/>
    <w:pPr>
      <w:adjustRightInd w:val="0"/>
      <w:snapToGrid w:val="0"/>
      <w:spacing w:beforeLines="10" w:afterLines="10" w:line="259" w:lineRule="auto"/>
      <w:jc w:val="center"/>
    </w:pPr>
    <w:rPr>
      <w:rFonts w:ascii="宋体"/>
      <w:kern w:val="0"/>
      <w:szCs w:val="20"/>
    </w:rPr>
  </w:style>
  <w:style w:type="character" w:customStyle="1" w:styleId="61">
    <w:name w:val="网格型c Char"/>
    <w:qFormat/>
    <w:uiPriority w:val="0"/>
    <w:rPr>
      <w:rFonts w:eastAsia="宋体"/>
      <w:kern w:val="2"/>
      <w:sz w:val="21"/>
      <w:szCs w:val="21"/>
      <w:lang w:val="en-US" w:eastAsia="zh-CN" w:bidi="ar-SA"/>
    </w:rPr>
  </w:style>
  <w:style w:type="character" w:customStyle="1" w:styleId="62">
    <w:name w:val="报告正文 Char Char"/>
    <w:link w:val="63"/>
    <w:qFormat/>
    <w:locked/>
    <w:uiPriority w:val="0"/>
    <w:rPr>
      <w:rFonts w:ascii="宋体" w:hAnsi="宋体" w:eastAsia="宋体"/>
      <w:snapToGrid w:val="0"/>
      <w:kern w:val="24"/>
      <w:sz w:val="24"/>
      <w:szCs w:val="21"/>
      <w:lang w:val="en-US" w:eastAsia="zh-CN" w:bidi="ar-SA"/>
    </w:rPr>
  </w:style>
  <w:style w:type="paragraph" w:customStyle="1" w:styleId="63">
    <w:name w:val="报告正文"/>
    <w:basedOn w:val="1"/>
    <w:link w:val="62"/>
    <w:qFormat/>
    <w:uiPriority w:val="0"/>
    <w:pPr>
      <w:adjustRightInd w:val="0"/>
      <w:snapToGrid w:val="0"/>
      <w:spacing w:beforeLines="25" w:line="360" w:lineRule="auto"/>
      <w:ind w:firstLine="482"/>
    </w:pPr>
    <w:rPr>
      <w:rFonts w:ascii="宋体" w:hAnsi="宋体"/>
      <w:snapToGrid w:val="0"/>
      <w:kern w:val="24"/>
      <w:sz w:val="24"/>
      <w:szCs w:val="21"/>
    </w:rPr>
  </w:style>
  <w:style w:type="paragraph" w:customStyle="1" w:styleId="64">
    <w:name w:val="Char"/>
    <w:basedOn w:val="1"/>
    <w:qFormat/>
    <w:uiPriority w:val="0"/>
    <w:rPr>
      <w:rFonts w:ascii="宋体" w:hAnsi="宋体"/>
      <w:szCs w:val="20"/>
    </w:rPr>
  </w:style>
  <w:style w:type="paragraph" w:customStyle="1" w:styleId="65">
    <w:name w:val="_Style 32"/>
    <w:basedOn w:val="1"/>
    <w:qFormat/>
    <w:uiPriority w:val="0"/>
  </w:style>
  <w:style w:type="paragraph" w:customStyle="1" w:styleId="66">
    <w:name w:val="p0"/>
    <w:basedOn w:val="1"/>
    <w:qFormat/>
    <w:uiPriority w:val="0"/>
    <w:pPr>
      <w:widowControl/>
    </w:pPr>
    <w:rPr>
      <w:kern w:val="0"/>
      <w:sz w:val="32"/>
      <w:szCs w:val="32"/>
    </w:rPr>
  </w:style>
  <w:style w:type="paragraph" w:customStyle="1" w:styleId="67">
    <w:name w:val="报告表正文格式"/>
    <w:basedOn w:val="1"/>
    <w:qFormat/>
    <w:uiPriority w:val="0"/>
    <w:pPr>
      <w:widowControl/>
      <w:tabs>
        <w:tab w:val="center" w:pos="0"/>
      </w:tabs>
      <w:spacing w:line="520" w:lineRule="exact"/>
      <w:ind w:firstLine="640" w:firstLineChars="200"/>
      <w:jc w:val="left"/>
    </w:pPr>
    <w:rPr>
      <w:sz w:val="24"/>
      <w:szCs w:val="20"/>
    </w:rPr>
  </w:style>
  <w:style w:type="paragraph" w:customStyle="1" w:styleId="6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表内 定"/>
    <w:basedOn w:val="1"/>
    <w:qFormat/>
    <w:uiPriority w:val="0"/>
    <w:pPr>
      <w:jc w:val="left"/>
    </w:pPr>
    <w:rPr>
      <w:rFonts w:eastAsia="仿宋"/>
      <w:color w:val="000000"/>
      <w:kern w:val="0"/>
      <w:sz w:val="24"/>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表格式"/>
    <w:basedOn w:val="21"/>
    <w:qFormat/>
    <w:uiPriority w:val="0"/>
    <w:pPr>
      <w:widowControl/>
      <w:spacing w:line="400" w:lineRule="exact"/>
      <w:ind w:left="0" w:firstLine="0" w:firstLineChars="0"/>
      <w:contextualSpacing/>
      <w:jc w:val="center"/>
    </w:pPr>
    <w:rPr>
      <w:rFonts w:ascii="宋体" w:hAnsi="宋体" w:cs="宋体"/>
      <w:kern w:val="0"/>
      <w:sz w:val="24"/>
    </w:rPr>
  </w:style>
  <w:style w:type="paragraph" w:customStyle="1" w:styleId="72">
    <w:name w:val="TableStyle12"/>
    <w:basedOn w:val="1"/>
    <w:qFormat/>
    <w:uiPriority w:val="0"/>
    <w:pPr>
      <w:jc w:val="center"/>
    </w:pPr>
    <w:rPr>
      <w:kern w:val="0"/>
      <w:sz w:val="24"/>
      <w:szCs w:val="22"/>
    </w:rPr>
  </w:style>
  <w:style w:type="paragraph" w:customStyle="1" w:styleId="73">
    <w:name w:val="Char Char Char Char Char Char Char"/>
    <w:basedOn w:val="1"/>
    <w:qFormat/>
    <w:uiPriority w:val="0"/>
  </w:style>
  <w:style w:type="paragraph" w:customStyle="1" w:styleId="7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75">
    <w:name w:val="报告表表格文字"/>
    <w:basedOn w:val="1"/>
    <w:qFormat/>
    <w:uiPriority w:val="0"/>
    <w:pPr>
      <w:autoSpaceDE w:val="0"/>
      <w:autoSpaceDN w:val="0"/>
      <w:adjustRightInd w:val="0"/>
      <w:snapToGrid w:val="0"/>
      <w:spacing w:line="360" w:lineRule="exact"/>
      <w:jc w:val="center"/>
      <w:textAlignment w:val="baseline"/>
    </w:pPr>
    <w:rPr>
      <w:color w:val="000000"/>
      <w:kern w:val="0"/>
      <w:szCs w:val="21"/>
    </w:rPr>
  </w:style>
  <w:style w:type="character" w:customStyle="1" w:styleId="76">
    <w:name w:val="10"/>
    <w:basedOn w:val="28"/>
    <w:qFormat/>
    <w:uiPriority w:val="0"/>
    <w:rPr>
      <w:rFonts w:hint="default" w:ascii="Times New Roman" w:hAnsi="Times New Roman" w:cs="Times New Roman"/>
    </w:rPr>
  </w:style>
  <w:style w:type="paragraph" w:customStyle="1" w:styleId="77">
    <w:name w:val="1-表内"/>
    <w:basedOn w:val="1"/>
    <w:qFormat/>
    <w:uiPriority w:val="0"/>
    <w:pPr>
      <w:tabs>
        <w:tab w:val="left" w:pos="3960"/>
      </w:tabs>
      <w:spacing w:line="240" w:lineRule="auto"/>
      <w:ind w:firstLine="0" w:firstLineChars="0"/>
      <w:jc w:val="center"/>
    </w:pPr>
    <w:rPr>
      <w:rFonts w:ascii="Times New Roman" w:hAnsi="Times New Roman"/>
      <w:sz w:val="21"/>
      <w:szCs w:val="21"/>
    </w:rPr>
  </w:style>
  <w:style w:type="paragraph" w:customStyle="1" w:styleId="78">
    <w:name w:val="表内"/>
    <w:basedOn w:val="22"/>
    <w:qFormat/>
    <w:uiPriority w:val="0"/>
    <w:pPr>
      <w:spacing w:line="240" w:lineRule="auto"/>
      <w:ind w:left="0" w:leftChars="0" w:firstLine="0" w:firstLineChars="0"/>
      <w:jc w:val="center"/>
    </w:pPr>
    <w:rPr>
      <w:sz w:val="21"/>
      <w:szCs w:val="21"/>
    </w:rPr>
  </w:style>
  <w:style w:type="character" w:customStyle="1" w:styleId="79">
    <w:name w:val="fontstyle01"/>
    <w:basedOn w:val="28"/>
    <w:qFormat/>
    <w:uiPriority w:val="0"/>
    <w:rPr>
      <w:rFonts w:hint="eastAsia" w:ascii="宋体" w:hAnsi="宋体" w:eastAsia="宋体"/>
      <w:color w:val="000000"/>
      <w:sz w:val="24"/>
      <w:szCs w:val="24"/>
    </w:rPr>
  </w:style>
  <w:style w:type="character" w:customStyle="1" w:styleId="80">
    <w:name w:val="fontstyle21"/>
    <w:basedOn w:val="28"/>
    <w:qFormat/>
    <w:uiPriority w:val="0"/>
    <w:rPr>
      <w:rFonts w:ascii="TimesNewRomanPSMT" w:hAnsi="TimesNewRomanPSMT" w:eastAsia="TimesNewRomanPSMT" w:cs="TimesNewRomanPSMT"/>
      <w:color w:val="000000"/>
      <w:sz w:val="28"/>
      <w:szCs w:val="28"/>
    </w:rPr>
  </w:style>
  <w:style w:type="paragraph" w:customStyle="1" w:styleId="81">
    <w:name w:val="00000"/>
    <w:basedOn w:val="1"/>
    <w:qFormat/>
    <w:uiPriority w:val="0"/>
    <w:pPr>
      <w:numPr>
        <w:ilvl w:val="0"/>
        <w:numId w:val="2"/>
      </w:numPr>
      <w:spacing w:before="50" w:beforeLines="50"/>
      <w:jc w:val="center"/>
      <w:outlineLvl w:val="2"/>
    </w:pPr>
    <w:rPr>
      <w:b/>
      <w:bCs/>
    </w:rPr>
  </w:style>
  <w:style w:type="paragraph" w:customStyle="1" w:styleId="82">
    <w:name w:val="List Paragraph"/>
    <w:basedOn w:val="1"/>
    <w:qFormat/>
    <w:uiPriority w:val="34"/>
    <w:pPr>
      <w:ind w:firstLine="420" w:firstLineChars="200"/>
    </w:pPr>
  </w:style>
  <w:style w:type="paragraph" w:customStyle="1" w:styleId="83">
    <w:name w:val="biaotou"/>
    <w:basedOn w:val="84"/>
    <w:qFormat/>
    <w:uiPriority w:val="99"/>
    <w:pPr>
      <w:autoSpaceDE w:val="0"/>
      <w:autoSpaceDN w:val="0"/>
      <w:adjustRightInd w:val="0"/>
      <w:spacing w:after="50" w:afterLines="50" w:line="240" w:lineRule="auto"/>
      <w:ind w:firstLine="0" w:firstLineChars="0"/>
      <w:jc w:val="center"/>
    </w:pPr>
    <w:rPr>
      <w:rFonts w:ascii="黑体" w:hAnsi="宋体" w:eastAsia="黑体"/>
      <w:sz w:val="22"/>
      <w:lang w:val="zh-CN"/>
    </w:rPr>
  </w:style>
  <w:style w:type="paragraph" w:customStyle="1" w:styleId="84">
    <w:name w:val="正"/>
    <w:basedOn w:val="1"/>
    <w:qFormat/>
    <w:uiPriority w:val="0"/>
    <w:pPr>
      <w:adjustRightInd w:val="0"/>
      <w:ind w:left="23" w:leftChars="11" w:firstLine="480"/>
      <w:jc w:val="both"/>
    </w:pPr>
  </w:style>
  <w:style w:type="paragraph" w:customStyle="1" w:styleId="85">
    <w:name w:val="表内式样"/>
    <w:qFormat/>
    <w:uiPriority w:val="0"/>
    <w:pPr>
      <w:widowControl w:val="0"/>
      <w:spacing w:line="320" w:lineRule="exact"/>
      <w:jc w:val="center"/>
    </w:pPr>
    <w:rPr>
      <w:rFonts w:ascii="Calibri" w:hAnsi="Calibri" w:eastAsia="宋体" w:cs="Times New Roman"/>
      <w:color w:val="000000"/>
      <w:kern w:val="2"/>
      <w:sz w:val="21"/>
      <w:szCs w:val="21"/>
      <w:lang w:val="en-US" w:eastAsia="zh-CN" w:bidi="ar-SA"/>
    </w:rPr>
  </w:style>
  <w:style w:type="paragraph" w:customStyle="1" w:styleId="86">
    <w:name w:val="表格标题"/>
    <w:basedOn w:val="87"/>
    <w:qFormat/>
    <w:uiPriority w:val="0"/>
    <w:pPr>
      <w:spacing w:line="360" w:lineRule="auto"/>
      <w:ind w:firstLine="482" w:firstLineChars="200"/>
      <w:jc w:val="left"/>
    </w:pPr>
    <w:rPr>
      <w:rFonts w:ascii="Times New Roman" w:hAnsi="Times New Roman" w:eastAsia="仿宋" w:cs="Times New Roman"/>
      <w:b/>
      <w:sz w:val="24"/>
      <w:szCs w:val="28"/>
    </w:rPr>
  </w:style>
  <w:style w:type="paragraph" w:customStyle="1" w:styleId="87">
    <w:name w:val="表格内容"/>
    <w:basedOn w:val="1"/>
    <w:qFormat/>
    <w:uiPriority w:val="0"/>
    <w:pPr>
      <w:spacing w:line="240" w:lineRule="auto"/>
      <w:ind w:firstLine="0" w:firstLineChars="0"/>
      <w:jc w:val="center"/>
    </w:pPr>
    <w:rPr>
      <w:bCs/>
      <w:sz w:val="21"/>
    </w:rPr>
  </w:style>
  <w:style w:type="paragraph" w:customStyle="1" w:styleId="88">
    <w:name w:val="表格啊啊"/>
    <w:basedOn w:val="1"/>
    <w:qFormat/>
    <w:uiPriority w:val="0"/>
    <w:pPr>
      <w:autoSpaceDE w:val="0"/>
      <w:autoSpaceDN w:val="0"/>
      <w:adjustRightInd w:val="0"/>
      <w:snapToGrid w:val="0"/>
      <w:jc w:val="center"/>
    </w:pPr>
    <w:rPr>
      <w:rFonts w:hAnsi="宋体"/>
      <w:szCs w:val="21"/>
    </w:rPr>
  </w:style>
  <w:style w:type="paragraph" w:customStyle="1" w:styleId="89">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90">
    <w:name w:val="title"/>
    <w:basedOn w:val="28"/>
    <w:qFormat/>
    <w:uiPriority w:val="0"/>
  </w:style>
  <w:style w:type="paragraph" w:customStyle="1" w:styleId="91">
    <w:name w:val="6666666段落"/>
    <w:qFormat/>
    <w:uiPriority w:val="0"/>
    <w:pPr>
      <w:spacing w:line="360" w:lineRule="auto"/>
      <w:ind w:firstLine="720" w:firstLineChars="200"/>
      <w:jc w:val="both"/>
    </w:pPr>
    <w:rPr>
      <w:rFonts w:ascii="Times New Roman" w:hAnsi="Times New Roman" w:eastAsia="宋体" w:cs="Times New Roman"/>
      <w:sz w:val="21"/>
      <w:lang w:val="en-US" w:eastAsia="zh-CN" w:bidi="ar-SA"/>
    </w:rPr>
  </w:style>
  <w:style w:type="paragraph" w:customStyle="1" w:styleId="92">
    <w:name w:val="Normal (Web)"/>
    <w:basedOn w:val="1"/>
    <w:qFormat/>
    <w:uiPriority w:val="0"/>
    <w:pPr>
      <w:widowControl/>
      <w:autoSpaceDE/>
      <w:autoSpaceDN/>
      <w:snapToGrid/>
      <w:spacing w:before="100" w:beforeLines="0" w:beforeAutospacing="1" w:after="100" w:afterLines="0" w:afterAutospacing="1" w:line="240" w:lineRule="auto"/>
      <w:ind w:firstLine="0"/>
      <w:jc w:val="left"/>
    </w:pPr>
    <w:rPr>
      <w:rFonts w:hint="eastAsia" w:ascii="宋体" w:hAnsi="宋体" w:eastAsia="宋体"/>
      <w:sz w:val="24"/>
    </w:rPr>
  </w:style>
  <w:style w:type="paragraph" w:customStyle="1" w:styleId="93">
    <w:name w:val="中祥表标题"/>
    <w:qFormat/>
    <w:uiPriority w:val="0"/>
    <w:pPr>
      <w:widowControl w:val="0"/>
      <w:spacing w:line="320" w:lineRule="exact"/>
      <w:ind w:firstLine="542"/>
      <w:jc w:val="center"/>
    </w:pPr>
    <w:rPr>
      <w:rFonts w:ascii="Calibri" w:hAnsi="Calibri" w:eastAsia="宋体" w:cs="Times New Roman"/>
      <w:b/>
      <w:color w:val="000000"/>
      <w:kern w:val="0"/>
      <w:sz w:val="21"/>
      <w:szCs w:val="22"/>
      <w:lang w:val="en-US" w:eastAsia="zh-CN" w:bidi="ar-SA"/>
    </w:rPr>
  </w:style>
  <w:style w:type="paragraph" w:customStyle="1" w:styleId="94">
    <w:name w:val="永通表格样式"/>
    <w:basedOn w:val="1"/>
    <w:qFormat/>
    <w:uiPriority w:val="0"/>
    <w:pPr>
      <w:autoSpaceDE w:val="0"/>
      <w:autoSpaceDN w:val="0"/>
      <w:spacing w:line="240" w:lineRule="auto"/>
      <w:ind w:firstLine="0" w:firstLineChars="0"/>
      <w:jc w:val="center"/>
      <w:textAlignment w:val="baseline"/>
    </w:pPr>
    <w:rPr>
      <w:rFonts w:hint="eastAsia" w:cs="Times New Roman"/>
      <w:color w:val="auto"/>
      <w:sz w:val="21"/>
      <w:szCs w:val="21"/>
      <w:u w:val="none" w:color="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"/>
    </extobj>
    <extobj name="ECB019B1-382A-4266-B25C-5B523AA43C14-2">
      <extobjdata type="ECB019B1-382A-4266-B25C-5B523AA43C14" data="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"/>
    </extobj>
  </extobjs>
</s:customData>
</file>

<file path=customXml/item2.xml><?xml version="1.0" encoding="utf-8"?>
<contractReview xmlns="http://schemas.wps.cn/vas-ai-hub/contract-review">
  <reviewItems>
    <reviewItem>
      <errorID>898e27d3-446a-4986-9ecf-cff06cfa8532</errorID>
      <errorWord>-</errorWord>
      <group>L1_Format</group>
      <groupName>格式问题</groupName>
      <ability>L2_HalfPunc_CN</ability>
      <abilityName>全半角检查</abilityName>
      <candidateList>
        <item>－</item>
      </candidateList>
      <explain>文本全半角错误。</explain>
      <paraID>2D2E43F4</paraID>
      <start>27</start>
      <end>28</end>
      <status>ignored</status>
      <modifiedWord/>
      <trackRevisions>false</trackRevisions>
    </reviewItem>
    <reviewItem>
      <errorID>6b1e21d3-8ffc-444d-b3f2-cef0f2a655c2</errorID>
      <errorWord>科技技术</errorWord>
      <group>L1_Word</group>
      <groupName>字词问题</groupName>
      <ability>L2_Typo</ability>
      <abilityName>字词错误</abilityName>
      <candidateList>
        <item>科学技术</item>
      </candidateList>
      <explain/>
      <paraID>31F756F4</paraID>
      <start>4</start>
      <end>8</end>
      <status>ignored</status>
      <modifiedWord/>
      <trackRevisions>false</trackRevisions>
    </reviewItem>
    <reviewItem>
      <errorID>30dad7f8-b511-4167-9a1c-3dca83e66b43</errorID>
      <errorWord>科技技术</errorWord>
      <group>L1_Word</group>
      <groupName>字词问题</groupName>
      <ability>L2_Typo</ability>
      <abilityName>字词错误</abilityName>
      <candidateList>
        <item>科学技术</item>
      </candidateList>
      <explain/>
      <paraID>3EF1EE92</paraID>
      <start>7</start>
      <end>11</end>
      <status>ignored</status>
      <modifiedWord/>
      <trackRevisions>false</trackRevisions>
    </reviewItem>
    <reviewItem>
      <errorID>99a2d80b-3f0b-427d-981b-93986e68f7f0</errorID>
      <errorWord>(</errorWord>
      <group>L1_Format</group>
      <groupName>格式问题</groupName>
      <ability>L2_HalfPunc_CN</ability>
      <abilityName>全半角检查</abilityName>
      <candidateList>
        <item>（</item>
      </candidateList>
      <explain>文本全半角错误。</explain>
      <paraID>5464B4DF</paraID>
      <start>45</start>
      <end>46</end>
      <status>ignored</status>
      <modifiedWord/>
      <trackRevisions>false</trackRevisions>
    </reviewItem>
    <reviewItem>
      <errorID>c46cbfe8-f3e6-4f26-9868-af2c07cd022d</errorID>
      <errorWord>)</errorWord>
      <group>L1_Format</group>
      <groupName>格式问题</groupName>
      <ability>L2_HalfPunc_CN</ability>
      <abilityName>全半角检查</abilityName>
      <candidateList>
        <item>）</item>
      </candidateList>
      <explain>文本全半角错误。</explain>
      <paraID>5464B4DF</paraID>
      <start>48</start>
      <end>49</end>
      <status>ignored</status>
      <modifiedWord/>
      <trackRevisions>false</trackRevisions>
    </reviewItem>
    <reviewItem>
      <errorID>6d4ca30d-c8b4-4000-9307-1cae635cc561</errorID>
      <errorWord>科技技术</errorWord>
      <group>L1_Word</group>
      <groupName>字词问题</groupName>
      <ability>L2_Typo</ability>
      <abilityName>字词错误</abilityName>
      <candidateList>
        <item>科学技术</item>
      </candidateList>
      <explain/>
      <paraID>7F8C42DA</paraID>
      <start>43</start>
      <end>47</end>
      <status>ignored</status>
      <modifiedWord/>
      <trackRevisions>false</trackRevisions>
    </reviewItem>
    <reviewItem>
      <errorID>96ce420d-6a9e-4af0-8117-6830e11451e4</errorID>
      <errorWord>(</errorWord>
      <group>L1_Format</group>
      <groupName>格式问题</groupName>
      <ability>L2_HalfPunc_CN</ability>
      <abilityName>全半角检查</abilityName>
      <candidateList>
        <item>（</item>
      </candidateList>
      <explain>文本全半角错误。</explain>
      <paraID>72A6D2DF</paraID>
      <start>36</start>
      <end>37</end>
      <status>ignored</status>
      <modifiedWord/>
      <trackRevisions>false</trackRevisions>
    </reviewItem>
    <reviewItem>
      <errorID>59b3f066-5b9f-45da-a6ce-0fe3e6b1a82c</errorID>
      <errorWord>)</errorWord>
      <group>L1_Format</group>
      <groupName>格式问题</groupName>
      <ability>L2_HalfPunc_CN</ability>
      <abilityName>全半角检查</abilityName>
      <candidateList>
        <item>）</item>
      </candidateList>
      <explain>文本全半角错误。</explain>
      <paraID>72A6D2DF</paraID>
      <start>39</start>
      <end>40</end>
      <status>ignored</status>
      <modifiedWord/>
      <trackRevisions>false</trackRevisions>
    </reviewItem>
    <reviewItem>
      <errorID>a1cb31ba-4a2d-4e78-9af6-49fb51ef6f93</errorID>
      <errorWord>科技技术</errorWord>
      <group>L1_Word</group>
      <groupName>字词问题</groupName>
      <ability>L2_Typo</ability>
      <abilityName>字词错误</abilityName>
      <candidateList>
        <item>科学技术</item>
      </candidateList>
      <explain/>
      <paraID>38C0FA86</paraID>
      <start>11</start>
      <end>15</end>
      <status>ignored</status>
      <modifiedWord/>
      <trackRevisions>false</trackRevisions>
    </reviewItem>
    <reviewItem>
      <errorID>d861fe16-a4f5-475c-9fed-b1e3a4636ad7</errorID>
      <errorWord>(</errorWord>
      <group>L1_Format</group>
      <groupName>格式问题</groupName>
      <ability>L2_HalfPunc_CN</ability>
      <abilityName>全半角检查</abilityName>
      <candidateList>
        <item>（</item>
      </candidateList>
      <explain>文本全半角错误。</explain>
      <paraID>4AF8943A</paraID>
      <start>5</start>
      <end>6</end>
      <status>ignored</status>
      <modifiedWord/>
      <trackRevisions>false</trackRevisions>
    </reviewItem>
    <reviewItem>
      <errorID>34f6c9e9-1e52-49f2-9e71-ef2e5620b807</errorID>
      <errorWord>)</errorWord>
      <group>L1_Format</group>
      <groupName>格式问题</groupName>
      <ability>L2_HalfPunc_CN</ability>
      <abilityName>全半角检查</abilityName>
      <candidateList>
        <item>）</item>
      </candidateList>
      <explain>文本全半角错误。</explain>
      <paraID>4AF8943A</paraID>
      <start>8</start>
      <end>9</end>
      <status>ignored</status>
      <modifiedWord/>
      <trackRevisions>false</trackRevisions>
    </reviewItem>
    <reviewItem>
      <errorID>f6c4a29c-c55f-4574-9329-167712f8e58a</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4D979E9A</paraID>
      <start>8</start>
      <end>12</end>
      <status>ignored</status>
      <modifiedWord/>
      <trackRevisions>false</trackRevisions>
    </reviewItem>
    <reviewItem>
      <errorID>97e9facd-b1de-4a92-bb7f-4c7edace2885</errorID>
      <errorWord>-</errorWord>
      <group>L1_Format</group>
      <groupName>格式问题</groupName>
      <ability>L2_HalfPunc_CN</ability>
      <abilityName>全半角检查</abilityName>
      <candidateList>
        <item>－</item>
      </candidateList>
      <explain>文本全半角错误。</explain>
      <paraID>5AD13C1F</paraID>
      <start>26</start>
      <end>27</end>
      <status>ignored</status>
      <modifiedWord/>
      <trackRevisions>false</trackRevisions>
    </reviewItem>
    <reviewItem>
      <errorID>602df08c-1f57-4a37-ae8e-abc4440975cd</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4956869B</paraID>
      <start>136</start>
      <end>137</end>
      <status>ignored</status>
      <modifiedWord/>
      <trackRevisions>false</trackRevisions>
    </reviewItem>
    <reviewItem>
      <errorID>21aa0032-3cd3-494e-86f6-5227549b0803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4956869B</paraID>
      <start>150</start>
      <end>151</end>
      <status>ignored</status>
      <modifiedWord/>
      <trackRevisions>false</trackRevisions>
    </reviewItem>
    <reviewItem>
      <errorID>95b9c233-1db2-4c1d-8268-930b2bddd0b8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4956869B</paraID>
      <start>164</start>
      <end>165</end>
      <status>ignored</status>
      <modifiedWord/>
      <trackRevisions>false</trackRevisions>
    </reviewItem>
    <reviewItem>
      <errorID>9bef1fa3-f3f7-49a1-8d5d-7028e4309d05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6B5C4541</paraID>
      <start>0</start>
      <end>2</end>
      <status>ignored</status>
      <modifiedWord/>
      <trackRevisions>false</trackRevisions>
    </reviewItem>
    <reviewItem>
      <errorID>de719ee8-dc5d-4ccf-be27-bdd7ea1d62e4</errorID>
      <errorWord>也</errorWord>
      <group>L1_Word</group>
      <groupName>字词问题</groupName>
      <ability>L2_Typo</ability>
      <abilityName>字词错误</abilityName>
      <candidateList>
        <item>也有</item>
      </candidateList>
      <explain/>
      <paraID>39700B39</paraID>
      <start>288</start>
      <end>289</end>
      <status>unmodified</status>
      <modifiedWord/>
      <trackRevisions>false</trackRevisions>
    </reviewItem>
    <reviewItem>
      <errorID>57e32d5a-10c4-4c30-ad41-35e5ad6830e4</errorID>
      <errorWord>伏道</errorWord>
      <group>L1_Word</group>
      <groupName>字词问题</groupName>
      <ability>L2_Typo</ability>
      <abilityName>字词错误</abilityName>
      <candidateList>
        <item>通道</item>
      </candidateList>
      <explain/>
      <paraID>39700B39</paraID>
      <start>349</start>
      <end>351</end>
      <status>unmodified</status>
      <modifiedWord/>
      <trackRevisions>false</trackRevisions>
    </reviewItem>
    <reviewItem>
      <errorID>cedab18c-bbcb-4af4-a8c9-04c03337ebdd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590CBBA9</paraID>
      <start>0</start>
      <end>2</end>
      <status>unmodified</status>
      <modifiedWord/>
      <trackRevisions>false</trackRevisions>
    </reviewItem>
    <reviewItem>
      <errorID>57dad0c7-49c3-4d1b-a9fb-d109df93fe45</errorID>
      <errorWord>--</errorWord>
      <group>L1_Punc</group>
      <groupName>标点问题</groupName>
      <ability>L2_Punc_CN</ability>
      <abilityName>标点符号检查</abilityName>
      <candidateList>
        <item>——</item>
      </candidateList>
      <explain>破折号或连接号疑似使用错误。</explain>
      <paraID> 653BC11</paraID>
      <start>148</start>
      <end>150</end>
      <status>unmodified</status>
      <modifiedWord/>
      <trackRevisions>false</trackRevisions>
    </reviewItem>
    <reviewItem>
      <errorID>d652e73a-fa1d-4d34-a9ba-1f06b4387879</errorID>
      <errorWord>。。</errorWord>
      <group>L1_Punc</group>
      <groupName>标点问题</groupName>
      <ability>L2_Punc_CN</ability>
      <abilityName>标点符号检查</abilityName>
      <candidateList>
        <item>。</item>
      </candidateList>
      <explain/>
      <paraID>4DD1FFA6</paraID>
      <start>39</start>
      <end>41</end>
      <status>unmodified</status>
      <modifiedWord/>
      <trackRevisions>false</trackRevisions>
    </reviewItem>
    <reviewItem>
      <errorID>b36714b0-d459-4ac5-b7ea-1835d4c4b197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1CF623E2</paraID>
      <start>52</start>
      <end>53</end>
      <status>unmodified</status>
      <modifiedWord/>
      <trackRevisions>false</trackRevisions>
    </reviewItem>
    <reviewItem>
      <errorID>7d1a5f39-727a-49c5-aa7c-2dfbaa918b8e</errorID>
      <errorWord>胶粘剂</errorWord>
      <group>L1_Word</group>
      <groupName>字词问题</groupName>
      <ability>L2_Typo</ability>
      <abilityName>字词错误</abilityName>
      <candidateList>
        <item>胶黏剂</item>
      </candidateList>
      <explain/>
      <paraID>6D01C98A</paraID>
      <start>46</start>
      <end>49</end>
      <status>unmodified</status>
      <modifiedWord/>
      <trackRevisions>false</trackRevisions>
    </reviewItem>
    <reviewItem>
      <errorID>021ee457-fa6c-4def-9bf4-fd88df4d3aaf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1180E9A1</paraID>
      <start>0</start>
      <end>2</end>
      <status>unmodified</status>
      <modifiedWord/>
      <trackRevisions>false</trackRevisions>
    </reviewItem>
    <reviewItem>
      <errorID>68f6c14c-bb45-4695-b593-c97bf43f70b8</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1180E9A1</paraID>
      <start>8</start>
      <end>12</end>
      <status>unmodified</status>
      <modifiedWord/>
      <trackRevisions>false</trackRevisions>
    </reviewItem>
    <reviewItem>
      <errorID>13e16682-21c0-40a9-9eb3-bd5ba4f5c129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6D0DEBD5</paraID>
      <start>0</start>
      <end>2</end>
      <status>unmodified</status>
      <modifiedWord/>
      <trackRevisions>false</trackRevisions>
    </reviewItem>
    <reviewItem>
      <errorID>1f6f17d3-e580-4dfa-b864-6826665ab626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2C96D83C</paraID>
      <start>0</start>
      <end>2</end>
      <status>unmodified</status>
      <modifiedWord/>
      <trackRevisions>false</trackRevisions>
    </reviewItem>
    <reviewItem>
      <errorID>522fa83f-1257-4c9c-8f3c-34f398ea5f70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6FB860AA</paraID>
      <start>0</start>
      <end>2</end>
      <status>unmodified</status>
      <modifiedWord/>
      <trackRevisions>false</trackRevisions>
    </reviewItem>
    <reviewItem>
      <errorID>2830c9a7-ac50-4fda-a8ca-231ffa9a7c88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2548EE16</paraID>
      <start>0</start>
      <end>2</end>
      <status>unmodified</status>
      <modifiedWord/>
      <trackRevisions>false</trackRevisions>
    </reviewItem>
    <reviewItem>
      <errorID>3846b205-4cd9-46cb-b986-bc0443b11b04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2F837616</paraID>
      <start>0</start>
      <end>2</end>
      <status>unmodified</status>
      <modifiedWord/>
      <trackRevisions>false</trackRevisions>
    </reviewItem>
    <reviewItem>
      <errorID>806f2b10-9932-4f7e-b074-7304baeaad19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2AF83C6B</paraID>
      <start>0</start>
      <end>2</end>
      <status>unmodified</status>
      <modifiedWord/>
      <trackRevisions>false</trackRevisions>
    </reviewItem>
    <reviewItem>
      <errorID>355e2b42-532b-4948-a8c3-414995709f0c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19117695</paraID>
      <start>0</start>
      <end>2</end>
      <status>unmodified</status>
      <modifiedWord/>
      <trackRevisions>false</trackRevisions>
    </reviewItem>
    <reviewItem>
      <errorID>2617ca6e-0c36-4a34-8561-0c2d285fc92d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298B2DB9</paraID>
      <start>0</start>
      <end>2</end>
      <status>unmodified</status>
      <modifiedWord/>
      <trackRevisions>false</trackRevisions>
    </reviewItem>
    <reviewItem>
      <errorID>4d327bb2-3cb8-47be-959e-17321e35fba4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18A17619</paraID>
      <start>0</start>
      <end>2</end>
      <status>unmodified</status>
      <modifiedWord/>
      <trackRevisions>false</trackRevisions>
    </reviewItem>
    <reviewItem>
      <errorID>2cf2d2fe-a69a-4f4b-a8d9-6014dca37afc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8301F13</paraID>
      <start>0</start>
      <end>2</end>
      <status>unmodified</status>
      <modifiedWord/>
      <trackRevisions>false</trackRevisions>
    </reviewItem>
    <reviewItem>
      <errorID>806e4db4-a2eb-4659-802c-ab637a14fd28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7505314E</paraID>
      <start>0</start>
      <end>2</end>
      <status>unmodified</status>
      <modifiedWord/>
      <trackRevisions>false</trackRevisions>
    </reviewItem>
    <reviewItem>
      <errorID>35c56049-86c9-4cce-84f6-849b82661781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3DD94146</paraID>
      <start>0</start>
      <end>2</end>
      <status>unmodified</status>
      <modifiedWord/>
      <trackRevisions>false</trackRevisions>
    </reviewItem>
    <reviewItem>
      <errorID>e54466de-ed33-4bf1-a742-0b1638892ca8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37EA6E8B</paraID>
      <start>0</start>
      <end>2</end>
      <status>unmodified</status>
      <modifiedWord/>
      <trackRevisions>false</trackRevisions>
    </reviewItem>
    <reviewItem>
      <errorID>6c0f3260-8f34-4a47-ab09-d1280fa2e2e0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766CD3C3</paraID>
      <start>0</start>
      <end>2</end>
      <status>unmodified</status>
      <modifiedWord/>
      <trackRevisions>false</trackRevisions>
    </reviewItem>
    <reviewItem>
      <errorID>449251cf-9925-46b5-b317-d0bc7e388e5e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146C6718</paraID>
      <start>0</start>
      <end>2</end>
      <status>unmodified</status>
      <modifiedWord/>
      <trackRevisions>false</trackRevisions>
    </reviewItem>
    <reviewItem>
      <errorID>983baaec-b4fa-4c01-b21c-d288d9261128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6547F9BA</paraID>
      <start>0</start>
      <end>2</end>
      <status>unmodified</status>
      <modifiedWord/>
      <trackRevisions>false</trackRevisions>
    </reviewItem>
    <reviewItem>
      <errorID>254cc8a5-c082-4bde-bc88-9cbb54820dd8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74BEB849</paraID>
      <start>0</start>
      <end>2</end>
      <status>unmodified</status>
      <modifiedWord/>
      <trackRevisions>false</trackRevisions>
    </reviewItem>
    <reviewItem>
      <errorID>49c9e0d1-8d26-4d49-aac6-94f239ce0d1e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6CE04A6C</paraID>
      <start>0</start>
      <end>2</end>
      <status>unmodified</status>
      <modifiedWord/>
      <trackRevisions>false</trackRevisions>
    </reviewItem>
    <reviewItem>
      <errorID>91c8ed01-6294-4088-8798-c344a7e3c439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EDE6FA0</paraID>
      <start>0</start>
      <end>3</end>
      <status>unmodified</status>
      <modifiedWord/>
      <trackRevisions>false</trackRevisions>
    </reviewItem>
    <reviewItem>
      <errorID>00b6a453-48ef-4d4a-ab71-b3c0ac13dd31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799AF159</paraID>
      <start>0</start>
      <end>3</end>
      <status>unmodified</status>
      <modifiedWord/>
      <trackRevisions>false</trackRevisions>
    </reviewItem>
    <reviewItem>
      <errorID>a0910943-6283-403d-9ef8-d554e0da9993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47C5DD1C</paraID>
      <start>0</start>
      <end>3</end>
      <status>unmodified</status>
      <modifiedWord/>
      <trackRevisions>false</trackRevisions>
    </reviewItem>
    <reviewItem>
      <errorID>7253045b-37a7-4f66-8bae-33e25b261f14</errorID>
      <errorWord>应对</errorWord>
      <group>L1_Word</group>
      <groupName>字词问题</groupName>
      <ability>L2_Typo</ability>
      <abilityName>字词错误</abilityName>
      <candidateList>
        <item>应当</item>
      </candidateList>
      <explain/>
      <paraID>47C5DD1C</paraID>
      <start>9</start>
      <end>11</end>
      <status>unmodified</status>
      <modifiedWord/>
      <trackRevisions>false</trackRevisions>
    </reviewItem>
    <reviewItem>
      <errorID>502a29c0-b446-4a52-ad6c-0e8513b74718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7A4BF213</paraID>
      <start>0</start>
      <end>3</end>
      <status>unmodified</status>
      <modifiedWord/>
      <trackRevisions>false</trackRevisions>
    </reviewItem>
    <reviewItem>
      <errorID>19379124-af62-43ee-bb5a-b59cffcd3ec2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1F209411</paraID>
      <start>0</start>
      <end>3</end>
      <status>unmodified</status>
      <modifiedWord/>
      <trackRevisions>false</trackRevisions>
    </reviewItem>
    <reviewItem>
      <errorID>2e34f02c-ea2b-4417-b388-494a48d594cc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70A279EE</paraID>
      <start>0</start>
      <end>3</end>
      <status>unmodified</status>
      <modifiedWord/>
      <trackRevisions>false</trackRevisions>
    </reviewItem>
    <reviewItem>
      <errorID>1551e258-6a33-45ad-bc01-c7b847b7bf8e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1A24B0F2</paraID>
      <start>0</start>
      <end>3</end>
      <status>unmodified</status>
      <modifiedWord/>
      <trackRevisions>false</trackRevisions>
    </reviewItem>
    <reviewItem>
      <errorID>0aedab9f-1441-401e-a893-d9371b80ae35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8A9FEBD</paraID>
      <start>0</start>
      <end>3</end>
      <status>unmodified</status>
      <modifiedWord/>
      <trackRevisions>false</trackRevisions>
    </reviewItem>
    <reviewItem>
      <errorID>f085fa7e-54d6-47bc-a70b-72b9bb3558c5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61A0CCB6</paraID>
      <start>0</start>
      <end>3</end>
      <status>unmodified</status>
      <modifiedWord/>
      <trackRevisions>false</trackRevisions>
    </reviewItem>
    <reviewItem>
      <errorID>bc32049d-4eed-4b10-9b02-08fc3de79588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702C3333</paraID>
      <start>0</start>
      <end>3</end>
      <status>unmodified</status>
      <modifiedWord/>
      <trackRevisions>false</trackRevisions>
    </reviewItem>
    <reviewItem>
      <errorID>3bc1450a-8a6c-4b8f-a328-05396ae3cdb6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4331F734</paraID>
      <start>0</start>
      <end>3</end>
      <status>unmodified</status>
      <modifiedWord/>
      <trackRevisions>false</trackRevisions>
    </reviewItem>
    <reviewItem>
      <errorID>3037f873-63de-4a2e-a460-922fc72259bf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37A578F4</paraID>
      <start>0</start>
      <end>3</end>
      <status>unmodified</status>
      <modifiedWord/>
      <trackRevisions>false</trackRevisions>
    </reviewItem>
    <reviewItem>
      <errorID>cb2d0279-dbc7-49e7-938e-36ef66972862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45337A0E</paraID>
      <start>0</start>
      <end>3</end>
      <status>unmodified</status>
      <modifiedWord/>
      <trackRevisions>false</trackRevisions>
    </reviewItem>
    <reviewItem>
      <errorID>fe208424-0b80-422f-a495-b74b6be465e4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17A50E11</paraID>
      <start>0</start>
      <end>3</end>
      <status>unmodified</status>
      <modifiedWord/>
      <trackRevisions>false</trackRevisions>
    </reviewItem>
    <reviewItem>
      <errorID>206ff4a4-18f3-46a6-b180-971cb669250b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61DF3125</paraID>
      <start>0</start>
      <end>3</end>
      <status>unmodified</status>
      <modifiedWord/>
      <trackRevisions>false</trackRevisions>
    </reviewItem>
    <reviewItem>
      <errorID>f38ebca0-01ef-45b6-9d23-e2c5d08f737f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1D1667DE</paraID>
      <start>0</start>
      <end>3</end>
      <status>unmodified</status>
      <modifiedWord/>
      <trackRevisions>false</trackRevisions>
    </reviewItem>
    <reviewItem>
      <errorID>9fd9d713-0c0b-4f11-826f-4ee0e36ad3c6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3F759A88</paraID>
      <start>0</start>
      <end>3</end>
      <status>unmodified</status>
      <modifiedWord/>
      <trackRevisions>false</trackRevisions>
    </reviewItem>
    <reviewItem>
      <errorID>2ff795b2-3cae-4948-b849-8a94916fbae9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48F4E518</paraID>
      <start>0</start>
      <end>3</end>
      <status>unmodified</status>
      <modifiedWord/>
      <trackRevisions>false</trackRevisions>
    </reviewItem>
    <reviewItem>
      <errorID>87e27ffa-23fd-4bb0-96c0-230d25f65478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2F8EC63D</paraID>
      <start>0</start>
      <end>3</end>
      <status>unmodified</status>
      <modifiedWord/>
      <trackRevisions>false</trackRevisions>
    </reviewItem>
    <reviewItem>
      <errorID>70a7dfec-439b-48a6-b318-915be81e9bf0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33F0A6A0</paraID>
      <start>0</start>
      <end>3</end>
      <status>unmodified</status>
      <modifiedWord/>
      <trackRevisions>false</trackRevisions>
    </reviewItem>
    <reviewItem>
      <errorID>cd2441a5-029f-4578-a961-0eef0dd35add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26F2E305</paraID>
      <start>0</start>
      <end>3</end>
      <status>unmodified</status>
      <modifiedWord/>
      <trackRevisions>false</trackRevisions>
    </reviewItem>
    <reviewItem>
      <errorID>fda3b280-2172-4995-9fc3-71064f34555b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69A744A9</paraID>
      <start>0</start>
      <end>3</end>
      <status>unmodified</status>
      <modifiedWord/>
      <trackRevisions>false</trackRevisions>
    </reviewItem>
    <reviewItem>
      <errorID>d5db55a6-e713-4614-97a5-089a8ff53079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21B87552</paraID>
      <start>0</start>
      <end>3</end>
      <status>unmodified</status>
      <modifiedWord/>
      <trackRevisions>false</trackRevisions>
    </reviewItem>
    <reviewItem>
      <errorID>d7294152-8f37-4ffe-bff3-867e8545e549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68DC6B87</paraID>
      <start>0</start>
      <end>3</end>
      <status>unmodified</status>
      <modifiedWord/>
      <trackRevisions>false</trackRevisions>
    </reviewItem>
    <reviewItem>
      <errorID>1986374b-09f0-43f3-a6f6-4ab91576e8b4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71C7DE35</paraID>
      <start>0</start>
      <end>3</end>
      <status>unmodified</status>
      <modifiedWord/>
      <trackRevisions>false</trackRevisions>
    </reviewItem>
    <reviewItem>
      <errorID>397ee40c-ff5c-4190-8e24-145c2a62cb9f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2FB3ACC9</paraID>
      <start>0</start>
      <end>3</end>
      <status>unmodified</status>
      <modifiedWord/>
      <trackRevisions>false</trackRevisions>
    </reviewItem>
    <reviewItem>
      <errorID>187ea83a-e522-45c9-a73b-893a39893a5e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6A55F311</paraID>
      <start>0</start>
      <end>3</end>
      <status>unmodified</status>
      <modifiedWord/>
      <trackRevisions>false</trackRevisions>
    </reviewItem>
    <reviewItem>
      <errorID>6bf3d7b8-d658-44a7-b188-e3a59afd0d17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775117FD</paraID>
      <start>0</start>
      <end>3</end>
      <status>unmodified</status>
      <modifiedWord/>
      <trackRevisions>false</trackRevisions>
    </reviewItem>
    <reviewItem>
      <errorID>915cbd68-6a90-426d-af09-c1abdaa297da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1B5CA41C</paraID>
      <start>0</start>
      <end>2</end>
      <status>unmodified</status>
      <modifiedWord/>
      <trackRevisions>false</trackRevisions>
    </reviewItem>
    <reviewItem>
      <errorID>528c5697-a6bc-44b6-af9e-12581a85d4de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233B7D62</paraID>
      <start>0</start>
      <end>2</end>
      <status>unmodified</status>
      <modifiedWord/>
      <trackRevisions>false</trackRevisions>
    </reviewItem>
    <reviewItem>
      <errorID>53c726b1-31ba-475e-b3ea-d1e043b6a12b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7215E4FC</paraID>
      <start>0</start>
      <end>2</end>
      <status>unmodified</status>
      <modifiedWord/>
      <trackRevisions>false</trackRevisions>
    </reviewItem>
    <reviewItem>
      <errorID>dab199bc-cbf9-4f80-9e25-5c0bac347f51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256F82F3</paraID>
      <start>0</start>
      <end>2</end>
      <status>unmodified</status>
      <modifiedWord/>
      <trackRevisions>false</trackRevisions>
    </reviewItem>
    <reviewItem>
      <errorID>001aeeff-8a43-4697-8757-b6e8cd3776f7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790934AF</paraID>
      <start>0</start>
      <end>2</end>
      <status>unmodified</status>
      <modifiedWord/>
      <trackRevisions>false</trackRevisions>
    </reviewItem>
    <reviewItem>
      <errorID>47d234d0-fdc5-4805-b1e4-7d75bbc3554b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113A788A</paraID>
      <start>0</start>
      <end>2</end>
      <status>unmodified</status>
      <modifiedWord/>
      <trackRevisions>false</trackRevisions>
    </reviewItem>
    <reviewItem>
      <errorID>c85bf8ba-e353-4aae-af9b-4898ee3216fe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1E25859B</paraID>
      <start>0</start>
      <end>2</end>
      <status>unmodified</status>
      <modifiedWord/>
      <trackRevisions>false</trackRevisions>
    </reviewItem>
    <reviewItem>
      <errorID>e096d5f3-8184-4507-a187-86dc0e1f4536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2B371E3F</paraID>
      <start>0</start>
      <end>2</end>
      <status>unmodified</status>
      <modifiedWord/>
      <trackRevisions>false</trackRevisions>
    </reviewItem>
    <reviewItem>
      <errorID>253da585-20a3-472f-8d45-d939400fa2dd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5C247724</paraID>
      <start>0</start>
      <end>2</end>
      <status>unmodified</status>
      <modifiedWord/>
      <trackRevisions>false</trackRevisions>
    </reviewItem>
    <reviewItem>
      <errorID>e9d70b05-83f8-4df3-b115-169e2689e15f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24393473</paraID>
      <start>0</start>
      <end>2</end>
      <status>unmodified</status>
      <modifiedWord/>
      <trackRevisions>false</trackRevisions>
    </reviewItem>
    <reviewItem>
      <errorID>b9883daf-ab41-4129-9aed-52a40aaf9fea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72285ED1</paraID>
      <start>0</start>
      <end>2</end>
      <status>unmodified</status>
      <modifiedWord/>
      <trackRevisions>false</trackRevisions>
    </reviewItem>
    <reviewItem>
      <errorID>4fdf0cdc-30fc-46a7-9f5e-33bad7dfbd01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7EB2898A</paraID>
      <start>0</start>
      <end>2</end>
      <status>unmodified</status>
      <modifiedWord/>
      <trackRevisions>false</trackRevisions>
    </reviewItem>
    <reviewItem>
      <errorID>d7feb5be-88a7-4665-867b-03ac5261c0f8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7B6B38C9</paraID>
      <start>0</start>
      <end>2</end>
      <status>unmodified</status>
      <modifiedWord/>
      <trackRevisions>false</trackRevisions>
    </reviewItem>
    <reviewItem>
      <errorID>9505a4be-77f4-41a9-9bbe-d03339415b81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417A210F</paraID>
      <start>0</start>
      <end>2</end>
      <status>unmodified</status>
      <modifiedWord/>
      <trackRevisions>false</trackRevisions>
    </reviewItem>
    <reviewItem>
      <errorID>6da0b68a-adc2-49b1-8ee1-6e6cd6e000c3</errorID>
      <errorWord>十四五期间</errorWord>
      <group>L1_Political</group>
      <groupName>政治性问题</groupName>
      <ability>L2_Keyword</ability>
      <abilityName>固定表述</abilityName>
      <candidateList>
        <item>“十四五”期间</item>
      </candidateList>
      <explain>注意检查当前固定表述标点是否使用规范。</explain>
      <paraID>417A210F</paraID>
      <start>2</start>
      <end>7</end>
      <status>unmodified</status>
      <modifiedWord/>
      <trackRevisions>false</trackRevisions>
    </reviewItem>
    <reviewItem>
      <errorID>b9246601-a34a-41d8-8127-0232cda6cf82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3B2215F3</paraID>
      <start>0</start>
      <end>2</end>
      <status>unmodified</status>
      <modifiedWord/>
      <trackRevisions>false</trackRevisions>
    </reviewItem>
    <reviewItem>
      <errorID>e53686a3-4184-438a-a8b0-e6ea8d914a34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409D94B0</paraID>
      <start>0</start>
      <end>2</end>
      <status>unmodified</status>
      <modifiedWord/>
      <trackRevisions>false</trackRevisions>
    </reviewItem>
    <reviewItem>
      <errorID>56cff1f7-f64f-413a-ba5c-bee81764513b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5F89CA26</paraID>
      <start>0</start>
      <end>2</end>
      <status>unmodified</status>
      <modifiedWord/>
      <trackRevisions>false</trackRevisions>
    </reviewItem>
    <reviewItem>
      <errorID>664a7059-3ede-4fa3-8df6-fd42a2b0a3c8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6A259C2F</paraID>
      <start>0</start>
      <end>2</end>
      <status>unmodified</status>
      <modifiedWord/>
      <trackRevisions>false</trackRevisions>
    </reviewItem>
    <reviewItem>
      <errorID>4891b095-ede8-43c9-8f70-d8eeb637493b</errorID>
      <errorWord>秸杆</errorWord>
      <group>L1_Word</group>
      <groupName>字词问题</groupName>
      <ability>L2_Typo</ability>
      <abilityName>字词错误</abilityName>
      <candidateList>
        <item>秸秆</item>
      </candidateList>
      <explain>〈名〉农作物脱粒后剩下的茎。</explain>
      <paraID>6A259C2F</paraID>
      <start>67</start>
      <end>69</end>
      <status>unmodified</status>
      <modifiedWord/>
      <trackRevisions>false</trackRevisions>
    </reviewItem>
    <reviewItem>
      <errorID>3f6fc983-c8b0-4e57-955c-5930774e2804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221BF3CB</paraID>
      <start>0</start>
      <end>2</end>
      <status>unmodified</status>
      <modifiedWord/>
      <trackRevisions>false</trackRevisions>
    </reviewItem>
    <reviewItem>
      <errorID>5097557c-feb5-454b-b36f-83a836ce1095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62C9EFF5</paraID>
      <start>0</start>
      <end>2</end>
      <status>unmodified</status>
      <modifiedWord/>
      <trackRevisions>false</trackRevisions>
    </reviewItem>
    <reviewItem>
      <errorID>908a32cc-7832-4280-82b8-69e77bb87bfa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152E8BDD</paraID>
      <start>0</start>
      <end>2</end>
      <status>unmodified</status>
      <modifiedWord/>
      <trackRevisions>false</trackRevisions>
    </reviewItem>
    <reviewItem>
      <errorID>84efb98f-d262-4bc9-b2c2-d5558d1cc233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33710529</paraID>
      <start>0</start>
      <end>2</end>
      <status>unmodified</status>
      <modifiedWord/>
      <trackRevisions>false</trackRevisions>
    </reviewItem>
    <reviewItem>
      <errorID>abce316a-6332-4ad9-880c-2729757d4655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293964EB</paraID>
      <start>0</start>
      <end>2</end>
      <status>unmodified</status>
      <modifiedWord/>
      <trackRevisions>false</trackRevisions>
    </reviewItem>
    <reviewItem>
      <errorID>d4963e67-79d7-4e69-b3eb-1e5934863751</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51DCB0D3</paraID>
      <start>24</start>
      <end>25</end>
      <status>unmodified</status>
      <modifiedWord/>
      <trackRevisions>false</trackRevisions>
    </reviewItem>
    <reviewItem>
      <errorID>2ca43ad7-96a6-4624-af6c-6d53f796a260</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51DCB0D3</paraID>
      <start>25</start>
      <end>30</end>
      <status>unmodified</status>
      <modifiedWord/>
      <trackRevisions>false</trackRevisions>
    </reviewItem>
    <reviewItem>
      <errorID>80f9192d-7201-40e4-97c5-9958fdd52d1f</errorID>
      <errorWord>/。</errorWord>
      <group>L1_Punc</group>
      <groupName>标点问题</groupName>
      <ability>L2_Punc_CN</ability>
      <abilityName>标点符号检查</abilityName>
      <candidateList>
        <item>/</item>
      </candidateList>
      <explain/>
      <paraID> 64B5636</paraID>
      <start>0</start>
      <end>2</end>
      <status>unmodified</status>
      <modifiedWord/>
      <trackRevisions>false</trackRevisions>
    </reviewItem>
    <reviewItem>
      <errorID>0c2c294f-34c4-48af-9a90-9dbaa261e58a</errorID>
      <errorWord>方</errorWord>
      <group>L1_Word</group>
      <groupName>字词问题</groupName>
      <ability>L2_Typo</ability>
      <abilityName>字词错误</abilityName>
      <candidateList>
        <item>方米</item>
      </candidateList>
      <explain/>
      <paraID>3C38FADF</paraID>
      <start>65</start>
      <end>66</end>
      <status>unmodified</status>
      <modifiedWord/>
      <trackRevisions>false</trackRevisions>
    </reviewItem>
    <reviewItem>
      <errorID>6fc73f01-b045-45ac-bcce-32f780d267fb</errorID>
      <errorWord>胶粘剂</errorWord>
      <group>L1_Word</group>
      <groupName>字词问题</groupName>
      <ability>L2_Typo</ability>
      <abilityName>字词错误</abilityName>
      <candidateList>
        <item>胶黏剂</item>
      </candidateList>
      <explain/>
      <paraID>3675C6C3</paraID>
      <start>28</start>
      <end>31</end>
      <status>unmodified</status>
      <modifiedWord/>
      <trackRevisions>false</trackRevisions>
    </reviewItem>
    <reviewItem>
      <errorID>4cf65234-d748-4db5-955b-ccec00c6e79b</errorID>
      <errorWord>胶粘剂</errorWord>
      <group>L1_Word</group>
      <groupName>字词问题</groupName>
      <ability>L2_Typo</ability>
      <abilityName>字词错误</abilityName>
      <candidateList>
        <item>胶黏剂</item>
      </candidateList>
      <explain/>
      <paraID>17150B4B</paraID>
      <start>32</start>
      <end>35</end>
      <status>unmodified</status>
      <modifiedWord/>
      <trackRevisions>false</trackRevisions>
    </reviewItem>
    <reviewItem>
      <errorID>f0c5cf85-3ccc-4122-964d-1ec0dd1521e7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7C16402C</paraID>
      <start>25</start>
      <end>26</end>
      <status>ignored</status>
      <modifiedWord/>
      <trackRevisions>false</trackRevisions>
    </reviewItem>
    <reviewItem>
      <errorID>00107827-cd03-4580-99d6-6717186b8511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7C16402C</paraID>
      <start>72</start>
      <end>73</end>
      <status>ignored</status>
      <modifiedWord/>
      <trackRevisions>false</trackRevisions>
    </reviewItem>
    <reviewItem>
      <errorID>e2e978db-f41d-431d-9a19-1334ea1e1961</errorID>
      <errorWord>)</errorWord>
      <group>L1_Format</group>
      <groupName>格式问题</groupName>
      <ability>L2_HalfPunc_CN</ability>
      <abilityName>全半角检查</abilityName>
      <candidateList>
        <item>）</item>
      </candidateList>
      <explain>文本全半角错误。</explain>
      <paraID>7C16402C</paraID>
      <start>78</start>
      <end>79</end>
      <status>ignored</status>
      <modifiedWord/>
      <trackRevisions>false</trackRevisions>
    </reviewItem>
    <reviewItem>
      <errorID>3b586567-6362-4b6e-aa74-097362d2a9cf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7C16402C</paraID>
      <start>122</start>
      <end>123</end>
      <status>ignored</status>
      <modifiedWord/>
      <trackRevisions>false</trackRevisions>
    </reviewItem>
    <reviewItem>
      <errorID>042c2fec-112e-4702-a57d-e35359cef536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65469726</paraID>
      <start>3</start>
      <end>4</end>
      <status>ignored</status>
      <modifiedWord/>
      <trackRevisions>false</trackRevisions>
    </reviewItem>
    <reviewItem>
      <errorID>fde2f254-4697-4e4e-983c-e313328efdac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21FFE654</paraID>
      <start>0</start>
      <end>3</end>
      <status>unmodified</status>
      <modifiedWord/>
      <trackRevisions>false</trackRevisions>
    </reviewItem>
    <reviewItem>
      <errorID>c8492b22-edd6-4901-a2c9-0a3c9d37e142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26EF21E7</paraID>
      <start>32</start>
      <end>33</end>
      <status>ignored</status>
      <modifiedWord/>
      <trackRevisions>false</trackRevisions>
    </reviewItem>
    <reviewItem>
      <errorID>20402a55-f01d-4d07-82fa-b5373963ed9b</errorID>
      <errorWord>(</errorWord>
      <group>L1_Format</group>
      <groupName>格式问题</groupName>
      <ability>L2_HalfPunc_CN</ability>
      <abilityName>全半角检查</abilityName>
      <candidateList>
        <item>（</item>
      </candidateList>
      <explain>文本全半角错误。</explain>
      <paraID>13E21645</paraID>
      <start>15</start>
      <end>16</end>
      <status>ignored</status>
      <modifiedWord/>
      <trackRevisions>false</trackRevisions>
    </reviewItem>
    <reviewItem>
      <errorID>185679ce-9005-453c-b248-9372174bdc34</errorID>
      <errorWord>)</errorWord>
      <group>L1_Format</group>
      <groupName>格式问题</groupName>
      <ability>L2_HalfPunc_CN</ability>
      <abilityName>全半角检查</abilityName>
      <candidateList>
        <item>）</item>
      </candidateList>
      <explain>文本全半角错误。</explain>
      <paraID>13E21645</paraID>
      <start>22</start>
      <end>23</end>
      <status>ignored</status>
      <modifiedWord/>
      <trackRevisions>false</trackRevisions>
    </reviewItem>
    <reviewItem>
      <errorID>a8774a2f-4131-49c2-98eb-ec6afe023734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3058EA1F</paraID>
      <start>23</start>
      <end>26</end>
      <status>unmodified</status>
      <modifiedWord/>
      <trackRevisions>false</trackRevisions>
    </reviewItem>
    <reviewItem>
      <errorID>e6175033-7ec6-4e35-a91d-5fc33c120e69</errorID>
      <errorWord>固此</errorWord>
      <group>L1_Word</group>
      <groupName>字词问题</groupName>
      <ability>L2_Typo</ability>
      <abilityName>字词错误</abilityName>
      <candidateList>
        <item>故此</item>
      </candidateList>
      <explain>存在发音相同字词的误用。</explain>
      <paraID>69F490B7</paraID>
      <start>201</start>
      <end>203</end>
      <status>unmodified</status>
      <modifiedWord/>
      <trackRevisions>false</trackRevisions>
    </reviewItem>
    <reviewItem>
      <errorID>9aa9c3b9-3207-45d5-8d3b-75f7ccbe504b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283EB682</paraID>
      <start>8</start>
      <end>9</end>
      <status>ignored</status>
      <modifiedWord/>
      <trackRevisions>false</trackRevisions>
    </reviewItem>
    <reviewItem>
      <errorID>405f6e0a-390e-4a16-9404-d1059958ba57</errorID>
      <errorWord>应</errorWord>
      <group>L1_Word</group>
      <groupName>字词问题</groupName>
      <ability>L2_Typo</ability>
      <abilityName>字词错误</abilityName>
      <candidateList>
        <item>应在</item>
      </candidateList>
      <explain/>
      <paraID>2949F699</paraID>
      <start>6</start>
      <end>7</end>
      <status>unmodified</status>
      <modifiedWord/>
      <trackRevisions>false</trackRevisions>
    </reviewItem>
    <reviewItem>
      <errorID>0d64d4f5-8629-4b4f-a388-6b6dd581495d</errorID>
      <errorWord>转移</errorWord>
      <group>L1_Word</group>
      <groupName>字词问题</groupName>
      <ability>L2_Typo</ability>
      <abilityName>字词错误</abilityName>
      <candidateList>
        <item>装运</item>
      </candidateList>
      <explain/>
      <paraID>6FB6A48E</paraID>
      <start>12</start>
      <end>14</end>
      <status>unmodified</status>
      <modifiedWord/>
      <trackRevisions>false</trackRevisions>
    </reviewItem>
    <reviewItem>
      <errorID>5f1d900c-455d-482f-ab01-a1f3a1efe955</errorID>
      <errorWord>；</errorWord>
      <group>L1_Word</group>
      <groupName>字词问题</groupName>
      <ability>L2_Typo</ability>
      <abilityName>字词错误</abilityName>
      <candidateList>
        <item>；在</item>
      </candidateList>
      <explain/>
      <paraID>7FCA1191</paraID>
      <start>58</start>
      <end>59</end>
      <status>unmodified</status>
      <modifiedWord/>
      <trackRevisions>false</trackRevisions>
    </reviewItem>
    <reviewItem>
      <errorID>ed5271af-ff66-4968-b853-15b3ea1e1abe</errorID>
      <errorWord>（</errorWord>
      <group>L1_Punc</group>
      <groupName>标点问题</groupName>
      <ability>L2_Punc_CN</ability>
      <abilityName>标点符号检查</abilityName>
      <candidateList/>
      <explain>同一形式括号套用。</explain>
      <paraID>1421CAB2</paraID>
      <start>73</start>
      <end>74</end>
      <status>unmodified</status>
      <modifiedWord/>
      <trackRevisions>false</trackRevisions>
    </reviewItem>
    <reviewItem>
      <errorID>41fc025a-c739-4f76-8f09-8451bb23f1e3</errorID>
      <errorWord>）</errorWord>
      <group>L1_Punc</group>
      <groupName>标点问题</groupName>
      <ability>L2_Punc_CN</ability>
      <abilityName>标点符号检查</abilityName>
      <candidateList/>
      <explain>同一形式括号套用。</explain>
      <paraID>1421CAB2</paraID>
      <start>95</start>
      <end>96</end>
      <status>unmodified</status>
      <modifiedWord/>
      <trackRevisions>false</trackRevisions>
    </reviewItem>
    <reviewItem>
      <errorID>951ccbfa-ffcf-496e-9864-d9754de8de1c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1D7FC145</paraID>
      <start>0</start>
      <end>2</end>
      <status>unmodified</status>
      <modifiedWord/>
      <trackRevisions>false</trackRevisions>
    </reviewItem>
    <reviewItem>
      <errorID>a011f35e-9016-4324-acef-c6febb0ad3b0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5BD593BB</paraID>
      <start>0</start>
      <end>2</end>
      <status>unmodified</status>
      <modifiedWord/>
      <trackRevisions>false</trackRevisions>
    </reviewItem>
    <reviewItem>
      <errorID>c99ca77c-d59e-4a97-a195-7c7dcb2c3ea5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290F41D2</paraID>
      <start>0</start>
      <end>3</end>
      <status>unmodified</status>
      <modifiedWord/>
      <trackRevisions>false</trackRevisions>
    </reviewItem>
    <reviewItem>
      <errorID>cc766d94-c7b6-446f-a8bd-7c2937165bdc</errorID>
      <errorWord>~</errorWord>
      <group>L1_Format</group>
      <groupName>格式问题</groupName>
      <ability>L2_HalfPunc_CN</ability>
      <abilityName>全半角检查</abilityName>
      <candidateList>
        <item>～</item>
      </candidateList>
      <explain>文本全半角错误。</explain>
      <paraID>290F41D2</paraID>
      <start>4</start>
      <end>5</end>
      <status>unmodified</status>
      <modifiedWord/>
      <trackRevisions>false</trackRevisions>
    </reviewItem>
    <reviewItem>
      <errorID>9c388e88-d0ca-4b2f-9c27-c039fbba1e90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71D1DB78</paraID>
      <start>0</start>
      <end>3</end>
      <status>unmodified</status>
      <modifiedWord/>
      <trackRevisions>false</trackRevisions>
    </reviewItem>
    <reviewItem>
      <errorID>546ed468-f8d4-49a5-8b77-480f724c1cf2</errorID>
      <errorWord>~</errorWord>
      <group>L1_Format</group>
      <groupName>格式问题</groupName>
      <ability>L2_HalfPunc_CN</ability>
      <abilityName>全半角检查</abilityName>
      <candidateList>
        <item>～</item>
      </candidateList>
      <explain>文本全半角错误。</explain>
      <paraID>71D1DB78</paraID>
      <start>4</start>
      <end>5</end>
      <status>unmodified</status>
      <modifiedWord/>
      <trackRevisions>false</trackRevisions>
    </reviewItem>
    <reviewItem>
      <errorID>c80693e4-8d6a-4320-9fbe-7a3101eccef5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254AA9D2</paraID>
      <start>0</start>
      <end>3</end>
      <status>unmodified</status>
      <modifiedWord/>
      <trackRevisions>false</trackRevisions>
    </reviewItem>
    <reviewItem>
      <errorID>432a1345-0320-4264-84b2-4ed71a80ca74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30C10977</paraID>
      <start>0</start>
      <end>2</end>
      <status>unmodified</status>
      <modifiedWord/>
      <trackRevisions>false</trackRevisions>
    </reviewItem>
    <reviewItem>
      <errorID>238ee320-1342-400c-b1a7-3ccf267cef83</errorID>
      <errorWord>(</errorWord>
      <group>L1_Format</group>
      <groupName>格式问题</groupName>
      <ability>L2_HalfPunc_CN</ability>
      <abilityName>全半角检查</abilityName>
      <candidateList>
        <item>（</item>
      </candidateList>
      <explain>文本全半角错误。</explain>
      <paraID>30C10977</paraID>
      <start>200</start>
      <end>201</end>
      <status>ignored</status>
      <modifiedWord/>
      <trackRevisions>false</trackRevisions>
    </reviewItem>
    <reviewItem>
      <errorID>aefab8c3-6718-4225-85af-60202dde3c7f</errorID>
      <errorWord>)</errorWord>
      <group>L1_Format</group>
      <groupName>格式问题</groupName>
      <ability>L2_HalfPunc_CN</ability>
      <abilityName>全半角检查</abilityName>
      <candidateList>
        <item>）</item>
      </candidateList>
      <explain>文本全半角错误。</explain>
      <paraID>30C10977</paraID>
      <start>203</start>
      <end>204</end>
      <status>ignored</status>
      <modifiedWord/>
      <trackRevisions>false</trackRevisions>
    </reviewItem>
    <reviewItem>
      <errorID>42ac5ae2-ef8a-4b89-8042-c00d6e60ac41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20B240EA</paraID>
      <start>0</start>
      <end>3</end>
      <status>unmodified</status>
      <modifiedWord/>
      <trackRevisions>false</trackRevisions>
    </reviewItem>
    <reviewItem>
      <errorID>599358d3-8779-4e74-b99a-441b62bd6642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5F95174D</paraID>
      <start>0</start>
      <end>3</end>
      <status>unmodified</status>
      <modifiedWord/>
      <trackRevisions>false</trackRevisions>
    </reviewItem>
    <reviewItem>
      <errorID>39b4d76c-998a-4c61-874e-af503d411c66</errorID>
      <errorWord>胶粘剂</errorWord>
      <group>L1_Word</group>
      <groupName>字词问题</groupName>
      <ability>L2_Typo</ability>
      <abilityName>字词错误</abilityName>
      <candidateList>
        <item>胶黏剂</item>
      </candidateList>
      <explain/>
      <paraID>5F95174D</paraID>
      <start>94</start>
      <end>97</end>
      <status>unmodified</status>
      <modifiedWord/>
      <trackRevisions>false</trackRevisions>
    </reviewItem>
    <reviewItem>
      <errorID>7bc17f50-f40f-400f-a451-538708ab0f2e</errorID>
      <errorWord>(</errorWord>
      <group>L1_Format</group>
      <groupName>格式问题</groupName>
      <ability>L2_HalfPunc_CN</ability>
      <abilityName>全半角检查</abilityName>
      <candidateList>
        <item>（</item>
      </candidateList>
      <explain>文本全半角错误。</explain>
      <paraID>5F95174D</paraID>
      <start>216</start>
      <end>217</end>
      <status>ignored</status>
      <modifiedWord/>
      <trackRevisions>false</trackRevisions>
    </reviewItem>
    <reviewItem>
      <errorID>21f77364-e5e6-456b-a273-a2dd6e868c8e</errorID>
      <errorWord>)</errorWord>
      <group>L1_Format</group>
      <groupName>格式问题</groupName>
      <ability>L2_HalfPunc_CN</ability>
      <abilityName>全半角检查</abilityName>
      <candidateList>
        <item>）</item>
      </candidateList>
      <explain>文本全半角错误。</explain>
      <paraID>5F95174D</paraID>
      <start>221</start>
      <end>222</end>
      <status>ignored</status>
      <modifiedWord/>
      <trackRevisions>false</trackRevisions>
    </reviewItem>
    <reviewItem>
      <errorID>1b2b52ef-458a-45a5-b6c8-150b3ec67b07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D910B2</paraID>
      <start>0</start>
      <end>3</end>
      <status>unmodified</status>
      <modifiedWord/>
      <trackRevisions>false</trackRevisions>
    </reviewItem>
    <reviewItem>
      <errorID>f2e22afe-928a-4527-8a27-fba4236cbfde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46B910A5</paraID>
      <start>0</start>
      <end>2</end>
      <status>unmodified</status>
      <modifiedWord/>
      <trackRevisions>false</trackRevisions>
    </reviewItem>
    <reviewItem>
      <errorID>1c2b24db-ebf1-4ec3-b270-0b0de31c9c6c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15490A1F</paraID>
      <start>0</start>
      <end>2</end>
      <status>unmodified</status>
      <modifiedWord/>
      <trackRevisions>false</trackRevisions>
    </reviewItem>
    <reviewItem>
      <errorID>66f08d04-4537-4b95-b594-d810713206ec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39EAC2A4</paraID>
      <start>0</start>
      <end>3</end>
      <status>unmodified</status>
      <modifiedWord/>
      <trackRevisions>false</trackRevisions>
    </reviewItem>
    <reviewItem>
      <errorID>14783c7d-3f66-40fa-873d-53c07aec5a38</errorID>
      <errorWord>;</errorWord>
      <group>L1_Format</group>
      <groupName>格式问题</groupName>
      <ability>L2_HalfPunc_CN</ability>
      <abilityName>全半角检查</abilityName>
      <candidateList>
        <item>；</item>
      </candidateList>
      <explain>文本全半角错误。</explain>
      <paraID>39EAC2A4</paraID>
      <start>60</start>
      <end>61</end>
      <status>unmodified</status>
      <modifiedWord/>
      <trackRevisions>false</trackRevisions>
    </reviewItem>
    <reviewItem>
      <errorID>ae0367c8-3502-4b50-a666-053398f8ff1b</errorID>
      <errorWord>;</errorWord>
      <group>L1_Format</group>
      <groupName>格式问题</groupName>
      <ability>L2_HalfPunc_CN</ability>
      <abilityName>全半角检查</abilityName>
      <candidateList>
        <item>；</item>
      </candidateList>
      <explain>文本全半角错误。</explain>
      <paraID>39EAC2A4</paraID>
      <start>112</start>
      <end>113</end>
      <status>unmodified</status>
      <modifiedWord/>
      <trackRevisions>false</trackRevisions>
    </reviewItem>
    <reviewItem>
      <errorID>a03800dc-2890-4410-ac25-f65d82401a24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4889E9AA</paraID>
      <start>0</start>
      <end>2</end>
      <status>unmodified</status>
      <modifiedWord/>
      <trackRevisions>false</trackRevisions>
    </reviewItem>
    <reviewItem>
      <errorID>41bce9eb-6c70-490d-bf7a-f9d5da2889a7</errorID>
      <errorWord>;</errorWord>
      <group>L1_Format</group>
      <groupName>格式问题</groupName>
      <ability>L2_HalfPunc_CN</ability>
      <abilityName>全半角检查</abilityName>
      <candidateList>
        <item>；</item>
      </candidateList>
      <explain>文本全半角错误。</explain>
      <paraID>4889E9AA</paraID>
      <start>189</start>
      <end>190</end>
      <status>unmodified</status>
      <modifiedWord/>
      <trackRevisions>false</trackRevisions>
    </reviewItem>
    <reviewItem>
      <errorID>5f65d2e8-118c-480d-ad8f-820ed6388030</errorID>
      <errorWord>污染治理攻坚战</errorWord>
      <group>L1_Political</group>
      <groupName>政治性问题</groupName>
      <ability>L2_Keyword</ability>
      <abilityName>固定表述</abilityName>
      <candidateList>
        <item>污染防治攻坚战</item>
      </candidateList>
      <explain>词汇“污染防治攻坚战”在特定场景下为固定表述形式，请确认此处的“污染治理攻坚战”是否存在不当。</explain>
      <paraID>505415F5</paraID>
      <start>12</start>
      <end>19</end>
      <status>unmodified</status>
      <modifiedWord/>
      <trackRevisions>false</trackRevisions>
    </reviewItem>
    <reviewItem>
      <errorID>48c71cb8-5a2f-4617-a8db-6aff12a4ecb1</errorID>
      <errorWord>源</errorWord>
      <group>L1_Word</group>
      <groupName>字词问题</groupName>
      <ability>L2_Typo</ability>
      <abilityName>字词错误</abilityName>
      <candidateList>
        <item>源汽</item>
      </candidateList>
      <explain/>
      <paraID>12E1B277</paraID>
      <start>20</start>
      <end>21</end>
      <status>unmodified</status>
      <modifiedWord/>
      <trackRevisions>false</trackRevisions>
    </reviewItem>
    <reviewItem>
      <errorID>b10636c1-6ac8-4326-a105-126063f4c5de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14FD293B</paraID>
      <start>0</start>
      <end>3</end>
      <status>unmodified</status>
      <modifiedWord/>
      <trackRevisions>false</trackRevisions>
    </reviewItem>
    <reviewItem>
      <errorID>e2b1dee6-1647-4de0-b05d-b3e8a62e67b6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2223D17C</paraID>
      <start>0</start>
      <end>3</end>
      <status>unmodified</status>
      <modifiedWord/>
      <trackRevisions>false</trackRevisions>
    </reviewItem>
    <reviewItem>
      <errorID>be1020b9-7f18-4c4e-9e84-99f9672dc37e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240230CE</paraID>
      <start>0</start>
      <end>3</end>
      <status>unmodified</status>
      <modifiedWord/>
      <trackRevisions>false</trackRevisions>
    </reviewItem>
    <reviewItem>
      <errorID>b03a9c66-887e-46d3-9a17-3f95780de7de</errorID>
      <errorWord>-</errorWord>
      <group>L1_Format</group>
      <groupName>格式问题</groupName>
      <ability>L2_HalfPunc_CN</ability>
      <abilityName>全半角检查</abilityName>
      <candidateList>
        <item>－</item>
      </candidateList>
      <explain>文本全半角错误。</explain>
      <paraID>3292FDD2</paraID>
      <start>55</start>
      <end>56</end>
      <status>ignored</status>
      <modifiedWord/>
      <trackRevisions>false</trackRevisions>
    </reviewItem>
    <reviewItem>
      <errorID>2920df43-f2e4-4208-955d-39c0341788f8</errorID>
      <errorWord>-</errorWord>
      <group>L1_Format</group>
      <groupName>格式问题</groupName>
      <ability>L2_HalfPunc_CN</ability>
      <abilityName>全半角检查</abilityName>
      <candidateList>
        <item>－</item>
      </candidateList>
      <explain>文本全半角错误。</explain>
      <paraID>3292FDD2</paraID>
      <start>58</start>
      <end>59</end>
      <status>ignored</status>
      <modifiedWord/>
      <trackRevisions>false</trackRevisions>
    </reviewItem>
    <reviewItem>
      <errorID>3be5eb9d-beed-480a-94c7-3b6e1870b2af</errorID>
      <errorWord>-</errorWord>
      <group>L1_Format</group>
      <groupName>格式问题</groupName>
      <ability>L2_HalfPunc_CN</ability>
      <abilityName>全半角检查</abilityName>
      <candidateList>
        <item>－</item>
      </candidateList>
      <explain>文本全半角错误。</explain>
      <paraID>3292FDD2</paraID>
      <start>61</start>
      <end>62</end>
      <status>ignored</status>
      <modifiedWord/>
      <trackRevisions>false</trackRevisions>
    </reviewItem>
    <reviewItem>
      <errorID>b9ae0cc4-d396-4893-a18d-e87bdfa1317b</errorID>
      <errorWord>-</errorWord>
      <group>L1_Format</group>
      <groupName>格式问题</groupName>
      <ability>L2_HalfPunc_CN</ability>
      <abilityName>全半角检查</abilityName>
      <candidateList>
        <item>－</item>
      </candidateList>
      <explain>文本全半角错误。</explain>
      <paraID>3292FDD2</paraID>
      <start>68</start>
      <end>69</end>
      <status>ignored</status>
      <modifiedWord/>
      <trackRevisions>false</trackRevisions>
    </reviewItem>
    <reviewItem>
      <errorID>c9ae9197-95c3-43dd-b4dc-3acbd10dd87a</errorID>
      <errorWord>-</errorWord>
      <group>L1_Format</group>
      <groupName>格式问题</groupName>
      <ability>L2_HalfPunc_CN</ability>
      <abilityName>全半角检查</abilityName>
      <candidateList>
        <item>－</item>
      </candidateList>
      <explain>文本全半角错误。</explain>
      <paraID>3292FDD2</paraID>
      <start>71</start>
      <end>72</end>
      <status>ignored</status>
      <modifiedWord/>
      <trackRevisions>false</trackRevisions>
    </reviewItem>
    <reviewItem>
      <errorID>0ebca379-2002-4b0b-abc0-b447285b5508</errorID>
      <errorWord>-</errorWord>
      <group>L1_Format</group>
      <groupName>格式问题</groupName>
      <ability>L2_HalfPunc_CN</ability>
      <abilityName>全半角检查</abilityName>
      <candidateList>
        <item>－</item>
      </candidateList>
      <explain>文本全半角错误。</explain>
      <paraID>3292FDD2</paraID>
      <start>74</start>
      <end>75</end>
      <status>ignored</status>
      <modifiedWord/>
      <trackRevisions>false</trackRevisions>
    </reviewItem>
    <reviewItem>
      <errorID>056d69f7-aa92-4251-ace9-f0be7c265ce9</errorID>
      <errorWord>-</errorWord>
      <group>L1_Format</group>
      <groupName>格式问题</groupName>
      <ability>L2_HalfPunc_CN</ability>
      <abilityName>全半角检查</abilityName>
      <candidateList>
        <item>－</item>
      </candidateList>
      <explain>文本全半角错误。</explain>
      <paraID>3292FDD2</paraID>
      <start>77</start>
      <end>78</end>
      <status>ignored</status>
      <modifiedWord/>
      <trackRevisions>false</trackRevisions>
    </reviewItem>
    <reviewItem>
      <errorID>fbc9f830-0706-4f53-8190-5a7270d5e250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3292FDD2</paraID>
      <start>127</start>
      <end>128</end>
      <status>ignored</status>
      <modifiedWord/>
      <trackRevisions>false</trackRevisions>
    </reviewItem>
    <reviewItem>
      <errorID>7af59597-5d9d-4579-bb25-2a8c421f91e0</errorID>
      <errorWord>-</errorWord>
      <group>L1_Format</group>
      <groupName>格式问题</groupName>
      <ability>L2_HalfPunc_CN</ability>
      <abilityName>全半角检查</abilityName>
      <candidateList>
        <item>－</item>
      </candidateList>
      <explain>文本全半角错误。</explain>
      <paraID>2A2C86FE</paraID>
      <start>55</start>
      <end>56</end>
      <status>ignored</status>
      <modifiedWord/>
      <trackRevisions>false</trackRevisions>
    </reviewItem>
    <reviewItem>
      <errorID>021cce38-ca90-4ea5-86a9-1dacc135c2fe</errorID>
      <errorWord>-</errorWord>
      <group>L1_Format</group>
      <groupName>格式问题</groupName>
      <ability>L2_HalfPunc_CN</ability>
      <abilityName>全半角检查</abilityName>
      <candidateList>
        <item>－</item>
      </candidateList>
      <explain>文本全半角错误。</explain>
      <paraID>2A2C86FE</paraID>
      <start>58</start>
      <end>59</end>
      <status>ignored</status>
      <modifiedWord/>
      <trackRevisions>false</trackRevisions>
    </reviewItem>
    <reviewItem>
      <errorID>7cafae63-4820-425c-a8fa-00361ceea604</errorID>
      <errorWord>-</errorWord>
      <group>L1_Format</group>
      <groupName>格式问题</groupName>
      <ability>L2_HalfPunc_CN</ability>
      <abilityName>全半角检查</abilityName>
      <candidateList>
        <item>－</item>
      </candidateList>
      <explain>文本全半角错误。</explain>
      <paraID>2A2C86FE</paraID>
      <start>61</start>
      <end>62</end>
      <status>ignored</status>
      <modifiedWord/>
      <trackRevisions>false</trackRevisions>
    </reviewItem>
    <reviewItem>
      <errorID>3c221bbe-de0f-4ebd-b0c0-29320a1d5d0d</errorID>
      <errorWord>-</errorWord>
      <group>L1_Format</group>
      <groupName>格式问题</groupName>
      <ability>L2_HalfPunc_CN</ability>
      <abilityName>全半角检查</abilityName>
      <candidateList>
        <item>－</item>
      </candidateList>
      <explain>文本全半角错误。</explain>
      <paraID>2A2C86FE</paraID>
      <start>68</start>
      <end>69</end>
      <status>ignored</status>
      <modifiedWord/>
      <trackRevisions>false</trackRevisions>
    </reviewItem>
    <reviewItem>
      <errorID>dda6b1a6-d2e7-438f-8b48-33e127925642</errorID>
      <errorWord>-</errorWord>
      <group>L1_Format</group>
      <groupName>格式问题</groupName>
      <ability>L2_HalfPunc_CN</ability>
      <abilityName>全半角检查</abilityName>
      <candidateList>
        <item>－</item>
      </candidateList>
      <explain>文本全半角错误。</explain>
      <paraID>2A2C86FE</paraID>
      <start>71</start>
      <end>72</end>
      <status>ignored</status>
      <modifiedWord/>
      <trackRevisions>false</trackRevisions>
    </reviewItem>
    <reviewItem>
      <errorID>1fb0882e-e96b-4036-8711-6126462fbaf8</errorID>
      <errorWord>-</errorWord>
      <group>L1_Format</group>
      <groupName>格式问题</groupName>
      <ability>L2_HalfPunc_CN</ability>
      <abilityName>全半角检查</abilityName>
      <candidateList>
        <item>－</item>
      </candidateList>
      <explain>文本全半角错误。</explain>
      <paraID>2A2C86FE</paraID>
      <start>74</start>
      <end>75</end>
      <status>ignored</status>
      <modifiedWord/>
      <trackRevisions>false</trackRevisions>
    </reviewItem>
    <reviewItem>
      <errorID>1743b24f-5389-4a34-8a6c-6d39e1f80fb8</errorID>
      <errorWord>-</errorWord>
      <group>L1_Format</group>
      <groupName>格式问题</groupName>
      <ability>L2_HalfPunc_CN</ability>
      <abilityName>全半角检查</abilityName>
      <candidateList>
        <item>－</item>
      </candidateList>
      <explain>文本全半角错误。</explain>
      <paraID>2A2C86FE</paraID>
      <start>77</start>
      <end>78</end>
      <status>ignored</status>
      <modifiedWord/>
      <trackRevisions>false</trackRevisions>
    </reviewItem>
    <reviewItem>
      <errorID>aa0480a4-1c9d-4de8-a735-7cf036d2bfa3</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2A2C86FE</paraID>
      <start>127</start>
      <end>128</end>
      <status>ignored</status>
      <modifiedWord/>
      <trackRevisions>false</trackRevisions>
    </reviewItem>
    <reviewItem>
      <errorID>04a289de-a373-42ee-aea3-7d80ac526121</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39BC9503</paraID>
      <start>203</start>
      <end>204</end>
      <status>unmodified</status>
      <modifiedWord/>
      <trackRevisions>false</trackRevisions>
    </reviewItem>
    <reviewItem>
      <errorID>b68502a2-e864-4d97-b978-893d7f5932cd</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39BC9503</paraID>
      <start>219</start>
      <end>220</end>
      <status>unmodified</status>
      <modifiedWord/>
      <trackRevisions>false</trackRevisions>
    </reviewItem>
    <reviewItem>
      <errorID>e0c35492-965e-4380-bf72-3306296853dc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5D2683C6</paraID>
      <start>17</start>
      <end>20</end>
      <status>unmodified</status>
      <modifiedWord/>
      <trackRevisions>false</trackRevisions>
    </reviewItem>
    <reviewItem>
      <errorID>db862e3e-b56b-4850-82d4-a197efca6a40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5D2683C6</paraID>
      <start>32</start>
      <end>35</end>
      <status>unmodified</status>
      <modifiedWord/>
      <trackRevisions>false</trackRevisions>
    </reviewItem>
    <reviewItem>
      <errorID>2ae900cc-83ac-4308-9e2a-e0a4fb377106</errorID>
      <errorWord>法律、法规</errorWord>
      <group>L1_Word</group>
      <groupName>字词问题</groupName>
      <ability>L2_Typo</ability>
      <abilityName>字词错误</abilityName>
      <candidateList>
        <item>法律法规</item>
      </candidateList>
      <explain/>
      <paraID>5D2683C6</paraID>
      <start>50</start>
      <end>55</end>
      <status>unmodified</status>
      <modifiedWord/>
      <trackRevisions>false</trackRevisions>
    </reviewItem>
    <reviewItem>
      <errorID>a08dad14-3463-4cee-85b4-8c6a1cc4db90</errorID>
      <errorWord>（</errorWord>
      <group>L1_Format</group>
      <groupName>格式问题</groupName>
      <ability>L2_HalfPunc_CN</ability>
      <abilityName>全半角检查</abilityName>
      <candidateList>
        <item>(</item>
      </candidateList>
      <explain>文本全半角错误。</explain>
      <paraID>230A1201</paraID>
      <start>7</start>
      <end>8</end>
      <status>unmodified</status>
      <modifiedWord/>
      <trackRevisions>false</trackRevisions>
    </reviewItem>
    <reviewItem>
      <errorID>74a5603a-b6b7-44d1-9899-0a90fc673818</errorID>
      <errorWord>）</errorWord>
      <group>L1_Format</group>
      <groupName>格式问题</groupName>
      <ability>L2_HalfPunc_CN</ability>
      <abilityName>全半角检查</abilityName>
      <candidateList>
        <item>)</item>
      </candidateList>
      <explain>文本全半角错误。</explain>
      <paraID>230A1201</paraID>
      <start>13</start>
      <end>14</end>
      <status>unmodified</status>
      <modifiedWord/>
      <trackRevisions>false</trackRevisions>
    </reviewItem>
    <reviewItem>
      <errorID>526b95e9-2906-45f7-be95-9d484139a33d</errorID>
      <errorWord>（</errorWord>
      <group>L1_Format</group>
      <groupName>格式问题</groupName>
      <ability>L2_HalfPunc_CN</ability>
      <abilityName>全半角检查</abilityName>
      <candidateList>
        <item>(</item>
      </candidateList>
      <explain>文本全半角错误。</explain>
      <paraID>2D3DE36C</paraID>
      <start>7</start>
      <end>8</end>
      <status>unmodified</status>
      <modifiedWord/>
      <trackRevisions>false</trackRevisions>
    </reviewItem>
    <reviewItem>
      <errorID>d42787c0-3501-4466-92e9-e15d20da265a</errorID>
      <errorWord>）</errorWord>
      <group>L1_Format</group>
      <groupName>格式问题</groupName>
      <ability>L2_HalfPunc_CN</ability>
      <abilityName>全半角检查</abilityName>
      <candidateList>
        <item>)</item>
      </candidateList>
      <explain>文本全半角错误。</explain>
      <paraID>2D3DE36C</paraID>
      <start>13</start>
      <end>14</end>
      <status>unmodified</status>
      <modifiedWord/>
      <trackRevisions>false</trackRevisions>
    </reviewItem>
    <reviewItem>
      <errorID>b757d725-9725-49b3-8236-4ffae8470398</errorID>
      <errorWord>（</errorWord>
      <group>L1_Format</group>
      <groupName>格式问题</groupName>
      <ability>L2_HalfPunc_CN</ability>
      <abilityName>全半角检查</abilityName>
      <candidateList>
        <item>(</item>
      </candidateList>
      <explain>文本全半角错误。</explain>
      <paraID>588BB0E5</paraID>
      <start>7</start>
      <end>8</end>
      <status>unmodified</status>
      <modifiedWord/>
      <trackRevisions>false</trackRevisions>
    </reviewItem>
    <reviewItem>
      <errorID>3548e0ec-632e-4b21-9bcf-04c41469f0f2</errorID>
      <errorWord>）</errorWord>
      <group>L1_Format</group>
      <groupName>格式问题</groupName>
      <ability>L2_HalfPunc_CN</ability>
      <abilityName>全半角检查</abilityName>
      <candidateList>
        <item>)</item>
      </candidateList>
      <explain>文本全半角错误。</explain>
      <paraID>588BB0E5</paraID>
      <start>13</start>
      <end>14</end>
      <status>unmodified</status>
      <modifiedWord/>
      <trackRevisions>false</trackRevisions>
    </reviewItem>
    <reviewItem>
      <errorID>7dde1ec9-04f1-4897-b3e7-4c7ae15e359c</errorID>
      <errorWord>对用</errorWord>
      <group>L1_Word</group>
      <groupName>字词问题</groupName>
      <ability>L2_Typo</ability>
      <abilityName>字词错误</abilityName>
      <candidateList>
        <item>对应</item>
      </candidateList>
      <explain/>
      <paraID>44AC6707</paraID>
      <start>98</start>
      <end>100</end>
      <status>unmodified</status>
      <modifiedWord/>
      <trackRevisions>false</trackRevisions>
    </reviewItem>
    <reviewItem>
      <errorID>cd3ea7d2-1bc3-49d6-bfea-fef51d36af74</errorID>
      <errorWord>粘度</errorWord>
      <group>L1_Word</group>
      <groupName>字词问题</groupName>
      <ability>L2_Alias</ability>
      <abilityName>也作/曾用词</abilityName>
      <candidateList>
        <item>黏度</item>
      </candidateList>
      <explain>词汇[粘度]为不规范表述或旧称，其规范书面表述为[黏度]。</explain>
      <paraID>2280EE2B</paraID>
      <start>32</start>
      <end>34</end>
      <status>unmodified</status>
      <modifiedWord/>
      <trackRevisions>false</trackRevisions>
    </reviewItem>
    <reviewItem>
      <errorID>7435262d-f85f-4c4d-8b18-1457b496f1b2</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1CB204AC</paraID>
      <start>66</start>
      <end>68</end>
      <status>unmodified</status>
      <modifiedWord/>
      <trackRevisions>false</trackRevisions>
    </reviewItem>
    <reviewItem>
      <errorID>f3c186cb-0b9a-4c89-ab6f-4d6190d0b009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63CAAB3A</paraID>
      <start>4</start>
      <end>5</end>
      <status>ignored</status>
      <modifiedWord/>
      <trackRevisions>false</trackRevisions>
    </reviewItem>
    <reviewItem>
      <errorID>183a2e89-a89f-404c-9de1-10fc05475529</errorID>
      <errorWord>（</errorWord>
      <group>L1_Format</group>
      <groupName>格式问题</groupName>
      <ability>L2_HalfPunc_CN</ability>
      <abilityName>全半角检查</abilityName>
      <candidateList>
        <item>(</item>
      </candidateList>
      <explain>文本全半角错误。</explain>
      <paraID>11946B10</paraID>
      <start>1</start>
      <end>2</end>
      <status>unmodified</status>
      <modifiedWord/>
      <trackRevisions>false</trackRevisions>
    </reviewItem>
    <reviewItem>
      <errorID>1356e928-0248-4eef-933a-6f432f8fd2c6</errorID>
      <errorWord>）</errorWord>
      <group>L1_Format</group>
      <groupName>格式问题</groupName>
      <ability>L2_HalfPunc_CN</ability>
      <abilityName>全半角检查</abilityName>
      <candidateList>
        <item>)</item>
      </candidateList>
      <explain>文本全半角错误。</explain>
      <paraID>11946B10</paraID>
      <start>5</start>
      <end>6</end>
      <status>unmodified</status>
      <modifiedWord/>
      <trackRevisions>false</trackRevisions>
    </reviewItem>
    <reviewItem>
      <errorID>8d08dcc4-8765-41fb-b0db-dab074447e45</errorID>
      <errorWord>粘合</errorWord>
      <group>L1_Word</group>
      <groupName>字词问题</groupName>
      <ability>L2_Alias</ability>
      <abilityName>也作/曾用词</abilityName>
      <candidateList>
        <item>黏合</item>
      </candidateList>
      <explain>词汇[粘合]为不规范表述或旧称，其规范书面表述为[黏合]。</explain>
      <paraID>36AA6A19</paraID>
      <start>13</start>
      <end>15</end>
      <status>unmodified</status>
      <modifiedWord/>
      <trackRevisions>false</trackRevisions>
    </reviewItem>
    <reviewItem>
      <errorID>c0ce18c5-a570-450a-9390-7a7f63559583</errorID>
      <errorWord>粘合在一起</errorWord>
      <group>L1_Word</group>
      <groupName>字词问题</groupName>
      <ability>L2_Alias</ability>
      <abilityName>也作/曾用词</abilityName>
      <candidateList>
        <item>黏合在一起</item>
      </candidateList>
      <explain>词汇[粘合在一起]为不规范表述或旧称，其规范书面表述为[黏合在一起]。</explain>
      <paraID>36AA6A19</paraID>
      <start>206</start>
      <end>211</end>
      <status>unmodified</status>
      <modifiedWord/>
      <trackRevisions>false</trackRevisions>
    </reviewItem>
    <reviewItem>
      <errorID>6ad58444-1ba0-4a69-a16f-82b19177823c</errorID>
      <errorWord>粘合</errorWord>
      <group>L1_Word</group>
      <groupName>字词问题</groupName>
      <ability>L2_Alias</ability>
      <abilityName>也作/曾用词</abilityName>
      <candidateList>
        <item>黏合</item>
      </candidateList>
      <explain>词汇[粘合]为不规范表述或旧称，其规范书面表述为[黏合]。</explain>
      <paraID>2B904B76</paraID>
      <start>0</start>
      <end>2</end>
      <status>unmodified</status>
      <modifiedWord/>
      <trackRevisions>false</trackRevisions>
    </reviewItem>
    <reviewItem>
      <errorID>b9301fcf-5870-4edb-bda1-431c8b67473e</errorID>
      <errorWord>喷码</errorWord>
      <group>L1_Word</group>
      <groupName>字词问题</groupName>
      <ability>L2_Typo</ability>
      <abilityName>字词错误</abilityName>
      <candidateList>
        <item>喷洒</item>
      </candidateList>
      <explain>〈动〉喷射散落（多用于液体）：～农药。</explain>
      <paraID> DAFB048</paraID>
      <start>0</start>
      <end>2</end>
      <status>unmodified</status>
      <modifiedWord/>
      <trackRevisions>false</trackRevisions>
    </reviewItem>
    <reviewItem>
      <errorID>c8f91c6f-a593-4033-a3e5-dabe3a406b33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7FFEDACF</paraID>
      <start>7</start>
      <end>8</end>
      <status>unmodified</status>
      <modifiedWord/>
      <trackRevisions>false</trackRevisions>
    </reviewItem>
    <reviewItem>
      <errorID>980f04c9-6165-41d9-9ad9-82cc502a152d</errorID>
      <errorWord>（</errorWord>
      <group>L1_Punc</group>
      <groupName>标点问题</groupName>
      <ability>L2_Punc_CN</ability>
      <abilityName>标点符号检查</abilityName>
      <candidateList/>
      <explain>同一形式括号套用。</explain>
      <paraID>43B24319</paraID>
      <start>104</start>
      <end>105</end>
      <status>unmodified</status>
      <modifiedWord/>
      <trackRevisions>false</trackRevisions>
    </reviewItem>
    <reviewItem>
      <errorID>765b4415-8032-4733-b25e-c81a65d6b775</errorID>
      <errorWord>）</errorWord>
      <group>L1_Punc</group>
      <groupName>标点问题</groupName>
      <ability>L2_Punc_CN</ability>
      <abilityName>标点符号检查</abilityName>
      <candidateList/>
      <explain>同一形式括号套用。</explain>
      <paraID>43B24319</paraID>
      <start>117</start>
      <end>118</end>
      <status>unmodified</status>
      <modifiedWord/>
      <trackRevisions>false</trackRevisions>
    </reviewItem>
    <reviewItem>
      <errorID>72fc97e4-bf25-4bd8-8d2d-dff7b15c8b0a</errorID>
      <errorWord>~</errorWord>
      <group>L1_Format</group>
      <groupName>格式问题</groupName>
      <ability>L2_HalfPunc_CN</ability>
      <abilityName>全半角检查</abilityName>
      <candidateList>
        <item>～</item>
      </candidateList>
      <explain>文本全半角错误。</explain>
      <paraID>43B24319</paraID>
      <start>147</start>
      <end>148</end>
      <status>unmodified</status>
      <modifiedWord/>
      <trackRevisions>false</trackRevisions>
    </reviewItem>
    <reviewItem>
      <errorID>7146ef59-0ba0-4584-9eb8-850655041165</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43B24319</paraID>
      <start>173</start>
      <end>174</end>
      <status>ignored</status>
      <modifiedWord/>
      <trackRevisions>false</trackRevisions>
    </reviewItem>
    <reviewItem>
      <errorID>069c3444-1e5f-4623-ad93-180b55bf993d</errorID>
      <errorWord>~</errorWord>
      <group>L1_Format</group>
      <groupName>格式问题</groupName>
      <ability>L2_HalfPunc_CN</ability>
      <abilityName>全半角检查</abilityName>
      <candidateList>
        <item>～</item>
      </candidateList>
      <explain>文本全半角错误。</explain>
      <paraID>43B24319</paraID>
      <start>222</start>
      <end>223</end>
      <status>unmodified</status>
      <modifiedWord/>
      <trackRevisions>false</trackRevisions>
    </reviewItem>
    <reviewItem>
      <errorID>fe7fe704-9d83-4312-82a3-a9ef02043310</errorID>
      <errorWord>~</errorWord>
      <group>L1_Format</group>
      <groupName>格式问题</groupName>
      <ability>L2_HalfPunc_CN</ability>
      <abilityName>全半角检查</abilityName>
      <candidateList>
        <item>～</item>
      </candidateList>
      <explain>文本全半角错误。</explain>
      <paraID>43B24319</paraID>
      <start>250</start>
      <end>251</end>
      <status>unmodified</status>
      <modifiedWord/>
      <trackRevisions>false</trackRevisions>
    </reviewItem>
    <reviewItem>
      <errorID>c240f9cc-a298-4280-83d7-748da363d258</errorID>
      <errorWord>（</errorWord>
      <group>L1_Punc</group>
      <groupName>标点问题</groupName>
      <ability>L2_Punc_CN</ability>
      <abilityName>标点符号检查</abilityName>
      <candidateList/>
      <explain>同一形式括号套用。</explain>
      <paraID>5EE3535E</paraID>
      <start>129</start>
      <end>130</end>
      <status>unmodified</status>
      <modifiedWord/>
      <trackRevisions>false</trackRevisions>
    </reviewItem>
    <reviewItem>
      <errorID>18af51b3-f782-4d6e-a628-6047437c60d9</errorID>
      <errorWord>）</errorWord>
      <group>L1_Punc</group>
      <groupName>标点问题</groupName>
      <ability>L2_Punc_CN</ability>
      <abilityName>标点符号检查</abilityName>
      <candidateList/>
      <explain>同一形式括号套用。</explain>
      <paraID>5EE3535E</paraID>
      <start>142</start>
      <end>143</end>
      <status>unmodified</status>
      <modifiedWord/>
      <trackRevisions>false</trackRevisions>
    </reviewItem>
    <reviewItem>
      <errorID>3595ba95-082b-404f-8b13-e4170e8bd65b</errorID>
      <errorWord>（</errorWord>
      <group>L1_Punc</group>
      <groupName>标点问题</groupName>
      <ability>L2_Punc_CN</ability>
      <abilityName>标点符号检查</abilityName>
      <candidateList/>
      <explain>同一形式括号套用。</explain>
      <paraID> DD34DD3</paraID>
      <start>54</start>
      <end>55</end>
      <status>unmodified</status>
      <modifiedWord/>
      <trackRevisions>false</trackRevisions>
    </reviewItem>
    <reviewItem>
      <errorID>8dc49573-8c75-4907-ae18-f143498d1e1e</errorID>
      <errorWord>）</errorWord>
      <group>L1_Punc</group>
      <groupName>标点问题</groupName>
      <ability>L2_Punc_CN</ability>
      <abilityName>标点符号检查</abilityName>
      <candidateList/>
      <explain>同一形式括号套用。</explain>
      <paraID> DD34DD3</paraID>
      <start>67</start>
      <end>68</end>
      <status>unmodified</status>
      <modifiedWord/>
      <trackRevisions>false</trackRevisions>
    </reviewItem>
    <reviewItem>
      <errorID>580f54d7-3bb9-49d3-930d-f86a239e36be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5640EC13</paraID>
      <start>49</start>
      <end>50</end>
      <status>ignored</status>
      <modifiedWord/>
      <trackRevisions>false</trackRevisions>
    </reviewItem>
    <reviewItem>
      <errorID>770eaf8f-068a-46d9-9a41-1d57b90d3448</errorID>
      <errorWord>5）、</errorWord>
      <group>L1_Punc</group>
      <groupName>标点问题</groupName>
      <ability>L2_Punc_CN</ability>
      <abilityName>标点符号检查</abilityName>
      <candidateList>
        <item>5）</item>
      </candidateList>
      <explain>根据国标GB/T 15834-2011《标点符号用法》中的4.5.3.3节，带括号的汉字数字或阿拉伯数字表次序时，后面通常不加顿号。如“（一）指导思想”“（二）行动指南”。</explain>
      <paraID>406FF95E</paraID>
      <start>27</start>
      <end>30</end>
      <status>unmodified</status>
      <modifiedWord/>
      <trackRevisions>false</trackRevisions>
    </reviewItem>
    <reviewItem>
      <errorID>8233130f-01e3-46e8-bbfc-640ef812868c</errorID>
      <errorWord>-</errorWord>
      <group>L1_Format</group>
      <groupName>格式问题</groupName>
      <ability>L2_HalfPunc_CN</ability>
      <abilityName>全半角检查</abilityName>
      <candidateList>
        <item>－</item>
      </candidateList>
      <explain>文本全半角错误。</explain>
      <paraID>23A13097</paraID>
      <start>155</start>
      <end>156</end>
      <status>ignored</status>
      <modifiedWord/>
      <trackRevisions>false</trackRevisions>
    </reviewItem>
    <reviewItem>
      <errorID>e0671349-c3c0-4138-bb79-d4b0bfeb7617</errorID>
      <errorWord>周</errorWord>
      <group>L1_Word</group>
      <groupName>字词问题</groupName>
      <ability>L2_Typo</ability>
      <abilityName>字词错误</abilityName>
      <candidateList>
        <item>月</item>
      </candidateList>
      <explain/>
      <paraID>35DD5DC7</paraID>
      <start>6</start>
      <end>7</end>
      <status>unmodified</status>
      <modifiedWord/>
      <trackRevisions>false</trackRevisions>
    </reviewItem>
    <reviewItem>
      <errorID>cfe228d5-490f-481c-afa3-745130036fa7</errorID>
      <errorWord>周</errorWord>
      <group>L1_Word</group>
      <groupName>字词问题</groupName>
      <ability>L2_Typo</ability>
      <abilityName>字词错误</abilityName>
      <candidateList>
        <item>月</item>
      </candidateList>
      <explain/>
      <paraID>2AFAC892</paraID>
      <start>6</start>
      <end>7</end>
      <status>unmodified</status>
      <modifiedWord/>
      <trackRevisions>false</trackRevisions>
    </reviewItem>
    <reviewItem>
      <errorID>5ce1fdb1-849a-475d-85bd-45664ff025e2</errorID>
      <errorWord>周</errorWord>
      <group>L1_Word</group>
      <groupName>字词问题</groupName>
      <ability>L2_Typo</ability>
      <abilityName>字词错误</abilityName>
      <candidateList>
        <item>月</item>
      </candidateList>
      <explain/>
      <paraID>41CF3241</paraID>
      <start>6</start>
      <end>7</end>
      <status>unmodified</status>
      <modifiedWord/>
      <trackRevisions>false</trackRevisions>
    </reviewItem>
    <reviewItem>
      <errorID>6f37cd90-0836-46c7-93f8-79b5916b1390</errorID>
      <errorWord>周</errorWord>
      <group>L1_Word</group>
      <groupName>字词问题</groupName>
      <ability>L2_Typo</ability>
      <abilityName>字词错误</abilityName>
      <candidateList>
        <item>月</item>
      </candidateList>
      <explain/>
      <paraID>5436EB55</paraID>
      <start>6</start>
      <end>7</end>
      <status>unmodified</status>
      <modifiedWord/>
      <trackRevisions>false</trackRevisions>
    </reviewItem>
    <reviewItem>
      <errorID>bd177fb8-0e81-4c31-b25c-f36a7846b420</errorID>
      <errorWord>周</errorWord>
      <group>L1_Word</group>
      <groupName>字词问题</groupName>
      <ability>L2_Typo</ability>
      <abilityName>字词错误</abilityName>
      <candidateList>
        <item>月</item>
      </candidateList>
      <explain/>
      <paraID>2A65178D</paraID>
      <start>6</start>
      <end>7</end>
      <status>unmodified</status>
      <modifiedWord/>
      <trackRevisions>false</trackRevisions>
    </reviewItem>
    <reviewItem>
      <errorID>550905c6-9f7f-4ca6-a325-e7474315d19e</errorID>
      <errorWord>周</errorWord>
      <group>L1_Word</group>
      <groupName>字词问题</groupName>
      <ability>L2_Typo</ability>
      <abilityName>字词错误</abilityName>
      <candidateList>
        <item>月</item>
      </candidateList>
      <explain/>
      <paraID>4C07F3D0</paraID>
      <start>6</start>
      <end>7</end>
      <status>unmodified</status>
      <modifiedWord/>
      <trackRevisions>false</trackRevisions>
    </reviewItem>
    <reviewItem>
      <errorID>d2259d18-ede8-47cf-a98a-d6724b2ad1bb</errorID>
      <errorWord>周</errorWord>
      <group>L1_Word</group>
      <groupName>字词问题</groupName>
      <ability>L2_Typo</ability>
      <abilityName>字词错误</abilityName>
      <candidateList>
        <item>月</item>
      </candidateList>
      <explain/>
      <paraID>42CFB353</paraID>
      <start>7</start>
      <end>8</end>
      <status>unmodified</status>
      <modifiedWord/>
      <trackRevisions>false</trackRevisions>
    </reviewItem>
    <reviewItem>
      <errorID>1fb93d7b-82e7-4c98-b986-3283cfc57c8a</errorID>
      <errorWord>)</errorWord>
      <group>L1_Format</group>
      <groupName>格式问题</groupName>
      <ability>L2_HalfPunc_CN</ability>
      <abilityName>全半角检查</abilityName>
      <candidateList>
        <item>）</item>
      </candidateList>
      <explain>文本全半角错误。</explain>
      <paraID>4F49DD7E</paraID>
      <start>70</start>
      <end>71</end>
      <status>ignored</status>
      <modifiedWord/>
      <trackRevisions>false</trackRevisions>
    </reviewItem>
    <reviewItem>
      <errorID>28ed0de1-257f-4ada-9a0e-8948e70ac350</errorID>
      <errorWord>)</errorWord>
      <group>L1_Format</group>
      <groupName>格式问题</groupName>
      <ability>L2_HalfPunc_CN</ability>
      <abilityName>全半角检查</abilityName>
      <candidateList>
        <item>）</item>
      </candidateList>
      <explain>文本全半角错误。</explain>
      <paraID>4F49DD7E</paraID>
      <start>81</start>
      <end>82</end>
      <status>ignored</status>
      <modifiedWord/>
      <trackRevisions>false</trackRevisions>
    </reviewItem>
    <reviewItem>
      <errorID>41d6e040-577d-49db-9282-234d052f36d5</errorID>
      <errorWord>（</errorWord>
      <group>L1_Format</group>
      <groupName>格式问题</groupName>
      <ability>L2_HalfPunc_CN</ability>
      <abilityName>全半角检查</abilityName>
      <candidateList>
        <item>(</item>
      </candidateList>
      <explain>文本全半角错误。</explain>
      <paraID>54B83EEA</paraID>
      <start>0</start>
      <end>1</end>
      <status>unmodified</status>
      <modifiedWord/>
      <trackRevisions>false</trackRevisions>
    </reviewItem>
    <reviewItem>
      <errorID>be3c0343-89cf-47a2-b953-f5615b7cf26b</errorID>
      <errorWord>）</errorWord>
      <group>L1_Format</group>
      <groupName>格式问题</groupName>
      <ability>L2_HalfPunc_CN</ability>
      <abilityName>全半角检查</abilityName>
      <candidateList>
        <item>)</item>
      </candidateList>
      <explain>文本全半角错误。</explain>
      <paraID>54B83EEA</paraID>
      <start>12</start>
      <end>13</end>
      <status>unmodified</status>
      <modifiedWord/>
      <trackRevisions>false</trackRevisions>
    </reviewItem>
    <reviewItem>
      <errorID>6ce6df0a-1e8e-4750-b485-7434e040cbbf</errorID>
      <errorWord>（</errorWord>
      <group>L1_Format</group>
      <groupName>格式问题</groupName>
      <ability>L2_HalfPunc_CN</ability>
      <abilityName>全半角检查</abilityName>
      <candidateList>
        <item>(</item>
      </candidateList>
      <explain>文本全半角错误。</explain>
      <paraID>30F74B6B</paraID>
      <start>0</start>
      <end>1</end>
      <status>unmodified</status>
      <modifiedWord/>
      <trackRevisions>false</trackRevisions>
    </reviewItem>
    <reviewItem>
      <errorID>6afd6c29-c3b4-49ac-af9b-61f21d9f9355</errorID>
      <errorWord>）</errorWord>
      <group>L1_Format</group>
      <groupName>格式问题</groupName>
      <ability>L2_HalfPunc_CN</ability>
      <abilityName>全半角检查</abilityName>
      <candidateList>
        <item>)</item>
      </candidateList>
      <explain>文本全半角错误。</explain>
      <paraID>30F74B6B</paraID>
      <start>12</start>
      <end>13</end>
      <status>unmodified</status>
      <modifiedWord/>
      <trackRevisions>false</trackRevisions>
    </reviewItem>
    <reviewItem>
      <errorID>05915c65-54ad-4b6c-a1b2-2b201727ed77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2AC08E6B</paraID>
      <start>71</start>
      <end>74</end>
      <status>unmodified</status>
      <modifiedWord/>
      <trackRevisions>false</trackRevisions>
    </reviewItem>
    <reviewItem>
      <errorID>a416edf7-d661-42ef-8daf-5b7a9bc9fc65</errorID>
      <errorWord>)</errorWord>
      <group>L1_Format</group>
      <groupName>格式问题</groupName>
      <ability>L2_HalfPunc_CN</ability>
      <abilityName>全半角检查</abilityName>
      <candidateList>
        <item>）</item>
      </candidateList>
      <explain>文本全半角错误。</explain>
      <paraID>22070F75</paraID>
      <start>61</start>
      <end>62</end>
      <status>ignored</status>
      <modifiedWord/>
      <trackRevisions>false</trackRevisions>
    </reviewItem>
    <reviewItem>
      <errorID>fc345ff4-d0c5-47f4-b658-07db9d760648</errorID>
      <errorWord>)</errorWord>
      <group>L1_Format</group>
      <groupName>格式问题</groupName>
      <ability>L2_HalfPunc_CN</ability>
      <abilityName>全半角检查</abilityName>
      <candidateList>
        <item>）</item>
      </candidateList>
      <explain>文本全半角错误。</explain>
      <paraID>22070F75</paraID>
      <start>72</start>
      <end>73</end>
      <status>ignored</status>
      <modifiedWord/>
      <trackRevisions>false</trackRevisions>
    </reviewItem>
    <reviewItem>
      <errorID>b000bf5b-955b-41b5-bac7-aa9a21f6aadb</errorID>
      <errorWord>（</errorWord>
      <group>L1_Punc</group>
      <groupName>标点问题</groupName>
      <ability>L2_Punc_CN</ability>
      <abilityName>标点符号检查</abilityName>
      <candidateList/>
      <explain>同一形式括号套用。</explain>
      <paraID>5134EEE0</paraID>
      <start>199</start>
      <end>200</end>
      <status>unmodified</status>
      <modifiedWord/>
      <trackRevisions>false</trackRevisions>
    </reviewItem>
    <reviewItem>
      <errorID>099d2105-8bc3-47e4-8d2f-3af1e9394193</errorID>
      <errorWord>）</errorWord>
      <group>L1_Punc</group>
      <groupName>标点问题</groupName>
      <ability>L2_Punc_CN</ability>
      <abilityName>标点符号检查</abilityName>
      <candidateList/>
      <explain>同一形式括号套用。</explain>
      <paraID>5134EEE0</paraID>
      <start>212</start>
      <end>213</end>
      <status>unmodified</status>
      <modifiedWord/>
      <trackRevisions>false</trackRevisions>
    </reviewItem>
    <reviewItem>
      <errorID>afadeab7-4593-4f36-91be-1c6b54825867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47512EDD</paraID>
      <start>22</start>
      <end>23</end>
      <status>ignored</status>
      <modifiedWord/>
      <trackRevisions>false</trackRevisions>
    </reviewItem>
    <reviewItem>
      <errorID>53e7beb9-c3b6-441b-a191-785fe094629f</errorID>
      <errorWord>-</errorWord>
      <group>L1_Format</group>
      <groupName>格式问题</groupName>
      <ability>L2_HalfPunc_CN</ability>
      <abilityName>全半角检查</abilityName>
      <candidateList>
        <item>－</item>
      </candidateList>
      <explain>文本全半角错误。</explain>
      <paraID>113AF146</paraID>
      <start>234</start>
      <end>235</end>
      <status>ignored</status>
      <modifiedWord/>
      <trackRevisions>false</trackRevisions>
    </reviewItem>
    <reviewItem>
      <errorID>28b8edec-041b-4f38-950c-3cc0da8b4883</errorID>
      <errorWord>5千</errorWord>
      <group>L1_Knowledge</group>
      <groupName>知识性问题</groupName>
      <ability>L2_Knowledge</ability>
      <abilityName>其他知识</abilityName>
      <candidateList>
        <item>5000</item>
      </candidateList>
      <explain>根据GB/T 15835-2011规定，只有“万”、“亿可以与阿拉伯数字混用，例如：“4万”、“4亿”、“4万亿”等。其他情况应统一使用阿拉伯数字。</explain>
      <paraID>113AF146</paraID>
      <start>373</start>
      <end>375</end>
      <status>unmodified</status>
      <modifiedWord/>
      <trackRevisions>false</trackRevisions>
    </reviewItem>
    <reviewItem>
      <errorID>a258e9ae-ed84-4fef-9945-30d6a576b31d</errorID>
      <errorWord>92.8-95.2%</errorWord>
      <group>L1_Knowledge</group>
      <groupName>知识性问题</groupName>
      <ability>L2_Knowledge</ability>
      <abilityName>其他知识</abilityName>
      <candidateList>
        <item>92.8%—95.2%</item>
      </candidateList>
      <explain>1. “92.8-95.2%”中的单位“%”仅出现在后一个数字上，容易引起歧义；根据《现代汉语标点符号数字用法规范手册》，数字表示范围两边需要使用统一的格式。2. 根据标点国标 4.13 中的规则，数字、时间或地域连接符应使用（视觉上更长的）“—”或“～”。</explain>
      <paraID>113AF146</paraID>
      <start>460</start>
      <end>470</end>
      <status>unmodified</status>
      <modifiedWord/>
      <trackRevisions>false</trackRevisions>
    </reviewItem>
    <reviewItem>
      <errorID>7e3f4731-3916-465a-aa53-3d8a38dd9f89</errorID>
      <errorWord>粘合在一起</errorWord>
      <group>L1_Word</group>
      <groupName>字词问题</groupName>
      <ability>L2_Alias</ability>
      <abilityName>也作/曾用词</abilityName>
      <candidateList>
        <item>黏合在一起</item>
      </candidateList>
      <explain>词汇[粘合在一起]为不规范表述或旧称，其规范书面表述为[黏合在一起]。</explain>
      <paraID>142C0CE1</paraID>
      <start>178</start>
      <end>183</end>
      <status>unmodified</status>
      <modifiedWord/>
      <trackRevisions>false</trackRevisions>
    </reviewItem>
    <reviewItem>
      <errorID>1c21731a-88b1-4967-bbd2-fac1edcbd6e8</errorID>
      <errorWord>胶粘剂</errorWord>
      <group>L1_Word</group>
      <groupName>字词问题</groupName>
      <ability>L2_Typo</ability>
      <abilityName>字词错误</abilityName>
      <candidateList>
        <item>胶黏剂</item>
      </candidateList>
      <explain/>
      <paraID>2983D6E3</paraID>
      <start>175</start>
      <end>178</end>
      <status>unmodified</status>
      <modifiedWord/>
      <trackRevisions>false</trackRevisions>
    </reviewItem>
    <reviewItem>
      <errorID>efbe9f58-3498-4554-9249-4445949b2fcb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B50924A</paraID>
      <start>44</start>
      <end>45</end>
      <status>ignored</status>
      <modifiedWord/>
      <trackRevisions>false</trackRevisions>
    </reviewItem>
    <reviewItem>
      <errorID>b033e770-9c7f-491e-9a19-e1d926abc2f0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79A6BCD6</paraID>
      <start>0</start>
      <end>1</end>
      <status>unmodified</status>
      <modifiedWord/>
      <trackRevisions>false</trackRevisions>
    </reviewItem>
    <reviewItem>
      <errorID>56bdc592-9ecb-4590-9f83-f773f329618d</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79A6BCD6</paraID>
      <start>14</start>
      <end>15</end>
      <status>unmodified</status>
      <modifiedWord/>
      <trackRevisions>false</trackRevisions>
    </reviewItem>
    <reviewItem>
      <errorID>79ca5219-9740-41ca-a05d-92576778bc38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64474ACB</paraID>
      <start>19</start>
      <end>22</end>
      <status>unmodified</status>
      <modifiedWord/>
      <trackRevisions>false</trackRevisions>
    </reviewItem>
    <reviewItem>
      <errorID>2a930482-d2b3-48df-82b9-1b85801f809e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47CBE8BE</paraID>
      <start>19</start>
      <end>22</end>
      <status>unmodified</status>
      <modifiedWord/>
      <trackRevisions>false</trackRevisions>
    </reviewItem>
    <reviewItem>
      <errorID>f842876d-f39b-4445-be53-a88a96f80b36</errorID>
      <errorWord>（</errorWord>
      <group>L1_Format</group>
      <groupName>格式问题</groupName>
      <ability>L2_HalfPunc_CN</ability>
      <abilityName>全半角检查</abilityName>
      <candidateList>
        <item>(</item>
      </candidateList>
      <explain>文本全半角错误。</explain>
      <paraID>6A23B263</paraID>
      <start>1</start>
      <end>2</end>
      <status>unmodified</status>
      <modifiedWord/>
      <trackRevisions>false</trackRevisions>
    </reviewItem>
    <reviewItem>
      <errorID>f1fa7191-7248-446d-a706-93ed6ec9e79a</errorID>
      <errorWord>）</errorWord>
      <group>L1_Format</group>
      <groupName>格式问题</groupName>
      <ability>L2_HalfPunc_CN</ability>
      <abilityName>全半角检查</abilityName>
      <candidateList>
        <item>)</item>
      </candidateList>
      <explain>文本全半角错误。</explain>
      <paraID>6A23B263</paraID>
      <start>5</start>
      <end>6</end>
      <status>unmodified</status>
      <modifiedWord/>
      <trackRevisions>false</trackRevisions>
    </reviewItem>
    <reviewItem>
      <errorID>71cfc041-13bb-4e78-a4a4-71441dbdad8f</errorID>
      <errorWord>&lt;</errorWord>
      <group>L1_Format</group>
      <groupName>格式问题</groupName>
      <ability>L2_HalfPunc_CN</ability>
      <abilityName>全半角检查</abilityName>
      <candidateList>
        <item>〈</item>
      </candidateList>
      <explain>文本全半角错误。</explain>
      <paraID>3D06FEE8</paraID>
      <start>332</start>
      <end>333</end>
      <status>unmodified</status>
      <modifiedWord/>
      <trackRevisions>false</trackRevisions>
    </reviewItem>
    <reviewItem>
      <errorID>55d83814-121e-400a-87bd-fdbc2ec6ab2a</errorID>
      <errorWord>&gt;</errorWord>
      <group>L1_Format</group>
      <groupName>格式问题</groupName>
      <ability>L2_HalfPunc_CN</ability>
      <abilityName>全半角检查</abilityName>
      <candidateList>
        <item>〉</item>
      </candidateList>
      <explain>文本全半角错误。</explain>
      <paraID>3D06FEE8</paraID>
      <start>345</start>
      <end>346</end>
      <status>unmodified</status>
      <modifiedWord/>
      <trackRevisions>false</trackRevisions>
    </reviewItem>
    <reviewItem>
      <errorID>bd8ca24b-5cc3-4207-8d86-737056180bb3</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187305F2</paraID>
      <start>8</start>
      <end>9</end>
      <status>unmodified</status>
      <modifiedWord/>
      <trackRevisions>false</trackRevisions>
    </reviewItem>
    <reviewItem>
      <errorID>27ce863e-5685-41ec-be32-f6b94155378e</errorID>
      <errorWord>污水厂</errorWord>
      <group>L1_Word</group>
      <groupName>字词问题</groupName>
      <ability>L2_Typo</ability>
      <abilityName>字词错误</abilityName>
      <candidateList>
        <item>污水处理厂</item>
      </candidateList>
      <explain/>
      <paraID>3FA3DE1D</paraID>
      <start>0</start>
      <end>3</end>
      <status>unmodified</status>
      <modifiedWord/>
      <trackRevisions>false</trackRevisions>
    </reviewItem>
    <reviewItem>
      <errorID>e99f9e3d-5e75-4218-a121-179f0d5b3927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2E7A8E59</paraID>
      <start>8</start>
      <end>9</end>
      <status>unmodified</status>
      <modifiedWord/>
      <trackRevisions>false</trackRevisions>
    </reviewItem>
    <reviewItem>
      <errorID>7096535c-e841-455e-932b-71c91dba3fb2</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77D035AB</paraID>
      <start>514</start>
      <end>515</end>
      <status>unmodified</status>
      <modifiedWord/>
      <trackRevisions>false</trackRevisions>
    </reviewItem>
    <reviewItem>
      <errorID>028fc1b7-9f09-4a23-b5d6-c1d631d8ae88</errorID>
      <errorWord>)</errorWord>
      <group>L1_Format</group>
      <groupName>格式问题</groupName>
      <ability>L2_HalfPunc_CN</ability>
      <abilityName>全半角检查</abilityName>
      <candidateList>
        <item>）</item>
      </candidateList>
      <explain>文本全半角错误。</explain>
      <paraID>5BCE98D9</paraID>
      <start>63</start>
      <end>64</end>
      <status>ignored</status>
      <modifiedWord/>
      <trackRevisions>false</trackRevisions>
    </reviewItem>
    <reviewItem>
      <errorID>8ab0e04b-232e-4432-80d1-2832607340ab</errorID>
      <errorWord>；</errorWord>
      <group>L1_Format</group>
      <groupName>格式问题</groupName>
      <ability>L2_HalfPunc_CN</ability>
      <abilityName>全半角检查</abilityName>
      <candidateList>
        <item>;</item>
      </candidateList>
      <explain>文本全半角错误。</explain>
      <paraID>720390D4</paraID>
      <start>17</start>
      <end>18</end>
      <status>unmodified</status>
      <modifiedWord/>
      <trackRevisions>false</trackRevisions>
    </reviewItem>
    <reviewItem>
      <errorID>12ca5c01-3cd2-4480-ae99-0f696386e201</errorID>
      <errorWord>)</errorWord>
      <group>L1_Format</group>
      <groupName>格式问题</groupName>
      <ability>L2_HalfPunc_CN</ability>
      <abilityName>全半角检查</abilityName>
      <candidateList>
        <item>）</item>
      </candidateList>
      <explain>文本全半角错误。</explain>
      <paraID>35FBE964</paraID>
      <start>74</start>
      <end>75</end>
      <status>ignored</status>
      <modifiedWord/>
      <trackRevisions>false</trackRevisions>
    </reviewItem>
    <reviewItem>
      <errorID>0ffa32e8-f981-457e-8037-6b32506d6ee0</errorID>
      <errorWord>)</errorWord>
      <group>L1_Format</group>
      <groupName>格式问题</groupName>
      <ability>L2_HalfPunc_CN</ability>
      <abilityName>全半角检查</abilityName>
      <candidateList>
        <item>）</item>
      </candidateList>
      <explain>文本全半角错误。</explain>
      <paraID>35FBE964</paraID>
      <start>85</start>
      <end>86</end>
      <status>ignored</status>
      <modifiedWord/>
      <trackRevisions>false</trackRevisions>
    </reviewItem>
    <reviewItem>
      <errorID>488a1bdd-0191-4eb2-8801-82a5539fb43f</errorID>
      <errorWord>&gt;</errorWord>
      <group>L1_Format</group>
      <groupName>格式问题</groupName>
      <ability>L2_HalfPunc_CN</ability>
      <abilityName>全半角检查</abilityName>
      <candidateList>
        <item>〉</item>
      </candidateList>
      <explain>文本全半角错误。</explain>
      <paraID>66030928</paraID>
      <start>44</start>
      <end>45</end>
      <status>unmodified</status>
      <modifiedWord/>
      <trackRevisions>false</trackRevisions>
    </reviewItem>
    <reviewItem>
      <errorID>6de133cd-d06a-4dfe-b254-fdf8e96ae770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3758243F</paraID>
      <start>146</start>
      <end>147</end>
      <status>ignored</status>
      <modifiedWord/>
      <trackRevisions>false</trackRevisions>
    </reviewItem>
    <reviewItem>
      <errorID>ff94943d-710b-4d0f-829d-ab4c3e7813ae</errorID>
      <errorWord>，</errorWord>
      <group>L1_Format</group>
      <groupName>格式问题</groupName>
      <ability>L2_HalfPunc_CN</ability>
      <abilityName>全半角检查</abilityName>
      <candidateList>
        <item>, </item>
      </candidateList>
      <explain>文本全半角错误。</explain>
      <paraID>3286B744</paraID>
      <start>1</start>
      <end>2</end>
      <status>unmodified</status>
      <modifiedWord/>
      <trackRevisions>false</trackRevisions>
    </reviewItem>
    <reviewItem>
      <errorID>1955d192-b559-4d53-8288-ea8cc140c02d</errorID>
      <errorWord>接受</errorWord>
      <group>L1_Word</group>
      <groupName>字词问题</groupName>
      <ability>L2_Typo</ability>
      <abilityName>字词错误</abilityName>
      <candidateList>
        <item>接收</item>
      </candidateList>
      <explain>存在发音相同字词的误用。</explain>
      <paraID>44C8DB44</paraID>
      <start>8</start>
      <end>10</end>
      <status>unmodified</status>
      <modifiedWord/>
      <trackRevisions>false</trackRevisions>
    </reviewItem>
    <reviewItem>
      <errorID>752f1b2f-aeaa-4d64-8313-233252d769c3</errorID>
      <errorWord>管理办法》中</errorWord>
      <group>L1_Word</group>
      <groupName>字词问题</groupName>
      <ability>L2_Typo</ability>
      <abilityName>字词错误</abilityName>
      <candidateList>
        <item>管理办法》</item>
      </candidateList>
      <explain/>
      <paraID>1D7F1525</paraID>
      <start>88</start>
      <end>94</end>
      <status>unmodified</status>
      <modifiedWord/>
      <trackRevisions>false</trackRevisions>
    </reviewItem>
    <reviewItem>
      <errorID>edf03c0d-6b70-473a-8ab4-c44dc08bb936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543D72CC</paraID>
      <start>21</start>
      <end>24</end>
      <status>unmodified</status>
      <modifiedWord/>
      <trackRevisions>false</trackRevisions>
    </reviewItem>
    <reviewItem>
      <errorID>c6833904-055e-4b23-b85f-75e7a6236ddb</errorID>
      <errorWord>聚乙烯丝</errorWord>
      <group>L1_Knowledge</group>
      <groupName>知识性问题</groupName>
      <ability>L2_Term</ability>
      <abilityName>专业术语</abilityName>
      <candidateList>
        <item>聚乙烯蜡</item>
      </candidateList>
      <explain/>
      <paraID> 244337A</paraID>
      <start>24</start>
      <end>28</end>
      <status>unmodified</status>
      <modifiedWord/>
      <trackRevisions>false</trackRevisions>
    </reviewItem>
    <reviewItem>
      <errorID>b87b4acc-197a-493c-8102-576529ead4a9</errorID>
      <errorWord>即使发现</errorWord>
      <group>L1_Word</group>
      <groupName>字词问题</groupName>
      <ability>L2_Typo</ability>
      <abilityName>字词错误</abilityName>
      <candidateList>
        <item>及时发现</item>
      </candidateList>
      <explain/>
      <paraID> 244337A</paraID>
      <start>194</start>
      <end>198</end>
      <status>unmodified</status>
      <modifiedWord/>
      <trackRevisions>false</trackRevisions>
    </reviewItem>
    <reviewItem>
      <errorID>5ac960d4-10ba-4a83-b797-dc9a9174afe5</errorID>
      <errorWord>以防</errorWord>
      <group>L1_Word</group>
      <groupName>字词问题</groupName>
      <ability>L2_Typo</ability>
      <abilityName>字词错误</abilityName>
      <candidateList>
        <item>预防</item>
      </candidateList>
      <explain/>
      <paraID> 244337A</paraID>
      <start>212</start>
      <end>214</end>
      <status>unmodified</status>
      <modifiedWord/>
      <trackRevisions>false</trackRevisions>
    </reviewItem>
    <reviewItem>
      <errorID>93c11bc0-72e7-44da-b8c4-e2a67e140caf</errorID>
      <errorWord>(</errorWord>
      <group>L1_Format</group>
      <groupName>格式问题</groupName>
      <ability>L2_HalfPunc_CN</ability>
      <abilityName>全半角检查</abilityName>
      <candidateList>
        <item>（</item>
      </candidateList>
      <explain>文本全半角错误。</explain>
      <paraID>3CDFCE24</paraID>
      <start>250</start>
      <end>251</end>
      <status>ignored</status>
      <modifiedWord/>
      <trackRevisions>false</trackRevisions>
    </reviewItem>
    <reviewItem>
      <errorID>a8faffff-4fbe-4aaa-82eb-2a93afccf772</errorID>
      <errorWord>)</errorWord>
      <group>L1_Format</group>
      <groupName>格式问题</groupName>
      <ability>L2_HalfPunc_CN</ability>
      <abilityName>全半角检查</abilityName>
      <candidateList>
        <item>）</item>
      </candidateList>
      <explain>文本全半角错误。</explain>
      <paraID>3CDFCE24</paraID>
      <start>262</start>
      <end>263</end>
      <status>ignored</status>
      <modifiedWord/>
      <trackRevisions>false</trackRevisions>
    </reviewItem>
    <reviewItem>
      <errorID>3077641c-d74d-4e39-9e5b-6f7b04be1173</errorID>
      <errorWord>(</errorWord>
      <group>L1_Format</group>
      <groupName>格式问题</groupName>
      <ability>L2_HalfPunc_CN</ability>
      <abilityName>全半角检查</abilityName>
      <candidateList>
        <item>（</item>
      </candidateList>
      <explain>文本全半角错误。</explain>
      <paraID>3CDFCE24</paraID>
      <start>269</start>
      <end>270</end>
      <status>ignored</status>
      <modifiedWord/>
      <trackRevisions>false</trackRevisions>
    </reviewItem>
    <reviewItem>
      <errorID>115b0e5e-8648-48de-9665-8cf8ed5aaac3</errorID>
      <errorWord>)</errorWord>
      <group>L1_Format</group>
      <groupName>格式问题</groupName>
      <ability>L2_HalfPunc_CN</ability>
      <abilityName>全半角检查</abilityName>
      <candidateList>
        <item>）</item>
      </candidateList>
      <explain>文本全半角错误。</explain>
      <paraID>3CDFCE24</paraID>
      <start>281</start>
      <end>282</end>
      <status>ignored</status>
      <modifiedWord/>
      <trackRevisions>false</trackRevisions>
    </reviewItem>
    <reviewItem>
      <errorID>e84c1fb7-2219-4048-b03c-0d1180364045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314</start>
      <end>317</end>
      <status>unmodified</status>
      <modifiedWord/>
      <trackRevisions>false</trackRevisions>
    </reviewItem>
    <reviewItem>
      <errorID>940b16af-dd20-491d-bacb-d7287951f8b0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321</start>
      <end>324</end>
      <status>unmodified</status>
      <modifiedWord/>
      <trackRevisions>false</trackRevisions>
    </reviewItem>
    <reviewItem>
      <errorID>f5fea252-1b30-446b-a663-832a2c819297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357</start>
      <end>360</end>
      <status>unmodified</status>
      <modifiedWord/>
      <trackRevisions>false</trackRevisions>
    </reviewItem>
    <reviewItem>
      <errorID>0ee51db6-b0f7-43ed-9735-8589810d3e18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3CDFCE24</paraID>
      <start>387</start>
      <end>390</end>
      <status>unmodified</status>
      <modifiedWord/>
      <trackRevisions>false</trackRevisions>
    </reviewItem>
    <reviewItem>
      <errorID>0d718898-b833-4bc7-bc7d-40f897c457b1</errorID>
      <errorWord>和对</errorWord>
      <group>L1_Word</group>
      <groupName>字词问题</groupName>
      <ability>L2_Typo</ability>
      <abilityName>字词错误</abilityName>
      <candidateList>
        <item>和</item>
      </candidateList>
      <explain>〈量〉用于洗东西换水的次数或一剂药煎的次数：衣裳已经洗了三～｜二～药。</explain>
      <paraID>3CDFCE24</paraID>
      <start>400</start>
      <end>402</end>
      <status>unmodified</status>
      <modifiedWord/>
      <trackRevisions>false</trackRevisions>
    </reviewItem>
    <reviewItem>
      <errorID>44eddbd4-0763-4a4b-b21b-f1f8848cdb8a</errorID>
      <errorWord>，如</errorWord>
      <group>L1_Word</group>
      <groupName>字词问题</groupName>
      <ability>L2_Typo</ability>
      <abilityName>字词错误</abilityName>
      <candidateList>
        <item>，</item>
      </candidateList>
      <explain/>
      <paraID>5321A8F4</paraID>
      <start>17</start>
      <end>19</end>
      <status>unmodified</status>
      <modifiedWord/>
      <trackRevisions>false</trackRevisions>
    </reviewItem>
    <reviewItem>
      <errorID>a4d221c4-bf86-4a97-9631-7a406986ef0b</errorID>
      <errorWord>(</errorWord>
      <group>L1_Format</group>
      <groupName>格式问题</groupName>
      <ability>L2_HalfPunc_CN</ability>
      <abilityName>全半角检查</abilityName>
      <candidateList>
        <item>（</item>
      </candidateList>
      <explain>文本全半角错误。</explain>
      <paraID>416A5E4A</paraID>
      <start>3</start>
      <end>4</end>
      <status>ignored</status>
      <modifiedWord/>
      <trackRevisions>false</trackRevisions>
    </reviewItem>
    <reviewItem>
      <errorID>1a305d50-8408-479e-bd5f-1211490bf190</errorID>
      <errorWord>)</errorWord>
      <group>L1_Format</group>
      <groupName>格式问题</groupName>
      <ability>L2_HalfPunc_CN</ability>
      <abilityName>全半角检查</abilityName>
      <candidateList>
        <item>）</item>
      </candidateList>
      <explain>文本全半角错误。</explain>
      <paraID>416A5E4A</paraID>
      <start>9</start>
      <end>10</end>
      <status>ignored</status>
      <modifiedWord/>
      <trackRevisions>false</trackRevisions>
    </reviewItem>
    <reviewItem>
      <errorID>ff0cf5bf-3e95-4807-92a9-f6ce5c1779b1</errorID>
      <errorWord>喷码</errorWord>
      <group>L1_Word</group>
      <groupName>字词问题</groupName>
      <ability>L2_Typo</ability>
      <abilityName>字词错误</abilityName>
      <candidateList>
        <item>喷洒</item>
      </candidateList>
      <explain>〈动〉喷射散落（多用于液体）：～农药。</explain>
      <paraID>1ED3647C</paraID>
      <start>0</start>
      <end>2</end>
      <status>unmodified</status>
      <modifiedWord/>
      <trackRevisions>false</trackRevisions>
    </reviewItem>
    <reviewItem>
      <errorID>4caa91ee-b99e-4513-b990-a3ff89f00a26</errorID>
      <errorWord>交有</errorWord>
      <group>L1_Word</group>
      <groupName>字词问题</groupName>
      <ability>L2_Typo</ability>
      <abilityName>字词错误</abilityName>
      <candidateList>
        <item>交由</item>
      </candidateList>
      <explain/>
      <paraID>5AA03E7C</paraID>
      <start>13</start>
      <end>15</end>
      <status>unmodified</status>
      <modifiedWord/>
      <trackRevisions>false</trackRevisions>
    </reviewItem>
    <reviewItem>
      <errorID>3c0b1f18-91ef-463b-8d24-1a4094ee8835</errorID>
      <errorWord>加强对</errorWord>
      <group>L1_Word</group>
      <groupName>字词问题</groupName>
      <ability>L2_Typo</ability>
      <abilityName>字词错误</abilityName>
      <candidateList>
        <item>加强</item>
      </candidateList>
      <explain/>
      <paraID> E4AB00F</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95c82-eaf4-4184-9cb7-cc0e7f59506c}">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71</Pages>
  <Words>439</Words>
  <Characters>455</Characters>
  <Lines>1</Lines>
  <Paragraphs>1</Paragraphs>
  <TotalTime>3</TotalTime>
  <ScaleCrop>false</ScaleCrop>
  <LinksUpToDate>false</LinksUpToDate>
  <CharactersWithSpaces>526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2022-04-21T09:46:00Z</dcterms:created>
  <dc:creator>lhj</dc:creator>
  <cp:lastModifiedBy>薛帅龙</cp:lastModifiedBy>
  <cp:lastPrinted>2026-05-29T05:18:00Z</cp:lastPrinted>
  <dcterms:modified xsi:type="dcterms:W3CDTF">2026-06-10T02:39:43Z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27D4E020F1B54C9CA49403625FBAB644_13</vt:lpwstr>
  </property>
  <property fmtid="{D5CDD505-2E9C-101B-9397-08002B2CF9AE}" pid="4" name="KSOTemplateDocerSaveRecord">
    <vt:lpwstr>eyJoZGlkIjoiOGU3MmIxZDQ5MWRhN2Q4NTYwMDZhM2VjNDhiODYzN2IiLCJ1c2VySWQiOiI1MjgwODI0NDgifQ==</vt:lpwstr>
  </property>
</Properties>
</file>