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????" w:hAnsi="????" w:cs="????"/>
          <w:b/>
          <w:bCs/>
          <w:sz w:val="44"/>
          <w:szCs w:val="44"/>
        </w:rPr>
      </w:pPr>
      <w:r>
        <w:rPr>
          <w:rFonts w:hint="eastAsia" w:ascii="????" w:hAnsi="????" w:cs="宋体"/>
          <w:b/>
          <w:bCs/>
          <w:sz w:val="44"/>
          <w:szCs w:val="44"/>
        </w:rPr>
        <w:t>安全生</w:t>
      </w:r>
      <w:r>
        <w:rPr>
          <w:rFonts w:hint="eastAsia" w:ascii="宋体" w:hAnsi="宋体" w:cs="宋体"/>
          <w:b/>
          <w:bCs/>
          <w:sz w:val="44"/>
          <w:szCs w:val="44"/>
        </w:rPr>
        <w:t>产</w:t>
      </w:r>
      <w:r>
        <w:rPr>
          <w:rFonts w:hint="eastAsia" w:ascii="????" w:hAnsi="????" w:cs="宋体"/>
          <w:b/>
          <w:bCs/>
          <w:sz w:val="44"/>
          <w:szCs w:val="44"/>
        </w:rPr>
        <w:t>行政</w:t>
      </w:r>
      <w:r>
        <w:rPr>
          <w:rFonts w:hint="eastAsia" w:ascii="宋体" w:hAnsi="宋体" w:cs="宋体"/>
          <w:b/>
          <w:bCs/>
          <w:sz w:val="44"/>
          <w:szCs w:val="44"/>
        </w:rPr>
        <w:t>执</w:t>
      </w:r>
      <w:r>
        <w:rPr>
          <w:rFonts w:hint="eastAsia" w:ascii="????" w:hAnsi="????" w:cs="宋体"/>
          <w:b/>
          <w:bCs/>
          <w:sz w:val="44"/>
          <w:szCs w:val="44"/>
        </w:rPr>
        <w:t>法文</w:t>
      </w:r>
      <w:r>
        <w:rPr>
          <w:rFonts w:hint="eastAsia" w:ascii="宋体" w:hAnsi="宋体" w:cs="宋体"/>
          <w:b/>
          <w:bCs/>
          <w:sz w:val="44"/>
          <w:szCs w:val="44"/>
        </w:rPr>
        <w:t>书</w:t>
      </w:r>
    </w:p>
    <w:p>
      <w:pPr>
        <w:spacing w:line="560" w:lineRule="exact"/>
        <w:jc w:val="center"/>
        <w:rPr>
          <w:rFonts w:ascii="????" w:hAnsi="????" w:cs="????"/>
          <w:b/>
          <w:bCs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-20955</wp:posOffset>
                </wp:positionV>
                <wp:extent cx="5347335" cy="20955"/>
                <wp:effectExtent l="0" t="19050" r="5715" b="3619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47335" cy="20955"/>
                        </a:xfrm>
                        <a:prstGeom prst="line">
                          <a:avLst/>
                        </a:prstGeom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-1.65pt;height:1.65pt;width:421.05pt;z-index:251658240;mso-width-relative:page;mso-height-relative:page;" filled="f" stroked="t" coordsize="21600,21600" o:allowincell="f" o:gfxdata="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qunmNEAAAAEAQAADwAAAAAAAAABACAAAAAiAAAAZHJzL2Rvd25yZXYueG1sUEsB&#10;AhQAFAAAAAgAh07iQEIPuHT8AQAA9QMAAA4AAAAAAAAAAQAgAAAAIAEAAGRycy9lMm9Eb2MueG1s&#10;UEsFBgAAAAAGAAYAWQEAAI4FAAAAAA=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????" w:hAnsi="????" w:cs="宋体"/>
          <w:b/>
          <w:bCs/>
          <w:sz w:val="44"/>
          <w:szCs w:val="44"/>
        </w:rPr>
        <w:t>行政</w:t>
      </w:r>
      <w:r>
        <w:rPr>
          <w:rFonts w:hint="eastAsia" w:ascii="宋体" w:hAnsi="宋体" w:cs="宋体"/>
          <w:b/>
          <w:bCs/>
          <w:sz w:val="44"/>
          <w:szCs w:val="44"/>
        </w:rPr>
        <w:t>处罚</w:t>
      </w:r>
      <w:r>
        <w:rPr>
          <w:rFonts w:hint="eastAsia" w:ascii="????" w:hAnsi="????" w:cs="宋体"/>
          <w:b/>
          <w:bCs/>
          <w:sz w:val="44"/>
          <w:szCs w:val="44"/>
        </w:rPr>
        <w:t>决定</w:t>
      </w:r>
      <w:r>
        <w:rPr>
          <w:rFonts w:hint="eastAsia" w:ascii="宋体" w:hAnsi="宋体" w:cs="宋体"/>
          <w:b/>
          <w:bCs/>
          <w:sz w:val="44"/>
          <w:szCs w:val="44"/>
        </w:rPr>
        <w:t>书</w:t>
      </w:r>
    </w:p>
    <w:p>
      <w:pPr>
        <w:spacing w:after="156" w:afterLines="50" w:line="440" w:lineRule="exact"/>
        <w:jc w:val="center"/>
        <w:rPr>
          <w:rFonts w:ascii="仿宋_GB2312" w:hAnsi="仿宋_GB2312" w:eastAsia="仿宋_GB2312" w:cs="Times New Roman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（林）应急罚〔2026〕危化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_GB2312" w:hAnsi="仿宋_GB2312" w:eastAsia="仿宋_GB2312" w:cs="仿宋_GB2312"/>
          <w:color w:val="121212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被处罚单位：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林州市XX加油站     </w:t>
      </w:r>
      <w:r>
        <w:rPr>
          <w:rFonts w:hint="eastAsia" w:ascii="仿宋_GB2312" w:hAnsi="仿宋_GB2312" w:eastAsia="仿宋_GB2312" w:cs="仿宋_GB2312"/>
          <w:sz w:val="24"/>
          <w:szCs w:val="24"/>
        </w:rPr>
        <w:t>邮政编码</w:t>
      </w:r>
      <w:r>
        <w:rPr>
          <w:rFonts w:ascii="仿宋_GB2312" w:hAnsi="仿宋_GB2312" w:eastAsia="仿宋_GB2312" w:cs="仿宋_GB2312"/>
          <w:sz w:val="24"/>
          <w:szCs w:val="24"/>
          <w:u w:val="single"/>
        </w:rPr>
        <w:t xml:space="preserve">     456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XXX</w:t>
      </w:r>
      <w:r>
        <w:rPr>
          <w:rFonts w:ascii="仿宋_GB2312" w:hAnsi="仿宋_GB2312" w:eastAsia="仿宋_GB2312" w:cs="仿宋_GB2312"/>
          <w:sz w:val="24"/>
          <w:szCs w:val="24"/>
          <w:u w:val="single"/>
        </w:rPr>
        <w:t xml:space="preserve">   </w:t>
      </w:r>
      <w:r>
        <w:rPr>
          <w:rFonts w:ascii="仿宋_GB2312" w:hAnsi="仿宋_GB2312" w:eastAsia="仿宋_GB2312" w:cs="仿宋_GB2312"/>
          <w:color w:val="121212"/>
          <w:kern w:val="0"/>
          <w:sz w:val="24"/>
          <w:szCs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121212"/>
          <w:kern w:val="0"/>
          <w:sz w:val="24"/>
          <w:szCs w:val="24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default" w:ascii="仿宋_GB2312" w:hAnsi="仿宋_GB2312" w:eastAsia="仿宋_GB2312" w:cs="Times New Roman"/>
          <w:sz w:val="24"/>
          <w:szCs w:val="24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统一社会信用代码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XXXXXXXXXXXX  </w:t>
      </w:r>
      <w:r>
        <w:rPr>
          <w:rFonts w:hint="eastAsia" w:ascii="仿宋_GB2312" w:hAnsi="仿宋_GB2312" w:eastAsia="仿宋_GB2312" w:cs="仿宋_GB2312"/>
          <w:sz w:val="24"/>
          <w:szCs w:val="24"/>
        </w:rPr>
        <w:t>地址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XXXXXXXXXXXXXX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仿宋_GB2312" w:hAnsi="仿宋_GB2312" w:eastAsia="仿宋_GB2312" w:cs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法定代表人（负责人）</w:t>
      </w:r>
      <w:r>
        <w:rPr>
          <w:rFonts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职务</w:t>
      </w:r>
      <w:r>
        <w:rPr>
          <w:rFonts w:ascii="仿宋_GB2312" w:hAnsi="仿宋_GB2312" w:eastAsia="仿宋_GB2312" w:cs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XXXXX</w:t>
      </w:r>
      <w:r>
        <w:rPr>
          <w:rFonts w:ascii="仿宋_GB2312" w:hAnsi="仿宋_GB2312" w:eastAsia="仿宋_GB2312" w:cs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>联系电话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185XXXXXXXX</w:t>
      </w:r>
      <w:bookmarkStart w:id="0" w:name="_GoBack"/>
      <w:bookmarkEnd w:id="0"/>
      <w:r>
        <w:rPr>
          <w:rFonts w:ascii="仿宋_GB2312" w:hAnsi="仿宋_GB2312" w:eastAsia="仿宋_GB2312" w:cs="仿宋_GB2312"/>
          <w:kern w:val="0"/>
          <w:sz w:val="24"/>
          <w:szCs w:val="24"/>
          <w:u w:val="single"/>
        </w:rPr>
        <w:t xml:space="preserve">  </w:t>
      </w:r>
      <w:r>
        <w:rPr>
          <w:rFonts w:ascii="仿宋_GB2312" w:hAnsi="仿宋_GB2312" w:eastAsia="仿宋_GB2312" w:cs="仿宋_GB2312"/>
          <w:color w:val="121212"/>
          <w:kern w:val="0"/>
          <w:sz w:val="24"/>
          <w:szCs w:val="24"/>
          <w:u w:val="single"/>
        </w:rPr>
        <w:t xml:space="preserve"> </w:t>
      </w:r>
      <w:r>
        <w:rPr>
          <w:rFonts w:ascii="仿宋_GB2312" w:hAnsi="仿宋_GB2312" w:eastAsia="仿宋_GB2312" w:cs="仿宋_GB2312"/>
          <w:sz w:val="24"/>
          <w:szCs w:val="24"/>
          <w:u w:val="single"/>
        </w:rPr>
        <w:t xml:space="preserve">        </w:t>
      </w:r>
    </w:p>
    <w:p>
      <w:pPr>
        <w:pStyle w:val="2"/>
        <w:snapToGrid w:val="0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000000"/>
          <w:sz w:val="24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本机关于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eastAsia="zh-CN"/>
        </w:rPr>
        <w:t>23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none"/>
          <w:lang w:eastAsia="zh-CN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eastAsia="zh-CN"/>
        </w:rPr>
        <w:t>对举报人举报事项核查时，发现你单位存在以下违法行为：1.违规往塑料桶里加柴油；2.未给从业人员配备劳动防护用具。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于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  <w:t>2026年3月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24"/>
          <w:szCs w:val="24"/>
        </w:rPr>
        <w:t>立案调查。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经调查，你（单位）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存在2处违规作业。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  <w:t>上述违法行为违反了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u w:val="single"/>
          <w:lang w:val="en-US" w:eastAsia="zh-CN" w:bidi="ar-SA"/>
        </w:rPr>
        <w:t>《加油站作业安全规范》(AQ3010-2022)6.1.2：“……，不应向未采取防止静电积聚措施的绝缘性容器进行散装加注。”《加油站作业安全规范》(AQ3010-2022)4.2：“作业区人员上岗时应穿防静电工作服、防静电工作鞋。”和《安全生产违法行为行政处罚办法》第四十五条第一项：“生产经营单位及其主要负责人或者其他人员有下列行为之一的，给予警告，并可以对生产经营单位处1万元以上3万元以下罚款，对其主要负责人、其他有关人员处1千元以上1万元以下的罚款：（一）违反操作规程或者安全管理规定作业的；”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的规定，已构成违法。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所提取的证据及其证明事项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>一、《现场检查记录》</w:t>
      </w:r>
      <w:r>
        <w:rPr>
          <w:rFonts w:ascii="仿宋_GB2312" w:hAnsi="仿宋_GB2312" w:eastAsia="仿宋_GB2312" w:cs="仿宋_GB2312"/>
          <w:color w:val="000000"/>
          <w:sz w:val="24"/>
          <w:szCs w:val="24"/>
          <w:u w:val="single"/>
        </w:rPr>
        <w:t>1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>份，证明你单位存在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>2处违规作业的违法事实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>；二、《调查询问笔录》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eastAsia="zh-CN"/>
        </w:rPr>
        <w:t>1份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>，证明你单位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>承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>认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>你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>单位存在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>2处违规作业的违法事实</w:t>
      </w:r>
      <w:r>
        <w:rPr>
          <w:rFonts w:hint="eastAsia" w:ascii="仿宋_GB2312" w:hAnsi="仿宋_GB2312" w:eastAsia="仿宋_GB2312" w:cs="仿宋_GB2312"/>
          <w:color w:val="121212"/>
          <w:kern w:val="0"/>
          <w:sz w:val="24"/>
          <w:szCs w:val="24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根据你（单位）违法行为的事实、性质、情节、社会危害程度和相关证据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none"/>
          <w:lang w:eastAsia="zh-CN"/>
        </w:rPr>
        <w:t>，参照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single"/>
          <w:lang w:val="en" w:eastAsia="zh-CN"/>
        </w:rPr>
        <w:t>《应急管理行政处罚裁量权基准》第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single"/>
          <w:lang w:val="en" w:eastAsia="zh-CN"/>
        </w:rPr>
        <w:t>条：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single"/>
        </w:rPr>
        <w:t>“有2人次违反操作规程或者违反安全管理规定作业的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single"/>
          <w:lang w:eastAsia="zh-CN"/>
        </w:rPr>
        <w:t>，给予警告，并可以对生产经营单位处1.5万元以上2万元以下罚款，对其主要负责人、其他有关人员处1千元以上1万元以下的罚款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single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none"/>
          <w:lang w:val="en-US" w:eastAsia="zh-CN"/>
        </w:rPr>
        <w:t>鉴于当日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none"/>
          <w:lang w:eastAsia="zh-CN"/>
        </w:rPr>
        <w:t>你单位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none"/>
          <w:lang w:val="en-US" w:eastAsia="zh-CN"/>
        </w:rPr>
        <w:t>认错态度好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none"/>
          <w:lang w:val="en-US" w:eastAsia="zh-CN"/>
        </w:rPr>
        <w:t>未造成危害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none"/>
        </w:rPr>
        <w:t>你（单位）的违法行为裁量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none"/>
          <w:lang w:val="en" w:eastAsia="zh-CN"/>
        </w:rPr>
        <w:t>阶次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none"/>
          <w:lang w:val="en"/>
        </w:rPr>
        <w:t>为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single"/>
          <w:lang w:val="en-US" w:eastAsia="zh-CN"/>
        </w:rPr>
        <w:t xml:space="preserve"> B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  <w:u w:val="none"/>
        </w:rPr>
        <w:t>。</w:t>
      </w:r>
    </w:p>
    <w:p>
      <w:pPr>
        <w:pStyle w:val="2"/>
        <w:snapToGrid w:val="0"/>
        <w:spacing w:line="440" w:lineRule="exact"/>
        <w:ind w:firstLine="720" w:firstLineChars="3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4"/>
          <w:szCs w:val="24"/>
          <w:u w:val="single"/>
          <w:lang w:val="en-US" w:eastAsia="zh-CN" w:bidi="ar-SA"/>
        </w:rPr>
        <w:t>依据《安全生产违法行为行政处罚办法》第四十五条第一项：生产经营单位及其主要负责人或者其他人员有下列行为之一的，给予警告，并可以对生产经营单位处1万元以上3万元以下罚款，对其主要负责人、其他有关人员处1千元以上1万元以下的罚款：（一）违反操作规程或者安全管理规定作业的；</w:t>
      </w:r>
      <w:r>
        <w:rPr>
          <w:rFonts w:hint="eastAsia" w:ascii="仿宋_GB2312" w:eastAsia="仿宋_GB2312"/>
          <w:sz w:val="24"/>
          <w:szCs w:val="24"/>
          <w:u w:val="single"/>
        </w:rPr>
        <w:t>”</w:t>
      </w:r>
      <w:r>
        <w:rPr>
          <w:rFonts w:hint="eastAsia" w:ascii="仿宋_GB2312" w:eastAsia="仿宋_GB2312"/>
          <w:sz w:val="24"/>
          <w:szCs w:val="24"/>
        </w:rPr>
        <w:t>的</w:t>
      </w:r>
      <w:r>
        <w:rPr>
          <w:rFonts w:hint="eastAsia" w:ascii="仿宋_GB2312" w:hAnsi="仿宋_GB2312" w:eastAsia="仿宋_GB2312" w:cs="仿宋_GB2312"/>
          <w:sz w:val="24"/>
          <w:szCs w:val="24"/>
        </w:rPr>
        <w:t>规定，决定给予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警告，并处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  <w:t>人民币壹万伍仟元罚款</w:t>
      </w:r>
      <w:r>
        <w:rPr>
          <w:rFonts w:ascii="仿宋_GB2312" w:hAnsi="仿宋_GB2312" w:eastAsia="仿宋_GB2312" w:cs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>的行政处罚。</w:t>
      </w:r>
    </w:p>
    <w:p>
      <w:pPr>
        <w:rPr>
          <w:rFonts w:hint="eastAsia" w:ascii="仿宋_GB2312" w:hAnsi="仿宋_GB2312" w:eastAsia="仿宋_GB2312" w:cs="仿宋_GB2312"/>
          <w:spacing w:val="-6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125730</wp:posOffset>
                </wp:positionV>
                <wp:extent cx="5309235" cy="127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9235" cy="127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6pt;margin-top:9.9pt;height:0.1pt;width:418.05pt;z-index:251660288;mso-width-relative:page;mso-height-relative:page;" filled="f" stroked="t" coordsize="21600,21600" o:gfxdata="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nQC1TVAAAACAEAAA8AAAAAAAAAAQAgAAAAIgAAAGRycy9kb3ducmV2LnhtbFBLAQIU&#10;ABQAAAAIAIdO4kBEquwd9gEAAOoDAAAOAAAAAAAAAAEAIAAAACQBAABkcnMvZTJvRG9jLnhtbFBL&#10;BQYAAAAABgAGAFkBAACM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6"/>
        </w:rPr>
        <w:t>本文书一式两份：一份由应急管理部门备案，一份交被处罚人（单位）。</w:t>
      </w:r>
      <w:r>
        <w:rPr>
          <w:rFonts w:ascii="仿宋_GB2312" w:hAnsi="仿宋_GB2312" w:eastAsia="仿宋_GB2312" w:cs="仿宋_GB2312"/>
          <w:spacing w:val="-6"/>
        </w:rPr>
        <w:t xml:space="preserve">    </w:t>
      </w:r>
      <w:r>
        <w:rPr>
          <w:rFonts w:hint="eastAsia" w:ascii="仿宋_GB2312" w:hAnsi="仿宋_GB2312" w:eastAsia="仿宋_GB2312" w:cs="仿宋_GB2312"/>
          <w:spacing w:val="-6"/>
        </w:rPr>
        <w:t>共</w:t>
      </w:r>
      <w:r>
        <w:rPr>
          <w:rFonts w:ascii="仿宋_GB2312" w:hAnsi="仿宋_GB2312" w:eastAsia="仿宋_GB2312" w:cs="仿宋_GB2312"/>
          <w:spacing w:val="-6"/>
        </w:rPr>
        <w:t>2</w:t>
      </w:r>
      <w:r>
        <w:rPr>
          <w:rFonts w:hint="eastAsia" w:ascii="仿宋_GB2312" w:hAnsi="仿宋_GB2312" w:eastAsia="仿宋_GB2312" w:cs="仿宋_GB2312"/>
          <w:spacing w:val="-6"/>
        </w:rPr>
        <w:t>页</w:t>
      </w:r>
      <w:r>
        <w:rPr>
          <w:rFonts w:ascii="仿宋_GB2312" w:hAnsi="仿宋_GB2312" w:eastAsia="仿宋_GB2312" w:cs="仿宋_GB2312"/>
          <w:spacing w:val="-6"/>
        </w:rPr>
        <w:t xml:space="preserve">  </w:t>
      </w:r>
      <w:r>
        <w:rPr>
          <w:rFonts w:hint="eastAsia" w:ascii="仿宋_GB2312" w:hAnsi="仿宋_GB2312" w:eastAsia="仿宋_GB2312" w:cs="仿宋_GB2312"/>
          <w:spacing w:val="-6"/>
        </w:rPr>
        <w:t>第</w:t>
      </w:r>
      <w:r>
        <w:rPr>
          <w:rFonts w:ascii="仿宋_GB2312" w:hAnsi="仿宋_GB2312" w:eastAsia="仿宋_GB2312" w:cs="仿宋_GB2312"/>
          <w:spacing w:val="-6"/>
        </w:rPr>
        <w:t>1</w:t>
      </w:r>
      <w:r>
        <w:rPr>
          <w:rFonts w:hint="eastAsia" w:ascii="仿宋_GB2312" w:hAnsi="仿宋_GB2312" w:eastAsia="仿宋_GB2312" w:cs="仿宋_GB2312"/>
          <w:spacing w:val="-6"/>
        </w:rPr>
        <w:t>页</w:t>
      </w:r>
    </w:p>
    <w:p>
      <w:pPr>
        <w:pStyle w:val="2"/>
        <w:snapToGrid w:val="0"/>
        <w:spacing w:line="4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47625</wp:posOffset>
                </wp:positionV>
                <wp:extent cx="5403850" cy="889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3850" cy="889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9pt;margin-top:3.75pt;height:0.7pt;width:425.5pt;z-index:251680768;mso-width-relative:page;mso-height-relative:page;" filled="f" stroked="t" coordsize="21600,21600" o:gfxdata="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GR0WltUAAAAHAQAADwAAAAAAAAABACAAAAAiAAAAZHJzL2Rvd25yZXYueG1sUEsBAhQA&#10;FAAAAAgAh07iQJIdxwD1AQAA6gMAAA4AAAAAAAAAAQAgAAAAJAEAAGRycy9lMm9Eb2MueG1sUEsF&#10;BgAAAAAGAAYAWQEAAIs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4"/>
          <w:szCs w:val="24"/>
        </w:rPr>
        <w:t>罚款自收到本决定书之日起</w:t>
      </w:r>
      <w:r>
        <w:rPr>
          <w:rFonts w:ascii="仿宋_GB2312" w:hAnsi="仿宋_GB2312" w:eastAsia="仿宋_GB2312" w:cs="仿宋_GB2312"/>
          <w:sz w:val="24"/>
          <w:szCs w:val="24"/>
        </w:rPr>
        <w:t>15</w:t>
      </w:r>
      <w:r>
        <w:rPr>
          <w:rFonts w:hint="eastAsia" w:ascii="仿宋_GB2312" w:hAnsi="仿宋_GB2312" w:eastAsia="仿宋_GB2312" w:cs="仿宋_GB2312"/>
          <w:sz w:val="24"/>
          <w:szCs w:val="24"/>
        </w:rPr>
        <w:t>日内缴至</w:t>
      </w:r>
      <w:r>
        <w:rPr>
          <w:rFonts w:ascii="仿宋_GB2312" w:hAnsi="仿宋_GB2312" w:eastAsia="仿宋_GB2312" w:cs="仿宋_GB2312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eastAsia="zh-CN"/>
        </w:rPr>
        <w:t>河南林州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eastAsia="zh-CN"/>
        </w:rPr>
        <w:t>银行股份有限公司</w:t>
      </w:r>
      <w:r>
        <w:rPr>
          <w:rFonts w:ascii="仿宋_GB2312" w:hAnsi="仿宋_GB2312" w:eastAsia="仿宋_GB2312" w:cs="仿宋_GB2312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，账号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eastAsia="zh-CN"/>
        </w:rPr>
        <w:t>00000111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>XXXXXX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或者通过电子支付系统缴纳罚款。到期不缴纳罚款的，每日按罚款数额的</w:t>
      </w:r>
      <w:r>
        <w:rPr>
          <w:rFonts w:ascii="仿宋_GB2312" w:hAnsi="仿宋_GB2312" w:eastAsia="仿宋_GB2312" w:cs="仿宋_GB2312"/>
          <w:color w:val="000000"/>
          <w:sz w:val="24"/>
          <w:szCs w:val="24"/>
        </w:rPr>
        <w:t>3%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加处罚款。</w:t>
      </w:r>
    </w:p>
    <w:p>
      <w:pPr>
        <w:pStyle w:val="2"/>
        <w:snapToGrid w:val="0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你（单位）如不服本决定，可以自收到本决定书之日起六十日内依法向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>林州</w:t>
      </w:r>
    </w:p>
    <w:p>
      <w:pPr>
        <w:snapToGrid w:val="0"/>
        <w:spacing w:line="440" w:lineRule="exact"/>
        <w:rPr>
          <w:rFonts w:ascii="仿宋_GB2312" w:hAnsi="仿宋_GB2312" w:eastAsia="仿宋_GB2312" w:cs="Times New Roman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>市人民政府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申请行政复议，也可以自收到本决定书之日起六个月内依法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none"/>
        </w:rPr>
        <w:t>向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>林州市人民法院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提起行政诉讼。逾期不申请行政复议，也不提起行政诉讼，又不履行本行政处罚决定的，本机关将依法申请人民法院强制执行</w:t>
      </w:r>
      <w:r>
        <w:rPr>
          <w:rFonts w:hint="eastAsia" w:ascii="仿宋_GB2312" w:hAnsi="仿宋_GB2312" w:eastAsia="仿宋_GB2312" w:cs="仿宋_GB2312"/>
          <w:sz w:val="24"/>
          <w:szCs w:val="24"/>
        </w:rPr>
        <w:t>或者依照有关规定强制执行。</w:t>
      </w: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pStyle w:val="2"/>
        <w:rPr>
          <w:rFonts w:ascii="仿宋_GB2312" w:hAnsi="仿宋_GB2312" w:eastAsia="仿宋_GB2312" w:cs="Times New Roman"/>
          <w:sz w:val="24"/>
          <w:szCs w:val="24"/>
        </w:rPr>
      </w:pPr>
    </w:p>
    <w:p>
      <w:pPr>
        <w:spacing w:line="560" w:lineRule="exact"/>
        <w:ind w:firstLine="5280" w:firstLineChars="2200"/>
        <w:rPr>
          <w:rFonts w:ascii="仿宋_GB2312" w:hAnsi="仿宋_GB2312" w:eastAsia="仿宋_GB2312" w:cs="Times New Roman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林州市应急管理局（印章）</w:t>
      </w:r>
    </w:p>
    <w:p>
      <w:pPr>
        <w:spacing w:line="560" w:lineRule="exact"/>
        <w:rPr>
          <w:rFonts w:hint="eastAsia" w:eastAsia="仿宋_GB2312" w:cs="Times New Roman"/>
          <w:lang w:eastAsia="zh-CN"/>
        </w:rPr>
      </w:pPr>
      <w:r>
        <w:rPr>
          <w:rFonts w:ascii="仿宋_GB2312" w:hAnsi="仿宋_GB2312" w:eastAsia="仿宋_GB2312" w:cs="仿宋_GB2312"/>
          <w:sz w:val="24"/>
          <w:szCs w:val="24"/>
        </w:rPr>
        <w:t xml:space="preserve">                                     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4月3日</w:t>
      </w:r>
    </w:p>
    <w:p>
      <w:pPr>
        <w:spacing w:line="200" w:lineRule="exact"/>
        <w:rPr>
          <w:rFonts w:ascii="仿宋_GB2312" w:hAnsi="仿宋_GB2312" w:eastAsia="仿宋_GB2312" w:cs="Times New Roman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88265</wp:posOffset>
                </wp:positionV>
                <wp:extent cx="5309235" cy="190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9235" cy="190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6.95pt;height:0.15pt;width:418.05pt;z-index:251659264;mso-width-relative:page;mso-height-relative:page;" filled="f" stroked="t" coordsize="21600,21600" o:gfxdata="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9zDOfUAAAABgEAAA8AAAAAAAAAAQAgAAAAIgAAAGRycy9kb3ducmV2LnhtbFBLAQIUABQAAAAI&#10;AIdO4kDpRl/G8QEAAOoDAAAOAAAAAAAAAAEAIAAAACMBAABkcnMvZTJvRG9jLnhtbFBLBQYAAAAA&#10;BgAGAFkBAACG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????" w:hAnsi="????" w:cs="宋体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spacing w:val="-6"/>
        </w:rPr>
        <w:t>本文书一式两份：一份由应急管理部门备案，一份交被处罚人（单位）。</w:t>
      </w:r>
      <w:r>
        <w:rPr>
          <w:rFonts w:ascii="仿宋_GB2312" w:hAnsi="仿宋_GB2312" w:eastAsia="仿宋_GB2312" w:cs="仿宋_GB2312"/>
          <w:spacing w:val="-6"/>
        </w:rPr>
        <w:t xml:space="preserve">     </w:t>
      </w:r>
      <w:r>
        <w:rPr>
          <w:rFonts w:hint="eastAsia" w:ascii="仿宋_GB2312" w:hAnsi="仿宋_GB2312" w:eastAsia="仿宋_GB2312" w:cs="仿宋_GB2312"/>
          <w:spacing w:val="-6"/>
        </w:rPr>
        <w:t>共</w:t>
      </w:r>
      <w:r>
        <w:rPr>
          <w:rFonts w:ascii="仿宋_GB2312" w:hAnsi="仿宋_GB2312" w:eastAsia="仿宋_GB2312" w:cs="仿宋_GB2312"/>
          <w:spacing w:val="-6"/>
        </w:rPr>
        <w:t>2</w:t>
      </w:r>
      <w:r>
        <w:rPr>
          <w:rFonts w:hint="eastAsia" w:ascii="仿宋_GB2312" w:hAnsi="仿宋_GB2312" w:eastAsia="仿宋_GB2312" w:cs="仿宋_GB2312"/>
          <w:spacing w:val="-6"/>
        </w:rPr>
        <w:t>页</w:t>
      </w:r>
      <w:r>
        <w:rPr>
          <w:rFonts w:ascii="仿宋_GB2312" w:hAnsi="仿宋_GB2312" w:eastAsia="仿宋_GB2312" w:cs="仿宋_GB2312"/>
          <w:spacing w:val="-6"/>
        </w:rPr>
        <w:t xml:space="preserve">  </w:t>
      </w:r>
      <w:r>
        <w:rPr>
          <w:rFonts w:hint="eastAsia" w:ascii="仿宋_GB2312" w:hAnsi="仿宋_GB2312" w:eastAsia="仿宋_GB2312" w:cs="仿宋_GB2312"/>
          <w:spacing w:val="-6"/>
        </w:rPr>
        <w:t>第</w:t>
      </w:r>
      <w:r>
        <w:rPr>
          <w:rFonts w:ascii="仿宋_GB2312" w:hAnsi="仿宋_GB2312" w:eastAsia="仿宋_GB2312" w:cs="仿宋_GB2312"/>
          <w:spacing w:val="-6"/>
        </w:rPr>
        <w:t>2</w:t>
      </w:r>
      <w:r>
        <w:rPr>
          <w:rFonts w:hint="eastAsia" w:ascii="仿宋_GB2312" w:hAnsi="仿宋_GB2312" w:eastAsia="仿宋_GB2312" w:cs="仿宋_GB2312"/>
          <w:spacing w:val="-6"/>
        </w:rPr>
        <w:t>页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F6E96"/>
    <w:rsid w:val="178F6E96"/>
    <w:rsid w:val="48740A11"/>
    <w:rsid w:val="7193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rFonts w:ascii="宋体" w:hAnsi="宋体" w:cs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2026-06-11T02:41:00Z</dcterms:created>
  <dc:creator>A 寻</dc:creator>
  <cp:lastModifiedBy>A 寻</cp:lastModifiedBy>
  <dcterms:modified xsi:type="dcterms:W3CDTF">2026-06-11T02:52:14Z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