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FEFF4">
      <w:pPr>
        <w:overflowPunct w:val="0"/>
        <w:autoSpaceDN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郑州航空港经济综合实验区管理委员会  关于优化居住用地供应及规划管理</w:t>
      </w:r>
    </w:p>
    <w:p w14:paraId="53151504">
      <w:pPr>
        <w:overflowPunct w:val="0"/>
        <w:autoSpaceDN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若干措施</w:t>
      </w:r>
    </w:p>
    <w:p w14:paraId="6AD42F30">
      <w:pPr>
        <w:overflowPunct w:val="0"/>
        <w:autoSpaceDN w:val="0"/>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征求意见</w:t>
      </w:r>
      <w:r>
        <w:rPr>
          <w:rFonts w:hint="eastAsia" w:ascii="楷体_GB2312" w:hAnsi="楷体_GB2312" w:eastAsia="楷体_GB2312" w:cs="楷体_GB2312"/>
          <w:sz w:val="32"/>
          <w:szCs w:val="32"/>
        </w:rPr>
        <w:t>稿）</w:t>
      </w:r>
      <w:bookmarkStart w:id="0" w:name="_GoBack"/>
      <w:bookmarkEnd w:id="0"/>
    </w:p>
    <w:p w14:paraId="6923447D">
      <w:pPr>
        <w:overflowPunct w:val="0"/>
        <w:autoSpaceDN w:val="0"/>
        <w:spacing w:line="560" w:lineRule="exact"/>
        <w:jc w:val="center"/>
        <w:rPr>
          <w:rFonts w:hint="eastAsia" w:ascii="方正小标宋简体" w:hAnsi="方正小标宋简体" w:eastAsia="方正小标宋简体" w:cs="方正小标宋简体"/>
          <w:sz w:val="44"/>
          <w:szCs w:val="44"/>
        </w:rPr>
      </w:pPr>
    </w:p>
    <w:p w14:paraId="09075996">
      <w:pPr>
        <w:overflowPunct w:val="0"/>
        <w:autoSpaceDN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住房城乡建设部关于“好房子”建设的工作部署，推进高品质住宅建设，满足人民群众日益增长的多样化居住需求，在国家及地方相关规范、标准的基础上，结合郑州航空港经济综合实验区实际情况，制定本措施。</w:t>
      </w:r>
    </w:p>
    <w:p w14:paraId="7A0491BA">
      <w:pPr>
        <w:overflowPunct w:val="0"/>
        <w:autoSpaceDN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本措施适用于容积率2.5及以下的新建住宅项目。</w:t>
      </w:r>
    </w:p>
    <w:p w14:paraId="1C577C4A">
      <w:pPr>
        <w:pStyle w:val="8"/>
        <w:kinsoku w:val="0"/>
        <w:wordWrap w:val="0"/>
        <w:snapToGrid w:val="0"/>
        <w:spacing w:line="560" w:lineRule="exact"/>
        <w:ind w:firstLine="640"/>
        <w:jc w:val="left"/>
        <w:rPr>
          <w:rFonts w:hint="eastAsia" w:ascii="黑体" w:hAnsi="黑体" w:eastAsia="黑体" w:cs="黑体"/>
          <w:sz w:val="32"/>
          <w:szCs w:val="32"/>
        </w:rPr>
      </w:pPr>
      <w:r>
        <w:rPr>
          <w:rFonts w:hint="eastAsia" w:ascii="黑体" w:hAnsi="黑体" w:eastAsia="黑体" w:cs="黑体"/>
          <w:sz w:val="32"/>
          <w:szCs w:val="32"/>
        </w:rPr>
        <w:t>一、土地供应与规划管理优化措施</w:t>
      </w:r>
    </w:p>
    <w:p w14:paraId="6347F620">
      <w:pPr>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ascii="仿宋_GB2312" w:hAnsi="仿宋_GB2312" w:eastAsia="仿宋_GB2312" w:cs="仿宋_GB2312"/>
          <w:b/>
          <w:bCs/>
          <w:sz w:val="32"/>
          <w:szCs w:val="32"/>
        </w:rPr>
        <w:t>鼓励发展特色社区及多样性住宅产品</w:t>
      </w:r>
    </w:p>
    <w:p w14:paraId="5ABA2242">
      <w:pPr>
        <w:overflowPunct w:val="0"/>
        <w:autoSpaceDN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鼓励建设单位依托郑州航空港区资源条件，积极打造生态社区、医养社区、教育社区、TOD枢纽社区等特色社区。鼓励建设单位建设高品质、多样化住宅产品，满足人民群众对住宅产品的多元化需求。</w:t>
      </w:r>
    </w:p>
    <w:p w14:paraId="31C128C0">
      <w:pPr>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2、强化拟出让土地信息要素公开</w:t>
      </w:r>
    </w:p>
    <w:p w14:paraId="5A45215E">
      <w:pPr>
        <w:overflowPunct w:val="0"/>
        <w:autoSpaceDN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先供应高品质、低容积率的居住用地。根据宗地实际情况，加强信息要素公开，公布拟出让宗地的规划条件、周边规划情况、市政基础设施、公服配套设施等信息。居住用地清单公布后，意向建设单位可在土地出让前试排方案，申请规划方案模拟审查。</w:t>
      </w:r>
    </w:p>
    <w:p w14:paraId="291E0843">
      <w:pPr>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3、调整竞买保证金及土地出让金缴纳时间</w:t>
      </w:r>
    </w:p>
    <w:p w14:paraId="002FC883">
      <w:pPr>
        <w:overflowPunct w:val="0"/>
        <w:autoSpaceDN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为减轻建设单位资金压力，竞买保证金按拍卖起始价20%缴纳。允许土地出让价款分期缴纳，出让合同签订后1个月内缴纳出让价款的50%，其余应付款项可延期缴纳，自缴纳出让价的50%日起算，时间可延长1年。</w:t>
      </w:r>
    </w:p>
    <w:p w14:paraId="442BF8B8">
      <w:pPr>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4、加快规划审批，土地提前交付使用</w:t>
      </w:r>
    </w:p>
    <w:p w14:paraId="65F18E59">
      <w:pPr>
        <w:overflowPunct w:val="0"/>
        <w:autoSpaceDN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招拍挂方式出让的商品住宅用地，受让人已缴纳50%出让价款且承诺在6个月内开工建设的，自然资源和规划局可容缺办理规划设计方案审查，土地储备机构可根据受让人申请将土地提前交付使用，建设单位可进行施工前准备及正负零以下工程建设。</w:t>
      </w:r>
    </w:p>
    <w:p w14:paraId="7EEEDCF2">
      <w:pPr>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5、支持实行分期验收及规划核实</w:t>
      </w:r>
    </w:p>
    <w:p w14:paraId="2C9F3058">
      <w:pPr>
        <w:overflowPunct w:val="0"/>
        <w:autoSpaceDN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住宅项目，建设单位可结合项目实际情况，在遵循“功能完整、分割合理”的原则下，分期开发，分期办理《建设工程规划许可证》《建筑工程施工许可证》《商品房预售许可证》，分期缴纳城市基础设施配套费，分期验收及规划核实。</w:t>
      </w:r>
    </w:p>
    <w:p w14:paraId="720E6054">
      <w:pPr>
        <w:pStyle w:val="8"/>
        <w:kinsoku w:val="0"/>
        <w:wordWrap w:val="0"/>
        <w:snapToGrid w:val="0"/>
        <w:spacing w:line="560" w:lineRule="exact"/>
        <w:ind w:firstLine="640"/>
        <w:jc w:val="left"/>
        <w:rPr>
          <w:rFonts w:hint="eastAsia" w:ascii="黑体" w:hAnsi="黑体" w:eastAsia="黑体" w:cs="黑体"/>
          <w:sz w:val="32"/>
          <w:szCs w:val="32"/>
        </w:rPr>
      </w:pPr>
      <w:r>
        <w:rPr>
          <w:rFonts w:hint="eastAsia" w:ascii="黑体" w:hAnsi="黑体" w:eastAsia="黑体" w:cs="黑体"/>
          <w:sz w:val="32"/>
          <w:szCs w:val="32"/>
        </w:rPr>
        <w:t>二、住宅品质提升鼓励措施</w:t>
      </w:r>
    </w:p>
    <w:p w14:paraId="2C9277D8">
      <w:pPr>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6、鼓励住宅首层架空</w:t>
      </w:r>
    </w:p>
    <w:p w14:paraId="0A0C60BB">
      <w:pPr>
        <w:overflowPunct w:val="0"/>
        <w:autoSpaceDN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增加社区活力，提升社区环境品质，鼓励住宅项目首层设置架空层，作为绿化、公共通道、居民活动空间等使用。首层架空部分采用通透式设计，层高不高于4.5米；首层架空层建筑面积不计入容积率，电梯井、楼梯、门厅、过道、设备管井等围合部分建筑面积按照单倍计入容积率，与架空层同步设置的住宅部分（套型）建筑面积按照单倍计入容积率。架空层不得挪为他用。</w:t>
      </w:r>
    </w:p>
    <w:p w14:paraId="17E78F72">
      <w:pPr>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7、首层住宅可设置专有庭院</w:t>
      </w:r>
    </w:p>
    <w:p w14:paraId="2976D405">
      <w:pPr>
        <w:overflowPunct w:val="0"/>
        <w:autoSpaceDN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绿地率满足规划条件要求的前提下，建筑高度不大于27米的多层住宅可设置室外专有庭院，庭院不计入绿地率，不计入建筑密度。住宅室外专有庭院可设置起到景观、遮挡作用的通透性围墙，高度不大于1.80米，并加强绿化美化。住宅室外专有庭院应在建设工程设计方案中明确其界线及立面效果。住宅室外专有庭院的使用权属需通过公示等途径，明确告知全体业主，不得在住宅室外专有庭院内进行私搭乱建，以上事项应在物业管理规约内予以明确。</w:t>
      </w:r>
    </w:p>
    <w:p w14:paraId="4EB081DB">
      <w:pPr>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8、鼓励提升建筑立面品质</w:t>
      </w:r>
    </w:p>
    <w:p w14:paraId="647297AE">
      <w:pPr>
        <w:overflowPunct w:val="0"/>
        <w:autoSpaceDN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为适应寒冷气候，提升居住品质，鼓励住宅建筑设置封闭阳台，封闭阳台按围护设施外表面所围空间水平投影面积的1/2计入容积率。</w:t>
      </w:r>
    </w:p>
    <w:p w14:paraId="1B31E859">
      <w:pPr>
        <w:overflowPunct w:val="0"/>
        <w:autoSpaceDN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住宅建筑外立面选用高品质材料，包括金属幕墙、石材幕墙、人造板材幕墙、保温装饰一体化板材，提升外立面整体品质与城市风貌。外立面高品质材料应用面积比例（按外立面投影面积计算）≥50%的，可给予0.5%～1%的计容面积奖励；实行梯度激励，应用面积比例50%～70%（不含70%）的，给予0.5%的计容面积奖励，应用面积比例≥70%的，给予1%的计容面积奖励。结合项目立面设计情况依规核定。</w:t>
      </w:r>
    </w:p>
    <w:p w14:paraId="64AB54A7">
      <w:pPr>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9、坡屋顶下空间可增值利用</w:t>
      </w:r>
    </w:p>
    <w:p w14:paraId="1BDB7EF6">
      <w:pPr>
        <w:overflowPunct w:val="0"/>
        <w:autoSpaceDN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多层坡屋顶建筑满足以下条件时，可作为增值利用空间，建筑面积可予以奖励，不计入地块规划条件约定的容积率:</w:t>
      </w:r>
    </w:p>
    <w:p w14:paraId="4EA2533F">
      <w:pPr>
        <w:overflowPunct w:val="0"/>
        <w:autoSpaceDN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（1）坡屋顶起坡点与楼面垂直距离不大于0.6米；</w:t>
      </w:r>
    </w:p>
    <w:p w14:paraId="44607459">
      <w:pPr>
        <w:overflowPunct w:val="0"/>
        <w:autoSpaceDN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（2）坡屋顶坡度角不大于40°；</w:t>
      </w:r>
    </w:p>
    <w:p w14:paraId="435C59B7">
      <w:pPr>
        <w:overflowPunct w:val="0"/>
        <w:autoSpaceDN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（3）屋脊结构下皮距楼面净高不大于4.8米；</w:t>
      </w:r>
    </w:p>
    <w:p w14:paraId="48EAA416">
      <w:pPr>
        <w:overflowPunct w:val="0"/>
        <w:autoSpaceDN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（4）原则上采用至少双面一坡到顶形式，且坡顶不得采用平屋顶形式。</w:t>
      </w:r>
    </w:p>
    <w:p w14:paraId="6CA5BB54">
      <w:pPr>
        <w:overflowPunct w:val="0"/>
        <w:autoSpaceDN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单栋建筑奖励建筑面积不得超过地上该建筑计容建筑面积的20%。</w:t>
      </w:r>
    </w:p>
    <w:p w14:paraId="2D106F77">
      <w:pPr>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10、鼓励园区设置开敞式风雨连廊</w:t>
      </w:r>
    </w:p>
    <w:p w14:paraId="6A90FC13">
      <w:pPr>
        <w:overflowPunct w:val="0"/>
        <w:autoSpaceDN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方便居民室外休闲活动，在不影响日照及居民日常生活的前提下，可在小区场地内设置风雨连廊，将相互独立的建筑物或将建筑物与小区内广场、游园等公共空间相互连接。当单层风雨连廊不封闭且顶盖宽度不超过3.9米，可作为景观工程品质事项，建筑面积单列，予以容积率、建筑密度奖励，免征配套费，不计入地块规划条件约定的容积率、建筑密度。</w:t>
      </w:r>
    </w:p>
    <w:p w14:paraId="5723488E">
      <w:pPr>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11、鼓励园区提升绿化标准，构建全龄友好无障碍体系</w:t>
      </w:r>
    </w:p>
    <w:p w14:paraId="7FA35FC0">
      <w:pPr>
        <w:overflowPunct w:val="0"/>
        <w:autoSpaceDN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建设单位提升居住园区绿化品质，构建乔灌草结合的生态绿化系统，统筹布局集中绿地、健身步道、全龄活动场地及配套服务设施，降低噪音干扰，保障使用安全。构建小区出入口、公共空间、楼栋单元、电梯、活动场地全程连续无障碍通行系统。</w:t>
      </w:r>
    </w:p>
    <w:p w14:paraId="399D45BB">
      <w:pPr>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12、鼓励建设静音住宅示范项目</w:t>
      </w:r>
    </w:p>
    <w:p w14:paraId="6188EFDF">
      <w:pPr>
        <w:overflowPunct w:val="0"/>
        <w:autoSpaceDN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建设单位从规划、设计、选材、施工等维度重视居住空间声环境设计，严格落实《住宅项目规范》隔声标准，建设静音“好房子”。项目竣工验收后，经专业机构检测满足规范要求，建设单位提请申请，建设局审批通过后，可授予该项目“静音住宅示范项目”称号。</w:t>
      </w:r>
    </w:p>
    <w:p w14:paraId="5D672F27">
      <w:pPr>
        <w:pStyle w:val="8"/>
        <w:kinsoku w:val="0"/>
        <w:wordWrap w:val="0"/>
        <w:snapToGrid w:val="0"/>
        <w:spacing w:line="560" w:lineRule="exact"/>
        <w:ind w:firstLine="640"/>
        <w:jc w:val="left"/>
        <w:rPr>
          <w:rFonts w:hint="eastAsia" w:ascii="黑体" w:hAnsi="黑体" w:eastAsia="黑体" w:cs="黑体"/>
          <w:sz w:val="32"/>
          <w:szCs w:val="32"/>
        </w:rPr>
      </w:pPr>
      <w:r>
        <w:rPr>
          <w:rFonts w:hint="eastAsia" w:ascii="黑体" w:hAnsi="黑体" w:eastAsia="黑体" w:cs="黑体"/>
          <w:sz w:val="32"/>
          <w:szCs w:val="32"/>
        </w:rPr>
        <w:t>三、优化计容、建筑密度、配建标准的措施</w:t>
      </w:r>
    </w:p>
    <w:p w14:paraId="5A88CFA5">
      <w:pPr>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13、</w:t>
      </w:r>
      <w:r>
        <w:rPr>
          <w:rFonts w:ascii="仿宋_GB2312" w:hAnsi="仿宋_GB2312" w:eastAsia="仿宋_GB2312" w:cs="仿宋_GB2312"/>
          <w:b/>
          <w:bCs/>
          <w:sz w:val="32"/>
          <w:szCs w:val="32"/>
        </w:rPr>
        <w:t>优化社区配套公共服务设施的计容</w:t>
      </w:r>
    </w:p>
    <w:p w14:paraId="4D92DD09">
      <w:pPr>
        <w:overflowPunct w:val="0"/>
        <w:autoSpaceDN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ascii="仿宋_GB2312" w:hAnsi="仿宋_GB2312" w:eastAsia="仿宋_GB2312" w:cs="仿宋_GB2312"/>
          <w:sz w:val="32"/>
          <w:szCs w:val="32"/>
        </w:rPr>
        <w:t>建设单位配建且无偿移交给相关政府部门的社区综合服务站、文化活动站（室）、社区卫生服务站、社区日间照料中心、社区儿童之家、托育服务设施、儿童托管服务设施、邮政快递末端综合服务站等社区配套公共服务设施，无偿移交的建筑面积</w:t>
      </w:r>
      <w:r>
        <w:rPr>
          <w:rFonts w:hint="eastAsia" w:ascii="仿宋_GB2312" w:hAnsi="仿宋_GB2312" w:eastAsia="仿宋_GB2312" w:cs="仿宋_GB2312"/>
          <w:sz w:val="32"/>
          <w:szCs w:val="32"/>
        </w:rPr>
        <w:t>可作为奖励，</w:t>
      </w:r>
      <w:r>
        <w:rPr>
          <w:rFonts w:ascii="仿宋_GB2312" w:hAnsi="仿宋_GB2312" w:eastAsia="仿宋_GB2312" w:cs="仿宋_GB2312"/>
          <w:sz w:val="32"/>
          <w:szCs w:val="32"/>
        </w:rPr>
        <w:t>不计入地块规划条件约定的容积率。</w:t>
      </w:r>
    </w:p>
    <w:p w14:paraId="163671EC">
      <w:pPr>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14、优化</w:t>
      </w:r>
      <w:r>
        <w:rPr>
          <w:rFonts w:ascii="仿宋_GB2312" w:hAnsi="仿宋_GB2312" w:eastAsia="仿宋_GB2312" w:cs="仿宋_GB2312"/>
          <w:b/>
          <w:bCs/>
          <w:sz w:val="32"/>
          <w:szCs w:val="32"/>
        </w:rPr>
        <w:t>市政公用用房单独建设时建筑密度计算</w:t>
      </w:r>
    </w:p>
    <w:p w14:paraId="41BD216F">
      <w:pPr>
        <w:overflowPunct w:val="0"/>
        <w:autoSpaceDN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ascii="仿宋_GB2312" w:hAnsi="仿宋_GB2312" w:eastAsia="仿宋_GB2312" w:cs="仿宋_GB2312"/>
          <w:sz w:val="32"/>
          <w:szCs w:val="32"/>
        </w:rPr>
        <w:t>开闭所、变配电室、热交换站、二次供水加压泵站、综合通信接入机房、再生资源回收点、生活垃圾收集站、公共厕所等市政公用用房建筑在地上单独建设时（不与其他功能叠合建设），建筑物的基底面积可作为奖励，不计入地块规划条件约定的建筑密度。</w:t>
      </w:r>
    </w:p>
    <w:p w14:paraId="0FB869BB">
      <w:pPr>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15、</w:t>
      </w:r>
      <w:r>
        <w:rPr>
          <w:rFonts w:ascii="仿宋_GB2312" w:hAnsi="仿宋_GB2312" w:eastAsia="仿宋_GB2312" w:cs="仿宋_GB2312"/>
          <w:b/>
          <w:bCs/>
          <w:sz w:val="32"/>
          <w:szCs w:val="32"/>
        </w:rPr>
        <w:t>优化增配建设的邻里共享文体活动空间计容</w:t>
      </w:r>
    </w:p>
    <w:p w14:paraId="30BCEC92">
      <w:pPr>
        <w:overflowPunct w:val="0"/>
        <w:autoSpaceDN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w:t>
      </w:r>
      <w:r>
        <w:rPr>
          <w:rFonts w:ascii="仿宋_GB2312" w:hAnsi="仿宋_GB2312" w:eastAsia="仿宋_GB2312" w:cs="仿宋_GB2312"/>
          <w:sz w:val="32"/>
          <w:szCs w:val="32"/>
        </w:rPr>
        <w:t>在地上</w:t>
      </w:r>
      <w:r>
        <w:rPr>
          <w:rFonts w:hint="eastAsia" w:ascii="仿宋_GB2312" w:hAnsi="仿宋_GB2312" w:eastAsia="仿宋_GB2312" w:cs="仿宋_GB2312"/>
          <w:sz w:val="32"/>
          <w:szCs w:val="32"/>
        </w:rPr>
        <w:t>增配建设</w:t>
      </w:r>
      <w:r>
        <w:rPr>
          <w:rFonts w:ascii="仿宋_GB2312" w:hAnsi="仿宋_GB2312" w:eastAsia="仿宋_GB2312" w:cs="仿宋_GB2312"/>
          <w:sz w:val="32"/>
          <w:szCs w:val="32"/>
        </w:rPr>
        <w:t>的层数不大于两层的邻里共享文体活动空间</w:t>
      </w:r>
      <w:r>
        <w:rPr>
          <w:rFonts w:hint="eastAsia" w:ascii="仿宋_GB2312" w:hAnsi="仿宋_GB2312" w:eastAsia="仿宋_GB2312" w:cs="仿宋_GB2312"/>
          <w:sz w:val="32"/>
          <w:szCs w:val="32"/>
        </w:rPr>
        <w:t>（用地规划条件外）</w:t>
      </w:r>
      <w:r>
        <w:rPr>
          <w:rFonts w:ascii="仿宋_GB2312" w:hAnsi="仿宋_GB2312" w:eastAsia="仿宋_GB2312" w:cs="仿宋_GB2312"/>
          <w:sz w:val="32"/>
          <w:szCs w:val="32"/>
        </w:rPr>
        <w:t>，建筑面积可作为奖励，不计入地块规划条件约定的容积率。邻里共享文体活动空间</w:t>
      </w:r>
      <w:r>
        <w:rPr>
          <w:rFonts w:hint="eastAsia" w:ascii="仿宋_GB2312" w:hAnsi="仿宋_GB2312" w:eastAsia="仿宋_GB2312" w:cs="仿宋_GB2312"/>
          <w:sz w:val="32"/>
          <w:szCs w:val="32"/>
        </w:rPr>
        <w:t>的建筑</w:t>
      </w:r>
      <w:r>
        <w:rPr>
          <w:rFonts w:ascii="仿宋_GB2312" w:hAnsi="仿宋_GB2312" w:eastAsia="仿宋_GB2312" w:cs="仿宋_GB2312"/>
          <w:sz w:val="32"/>
          <w:szCs w:val="32"/>
        </w:rPr>
        <w:t>面积按照700平方米/千户计算，单处最大面积700平方米，建成后由</w:t>
      </w:r>
      <w:r>
        <w:rPr>
          <w:rFonts w:hint="eastAsia" w:ascii="仿宋_GB2312" w:hAnsi="仿宋_GB2312" w:eastAsia="仿宋_GB2312" w:cs="仿宋_GB2312"/>
          <w:sz w:val="32"/>
          <w:szCs w:val="32"/>
        </w:rPr>
        <w:t>开发建设企业</w:t>
      </w:r>
      <w:r>
        <w:rPr>
          <w:rFonts w:ascii="仿宋_GB2312" w:hAnsi="仿宋_GB2312" w:eastAsia="仿宋_GB2312" w:cs="仿宋_GB2312"/>
          <w:sz w:val="32"/>
          <w:szCs w:val="32"/>
        </w:rPr>
        <w:t>自持，面向</w:t>
      </w:r>
      <w:r>
        <w:rPr>
          <w:rFonts w:hint="eastAsia" w:ascii="仿宋_GB2312" w:hAnsi="仿宋_GB2312" w:eastAsia="仿宋_GB2312" w:cs="仿宋_GB2312"/>
          <w:sz w:val="32"/>
          <w:szCs w:val="32"/>
        </w:rPr>
        <w:t>本小区</w:t>
      </w:r>
      <w:r>
        <w:rPr>
          <w:rFonts w:ascii="仿宋_GB2312" w:hAnsi="仿宋_GB2312" w:eastAsia="仿宋_GB2312" w:cs="仿宋_GB2312"/>
          <w:sz w:val="32"/>
          <w:szCs w:val="32"/>
        </w:rPr>
        <w:t>居民</w:t>
      </w:r>
      <w:r>
        <w:rPr>
          <w:rFonts w:hint="eastAsia" w:ascii="仿宋_GB2312" w:hAnsi="仿宋_GB2312" w:eastAsia="仿宋_GB2312" w:cs="仿宋_GB2312"/>
          <w:sz w:val="32"/>
          <w:szCs w:val="32"/>
        </w:rPr>
        <w:t>共享使用</w:t>
      </w:r>
      <w:r>
        <w:rPr>
          <w:rFonts w:ascii="仿宋_GB2312" w:hAnsi="仿宋_GB2312" w:eastAsia="仿宋_GB2312" w:cs="仿宋_GB2312"/>
          <w:sz w:val="32"/>
          <w:szCs w:val="32"/>
        </w:rPr>
        <w:t>，不得分割登记，不得转让、抵押。</w:t>
      </w:r>
    </w:p>
    <w:p w14:paraId="5ACC7B5F">
      <w:pPr>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16、</w:t>
      </w:r>
      <w:r>
        <w:rPr>
          <w:rFonts w:ascii="仿宋_GB2312" w:hAnsi="仿宋_GB2312" w:eastAsia="仿宋_GB2312" w:cs="仿宋_GB2312"/>
          <w:b/>
          <w:bCs/>
          <w:sz w:val="32"/>
          <w:szCs w:val="32"/>
        </w:rPr>
        <w:t>优化小区归家大堂计容</w:t>
      </w:r>
    </w:p>
    <w:p w14:paraId="71A5DFA6">
      <w:pPr>
        <w:overflowPunct w:val="0"/>
        <w:autoSpaceDN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ascii="仿宋_GB2312" w:hAnsi="仿宋_GB2312" w:eastAsia="仿宋_GB2312" w:cs="仿宋_GB2312"/>
          <w:sz w:val="32"/>
          <w:szCs w:val="32"/>
        </w:rPr>
        <w:t>为提升居住小区门户形象，增强居民归家体验，新建居住小区可结合小区出入口合理设置小区归家大堂，用作必要的人车通行、出入管理（门卫室）、前台接待、快递收寄、休息等非经营性功能，小区归家大堂建筑面积不超过300平方米的部分，建筑面积可作为奖励，不计入地块规划条件约定的容积率，免计容1处。</w:t>
      </w:r>
    </w:p>
    <w:p w14:paraId="0381D1FA">
      <w:pPr>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17、</w:t>
      </w:r>
      <w:r>
        <w:rPr>
          <w:rFonts w:ascii="仿宋_GB2312" w:hAnsi="仿宋_GB2312" w:eastAsia="仿宋_GB2312" w:cs="仿宋_GB2312"/>
          <w:b/>
          <w:bCs/>
          <w:sz w:val="32"/>
          <w:szCs w:val="32"/>
        </w:rPr>
        <w:t>优化机动车</w:t>
      </w:r>
      <w:r>
        <w:rPr>
          <w:rFonts w:hint="eastAsia" w:ascii="仿宋_GB2312" w:hAnsi="仿宋_GB2312" w:eastAsia="仿宋_GB2312" w:cs="仿宋_GB2312"/>
          <w:b/>
          <w:bCs/>
          <w:sz w:val="32"/>
          <w:szCs w:val="32"/>
        </w:rPr>
        <w:t>、非机动车停车</w:t>
      </w:r>
      <w:r>
        <w:rPr>
          <w:rFonts w:ascii="仿宋_GB2312" w:hAnsi="仿宋_GB2312" w:eastAsia="仿宋_GB2312" w:cs="仿宋_GB2312"/>
          <w:b/>
          <w:bCs/>
          <w:sz w:val="32"/>
          <w:szCs w:val="32"/>
        </w:rPr>
        <w:t>配建标准</w:t>
      </w:r>
    </w:p>
    <w:p w14:paraId="2661223D">
      <w:pPr>
        <w:overflowPunct w:val="0"/>
        <w:autoSpaceDN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ascii="仿宋_GB2312" w:hAnsi="仿宋_GB2312" w:eastAsia="仿宋_GB2312" w:cs="仿宋_GB2312"/>
          <w:sz w:val="32"/>
          <w:szCs w:val="32"/>
        </w:rPr>
        <w:t>居住区（各类）配套设施配建</w:t>
      </w:r>
      <w:r>
        <w:rPr>
          <w:rFonts w:hint="eastAsia" w:ascii="仿宋_GB2312" w:hAnsi="仿宋_GB2312" w:eastAsia="仿宋_GB2312" w:cs="仿宋_GB2312"/>
          <w:sz w:val="32"/>
          <w:szCs w:val="32"/>
        </w:rPr>
        <w:t>机动车、非机动车</w:t>
      </w:r>
      <w:r>
        <w:rPr>
          <w:rFonts w:ascii="仿宋_GB2312" w:hAnsi="仿宋_GB2312" w:eastAsia="仿宋_GB2312" w:cs="仿宋_GB2312"/>
          <w:sz w:val="32"/>
          <w:szCs w:val="32"/>
        </w:rPr>
        <w:t>停车位的建筑面积，不包含地上机动车库出入口、非机动车库出入口、出地面楼梯间、风井，不包含开闭所、变配电室、热交换站、综合通讯接入机房等市政公用配套设施。</w:t>
      </w:r>
    </w:p>
    <w:p w14:paraId="776B3D66">
      <w:pPr>
        <w:pStyle w:val="8"/>
        <w:kinsoku w:val="0"/>
        <w:wordWrap w:val="0"/>
        <w:snapToGrid w:val="0"/>
        <w:spacing w:line="560" w:lineRule="exact"/>
        <w:ind w:firstLine="640"/>
        <w:jc w:val="left"/>
        <w:rPr>
          <w:rFonts w:hint="eastAsia" w:ascii="黑体" w:hAnsi="黑体" w:eastAsia="黑体" w:cs="黑体"/>
          <w:sz w:val="32"/>
          <w:szCs w:val="32"/>
        </w:rPr>
      </w:pPr>
      <w:r>
        <w:rPr>
          <w:rFonts w:hint="eastAsia" w:ascii="黑体" w:hAnsi="黑体" w:eastAsia="黑体" w:cs="黑体"/>
          <w:sz w:val="32"/>
          <w:szCs w:val="32"/>
        </w:rPr>
        <w:t>四、审批手续</w:t>
      </w:r>
    </w:p>
    <w:p w14:paraId="681F5795">
      <w:pPr>
        <w:overflowPunct w:val="0"/>
        <w:autoSpaceDN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ascii="仿宋_GB2312" w:hAnsi="仿宋_GB2312" w:eastAsia="仿宋_GB2312" w:cs="仿宋_GB2312"/>
          <w:sz w:val="32"/>
          <w:szCs w:val="32"/>
        </w:rPr>
        <w:t>新建项目在核发条件时，可根据具体用地性质，在条件中注明</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涉及市政配套设施、社区配套公共服务设施等不计容，按照《郑州航空港经济综合实验区关于优化居住用地供应及规划管理若干措施》执行</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。其他未涉及事项（</w:t>
      </w:r>
      <w:r>
        <w:rPr>
          <w:rFonts w:hint="eastAsia" w:ascii="仿宋_GB2312" w:hAnsi="仿宋_GB2312" w:eastAsia="仿宋_GB2312" w:cs="仿宋_GB2312"/>
          <w:sz w:val="32"/>
          <w:szCs w:val="32"/>
        </w:rPr>
        <w:t>如对于阳台进行立体绿化设计的住宅</w:t>
      </w:r>
      <w:r>
        <w:rPr>
          <w:rFonts w:ascii="仿宋_GB2312" w:hAnsi="仿宋_GB2312" w:eastAsia="仿宋_GB2312" w:cs="仿宋_GB2312"/>
          <w:sz w:val="32"/>
          <w:szCs w:val="32"/>
        </w:rPr>
        <w:t>）应执行《郑州市城市规划管理技术规定》。</w:t>
      </w:r>
    </w:p>
    <w:p w14:paraId="156FCDC4">
      <w:pPr>
        <w:overflowPunct w:val="0"/>
        <w:autoSpaceDN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ascii="仿宋_GB2312" w:hAnsi="仿宋_GB2312" w:eastAsia="仿宋_GB2312" w:cs="仿宋_GB2312"/>
          <w:sz w:val="32"/>
          <w:szCs w:val="32"/>
        </w:rPr>
        <w:t>建设单位按本</w:t>
      </w:r>
      <w:r>
        <w:rPr>
          <w:rFonts w:hint="eastAsia" w:ascii="仿宋_GB2312" w:hAnsi="仿宋_GB2312" w:eastAsia="仿宋_GB2312" w:cs="仿宋_GB2312"/>
          <w:sz w:val="32"/>
          <w:szCs w:val="32"/>
        </w:rPr>
        <w:t>措施</w:t>
      </w:r>
      <w:r>
        <w:rPr>
          <w:rFonts w:ascii="仿宋_GB2312" w:hAnsi="仿宋_GB2312" w:eastAsia="仿宋_GB2312" w:cs="仿宋_GB2312"/>
          <w:sz w:val="32"/>
          <w:szCs w:val="32"/>
        </w:rPr>
        <w:t>设计的项目，在办理建设工程规划许可证时</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相应建筑面积应在建设工程设计方案总平面图</w:t>
      </w:r>
      <w:r>
        <w:rPr>
          <w:rFonts w:hint="eastAsia" w:ascii="仿宋_GB2312" w:hAnsi="仿宋_GB2312" w:eastAsia="仿宋_GB2312" w:cs="仿宋_GB2312"/>
          <w:sz w:val="32"/>
          <w:szCs w:val="32"/>
        </w:rPr>
        <w:t>中</w:t>
      </w:r>
      <w:r>
        <w:rPr>
          <w:rFonts w:ascii="仿宋_GB2312" w:hAnsi="仿宋_GB2312" w:eastAsia="仿宋_GB2312" w:cs="仿宋_GB2312"/>
          <w:sz w:val="32"/>
          <w:szCs w:val="32"/>
        </w:rPr>
        <w:t>综合技术经济指标表和建筑面积明细表予以明确，同时对不纳入规划条件约定的容积率计算相关事宜，予以备注说明。</w:t>
      </w:r>
    </w:p>
    <w:p w14:paraId="7D359B7C">
      <w:pPr>
        <w:pStyle w:val="8"/>
        <w:kinsoku w:val="0"/>
        <w:wordWrap w:val="0"/>
        <w:snapToGrid w:val="0"/>
        <w:spacing w:line="560" w:lineRule="exact"/>
        <w:ind w:firstLine="640"/>
        <w:jc w:val="left"/>
        <w:rPr>
          <w:rFonts w:hint="eastAsia" w:ascii="黑体" w:hAnsi="黑体" w:eastAsia="黑体" w:cs="黑体"/>
          <w:sz w:val="32"/>
          <w:szCs w:val="32"/>
        </w:rPr>
      </w:pPr>
      <w:r>
        <w:rPr>
          <w:rFonts w:hint="eastAsia" w:ascii="黑体" w:hAnsi="黑体" w:eastAsia="黑体" w:cs="黑体"/>
          <w:sz w:val="32"/>
          <w:szCs w:val="32"/>
        </w:rPr>
        <w:t>五、责任与监督</w:t>
      </w:r>
    </w:p>
    <w:p w14:paraId="0C9AE899">
      <w:pPr>
        <w:overflowPunct w:val="0"/>
        <w:autoSpaceDN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措施涉及的计容面积、建筑密度、配建标准、坡屋顶下建筑面积等事项，及需执行《郑州市城市规划管理技术规定》的其他事项，项目实施主体、设计单位、施工单位、测绘单位在设计、建设、测量过程，不得虚假设计、施工、测量。项目实施主体单位负总责任，设计单位、施工单位、测绘单位对真实性、准确性、合规性各负其责。相关规划管理要求在建设工程规划许可证及所附图件中予以明确，在规划验收中发现未按照建设工程规划许可证的规定建设的，移交执法队伍依法依规查处。</w:t>
      </w:r>
    </w:p>
    <w:p w14:paraId="2DD9F57F">
      <w:pPr>
        <w:overflowPunct w:val="0"/>
        <w:autoSpaceDN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按照规划要求设计住宅室外专有庭院的，由建设单位将相关权利义务纳入房屋买卖合同附加条款，同时约束私自加建、损害他人合法权益不良行为。</w:t>
      </w:r>
    </w:p>
    <w:p w14:paraId="1DABE0A8">
      <w:pPr>
        <w:overflowPunct w:val="0"/>
        <w:autoSpaceDN w:val="0"/>
        <w:adjustRightInd w:val="0"/>
        <w:snapToGrid w:val="0"/>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本措施自发布之日起在郑州航空港经济综合实验区范围内试行，试行期两年。</w:t>
      </w:r>
    </w:p>
    <w:p w14:paraId="65D64680">
      <w:pPr>
        <w:overflowPunct w:val="0"/>
        <w:autoSpaceDN w:val="0"/>
        <w:adjustRightInd w:val="0"/>
        <w:snapToGrid w:val="0"/>
        <w:spacing w:line="560" w:lineRule="exact"/>
        <w:ind w:firstLine="640" w:firstLineChars="200"/>
        <w:contextualSpacing/>
        <w:rPr>
          <w:rFonts w:hint="eastAsia" w:ascii="仿宋_GB2312" w:hAnsi="仿宋_GB2312" w:eastAsia="仿宋_GB2312" w:cs="仿宋_GB2312"/>
          <w:sz w:val="32"/>
          <w:szCs w:val="32"/>
        </w:rPr>
      </w:pPr>
    </w:p>
    <w:p w14:paraId="685B828D"/>
    <w:p w14:paraId="19AC4433"/>
    <w:p w14:paraId="00C11E5D"/>
    <w:p w14:paraId="0BB6945B"/>
    <w:p w14:paraId="76660DDF"/>
    <w:p w14:paraId="442F0CCD"/>
    <w:p w14:paraId="5C0ADC2D">
      <w:pPr>
        <w:tabs>
          <w:tab w:val="left" w:pos="6283"/>
        </w:tabs>
        <w:jc w:val="left"/>
      </w:pPr>
      <w:r>
        <w:rPr>
          <w:rFonts w:hint="eastAsia"/>
        </w:rPr>
        <w:tab/>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80109">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8F98A0">
                          <w:pPr>
                            <w:pStyle w:val="3"/>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A8F98A0">
                    <w:pPr>
                      <w:pStyle w:val="3"/>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dmNjgwYjhlMjBlMzA5MTAzMWU1Y2VhYmM0OGU3MTcifQ=="/>
    <w:docVar w:name="KSO_WPS_MARK_KEY" w:val="28d2ca3a-123d-4d43-9a5e-26c7f2de700a"/>
  </w:docVars>
  <w:rsids>
    <w:rsidRoot w:val="332B0594"/>
    <w:rsid w:val="000A0024"/>
    <w:rsid w:val="002F7A0E"/>
    <w:rsid w:val="003926A1"/>
    <w:rsid w:val="00694142"/>
    <w:rsid w:val="009A04A1"/>
    <w:rsid w:val="00AD04A5"/>
    <w:rsid w:val="00B74103"/>
    <w:rsid w:val="00D743B5"/>
    <w:rsid w:val="046816C1"/>
    <w:rsid w:val="0523406D"/>
    <w:rsid w:val="054420BF"/>
    <w:rsid w:val="0ADA10BE"/>
    <w:rsid w:val="0F223875"/>
    <w:rsid w:val="11176CAF"/>
    <w:rsid w:val="14A84825"/>
    <w:rsid w:val="162437A1"/>
    <w:rsid w:val="163D4862"/>
    <w:rsid w:val="16BE4CF8"/>
    <w:rsid w:val="17AC53ED"/>
    <w:rsid w:val="1EF5E7AC"/>
    <w:rsid w:val="214E19A5"/>
    <w:rsid w:val="21882F26"/>
    <w:rsid w:val="271E5FEA"/>
    <w:rsid w:val="284142DF"/>
    <w:rsid w:val="2DBFB2AF"/>
    <w:rsid w:val="2F5C14C9"/>
    <w:rsid w:val="2FAC23D0"/>
    <w:rsid w:val="2FED4564"/>
    <w:rsid w:val="332B0594"/>
    <w:rsid w:val="342568D0"/>
    <w:rsid w:val="34D43495"/>
    <w:rsid w:val="36A24542"/>
    <w:rsid w:val="36EE47C1"/>
    <w:rsid w:val="37B453AC"/>
    <w:rsid w:val="37FA0CAC"/>
    <w:rsid w:val="391D359F"/>
    <w:rsid w:val="3A30294F"/>
    <w:rsid w:val="3A4A73CA"/>
    <w:rsid w:val="3C99B97B"/>
    <w:rsid w:val="3E5A4BD7"/>
    <w:rsid w:val="3F5F0F8B"/>
    <w:rsid w:val="3FA80471"/>
    <w:rsid w:val="421B789E"/>
    <w:rsid w:val="436675C2"/>
    <w:rsid w:val="43C07E08"/>
    <w:rsid w:val="4AB34B18"/>
    <w:rsid w:val="4B8B7446"/>
    <w:rsid w:val="4C9149E5"/>
    <w:rsid w:val="4C9D3069"/>
    <w:rsid w:val="4DDB3A90"/>
    <w:rsid w:val="4E5059DB"/>
    <w:rsid w:val="50343E81"/>
    <w:rsid w:val="52EB0BC7"/>
    <w:rsid w:val="57BFA473"/>
    <w:rsid w:val="598853C1"/>
    <w:rsid w:val="5A5A35FA"/>
    <w:rsid w:val="5FDC8192"/>
    <w:rsid w:val="61666DBC"/>
    <w:rsid w:val="629F6061"/>
    <w:rsid w:val="6692787F"/>
    <w:rsid w:val="69D643FD"/>
    <w:rsid w:val="6E286C9A"/>
    <w:rsid w:val="6F850FAA"/>
    <w:rsid w:val="705D0EFE"/>
    <w:rsid w:val="708863D0"/>
    <w:rsid w:val="72C01F71"/>
    <w:rsid w:val="756920F3"/>
    <w:rsid w:val="75D4756D"/>
    <w:rsid w:val="76483520"/>
    <w:rsid w:val="76BC09B1"/>
    <w:rsid w:val="77A411C1"/>
    <w:rsid w:val="7B131273"/>
    <w:rsid w:val="7C17451B"/>
    <w:rsid w:val="7E486D4A"/>
    <w:rsid w:val="7E8D29AE"/>
    <w:rsid w:val="BA719619"/>
    <w:rsid w:val="D57524E7"/>
    <w:rsid w:val="E9FBB5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line="640" w:lineRule="exact"/>
      <w:jc w:val="left"/>
      <w:outlineLvl w:val="0"/>
    </w:pPr>
    <w:rPr>
      <w:rFonts w:ascii="Times New Roman" w:hAnsi="Times New Roman" w:eastAsia="黑体"/>
      <w:color w:val="000000"/>
      <w:kern w:val="44"/>
      <w:sz w:val="44"/>
      <w:szCs w:val="20"/>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列表段落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600</Words>
  <Characters>3425</Characters>
  <Lines>28</Lines>
  <Paragraphs>8</Paragraphs>
  <TotalTime>20</TotalTime>
  <ScaleCrop>false</ScaleCrop>
  <LinksUpToDate>false</LinksUpToDate>
  <CharactersWithSpaces>4017</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2026-06-27T16:29:00Z</dcterms:created>
  <dc:creator>丹丹</dc:creator>
  <cp:lastModifiedBy>WPS_1528020916</cp:lastModifiedBy>
  <cp:lastPrinted>2024-06-06T09:45:00Z</cp:lastPrinted>
  <dcterms:modified xsi:type="dcterms:W3CDTF">2026-07-01T16:11:40Z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0C8FDB9F65E314DD2C3E3E6A6EC95D26_43</vt:lpwstr>
  </property>
  <property fmtid="{D5CDD505-2E9C-101B-9397-08002B2CF9AE}" pid="4" name="woTemplateTypoMode" linkTarget="0">
    <vt:lpwstr>web</vt:lpwstr>
  </property>
  <property fmtid="{D5CDD505-2E9C-101B-9397-08002B2CF9AE}" pid="5" name="woTemplate" linkTarget="0">
    <vt:i4>1</vt:i4>
  </property>
  <property fmtid="{D5CDD505-2E9C-101B-9397-08002B2CF9AE}" pid="6" name="KSOTemplateDocerSaveRecord">
    <vt:lpwstr>eyJoZGlkIjoiZWU4Zjc5MDQ0YzJiZWVmM2U2NDJkYTRmMTgxMjAwNzgiLCJ1c2VySWQiOiIyMzQ0MDkyNDQifQ==</vt:lpwstr>
  </property>
</Properties>
</file>