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660" w:lineRule="exact"/>
        <w:jc w:val="both"/>
        <w:textAlignment w:val="baseline"/>
        <w:rPr>
          <w:rFonts w:hint="eastAsia" w:ascii="微软雅黑" w:hAnsi="微软雅黑" w:eastAsia="微软雅黑" w:cs="微软雅黑"/>
          <w:szCs w:val="21"/>
          <w:lang w:eastAsia="zh-CN"/>
        </w:rPr>
      </w:pPr>
    </w:p>
    <w:p>
      <w:pPr>
        <w:keepNext w:val="0"/>
        <w:keepLines w:val="0"/>
        <w:pageBreakBefore w:val="0"/>
        <w:widowControl/>
        <w:kinsoku w:val="0"/>
        <w:wordWrap/>
        <w:overflowPunct/>
        <w:topLinePunct w:val="0"/>
        <w:autoSpaceDE w:val="0"/>
        <w:autoSpaceDN w:val="0"/>
        <w:bidi w:val="0"/>
        <w:adjustRightInd w:val="0"/>
        <w:snapToGrid w:val="0"/>
        <w:spacing w:line="660" w:lineRule="exact"/>
        <w:jc w:val="both"/>
        <w:textAlignment w:val="baseline"/>
        <w:rPr>
          <w:rFonts w:ascii="微软雅黑" w:hAnsi="微软雅黑" w:eastAsia="微软雅黑" w:cs="微软雅黑"/>
          <w:szCs w:val="21"/>
        </w:rPr>
      </w:pPr>
    </w:p>
    <w:p>
      <w:pPr>
        <w:spacing w:line="700" w:lineRule="exact"/>
        <w:jc w:val="right"/>
        <w:rPr>
          <w:rFonts w:hint="eastAsia" w:ascii="方正小标宋简体" w:hAnsi="方正小标宋简体" w:eastAsia="方正小标宋简体" w:cs="方正小标宋简体"/>
          <w:sz w:val="44"/>
          <w:szCs w:val="44"/>
          <w:lang w:val="en-US" w:eastAsia="zh-CN"/>
        </w:rPr>
      </w:pPr>
      <w:r>
        <w:rPr>
          <w:rFonts w:hint="eastAsia" w:ascii="微软雅黑" w:hAnsi="微软雅黑" w:eastAsia="微软雅黑" w:cs="微软雅黑"/>
          <w:sz w:val="21"/>
          <w:szCs w:val="21"/>
          <w:lang w:val="en-US" w:eastAsia="zh-CN"/>
        </w:rPr>
        <w:t>H</w:t>
      </w:r>
      <w:r>
        <w:rPr>
          <w:rFonts w:ascii="微软雅黑" w:hAnsi="微软雅黑" w:eastAsia="微软雅黑" w:cs="微软雅黑"/>
          <w:sz w:val="21"/>
          <w:szCs w:val="21"/>
        </w:rPr>
        <w:t>202</w:t>
      </w:r>
      <w:r>
        <w:rPr>
          <w:rFonts w:hint="eastAsia" w:ascii="微软雅黑" w:hAnsi="微软雅黑" w:eastAsia="微软雅黑" w:cs="微软雅黑"/>
          <w:sz w:val="21"/>
          <w:szCs w:val="21"/>
          <w:lang w:val="en-US" w:eastAsia="zh-CN"/>
        </w:rPr>
        <w:t>6</w:t>
      </w:r>
      <w:r>
        <w:rPr>
          <w:rFonts w:ascii="微软雅黑" w:hAnsi="微软雅黑" w:eastAsia="微软雅黑" w:cs="微软雅黑"/>
          <w:sz w:val="21"/>
          <w:szCs w:val="21"/>
        </w:rPr>
        <w:t>0</w:t>
      </w:r>
      <w:r>
        <w:rPr>
          <w:rFonts w:hint="eastAsia" w:ascii="微软雅黑" w:hAnsi="微软雅黑" w:eastAsia="微软雅黑" w:cs="微软雅黑"/>
          <w:sz w:val="21"/>
          <w:szCs w:val="21"/>
          <w:lang w:val="en-US" w:eastAsia="zh-CN"/>
        </w:rPr>
        <w:t>064</w:t>
      </w:r>
      <w:r>
        <w:rPr>
          <w:rFonts w:ascii="微软雅黑" w:hAnsi="微软雅黑" w:eastAsia="微软雅黑" w:cs="微软雅黑"/>
          <w:sz w:val="21"/>
          <w:szCs w:val="21"/>
        </w:rPr>
        <w:t>号</w:t>
      </w:r>
    </w:p>
    <w:p>
      <w:pPr>
        <w:pStyle w:val="20"/>
        <w:keepNext w:val="0"/>
        <w:keepLines w:val="0"/>
        <w:pageBreakBefore w:val="0"/>
        <w:widowControl w:val="0"/>
        <w:kinsoku/>
        <w:wordWrap/>
        <w:overflowPunct/>
        <w:topLinePunct w:val="0"/>
        <w:autoSpaceDE/>
        <w:autoSpaceDN/>
        <w:bidi w:val="0"/>
        <w:adjustRightInd/>
        <w:snapToGrid/>
        <w:spacing w:line="560" w:lineRule="exact"/>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line="640" w:lineRule="exact"/>
        <w:ind w:right="0"/>
        <w:contextualSpacing/>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关于印发《</w:t>
      </w:r>
      <w:r>
        <w:rPr>
          <w:rFonts w:hint="eastAsia" w:ascii="方正小标宋简体" w:hAnsi="方正小标宋简体" w:eastAsia="方正小标宋简体" w:cs="方正小标宋简体"/>
          <w:b w:val="0"/>
          <w:bCs w:val="0"/>
          <w:sz w:val="44"/>
          <w:szCs w:val="44"/>
          <w:lang w:val="en-US" w:eastAsia="zh-CN"/>
        </w:rPr>
        <w:t>殷都区</w:t>
      </w:r>
      <w:r>
        <w:rPr>
          <w:rFonts w:hint="eastAsia" w:ascii="方正小标宋简体" w:hAnsi="方正小标宋简体" w:eastAsia="方正小标宋简体" w:cs="方正小标宋简体"/>
          <w:b w:val="0"/>
          <w:bCs w:val="0"/>
          <w:sz w:val="44"/>
          <w:szCs w:val="44"/>
        </w:rPr>
        <w:t>202</w:t>
      </w:r>
      <w:r>
        <w:rPr>
          <w:rFonts w:hint="default" w:ascii="方正小标宋简体" w:hAnsi="方正小标宋简体" w:eastAsia="方正小标宋简体" w:cs="方正小标宋简体"/>
          <w:b w:val="0"/>
          <w:bCs w:val="0"/>
          <w:sz w:val="44"/>
          <w:szCs w:val="44"/>
          <w:lang w:val="en"/>
        </w:rPr>
        <w:t>6</w:t>
      </w:r>
      <w:r>
        <w:rPr>
          <w:rFonts w:hint="eastAsia" w:ascii="方正小标宋简体" w:hAnsi="方正小标宋简体" w:eastAsia="方正小标宋简体" w:cs="方正小标宋简体"/>
          <w:b w:val="0"/>
          <w:bCs w:val="0"/>
          <w:sz w:val="44"/>
          <w:szCs w:val="44"/>
        </w:rPr>
        <w:t>年燃煤散烧治理</w:t>
      </w:r>
    </w:p>
    <w:p>
      <w:pPr>
        <w:keepNext w:val="0"/>
        <w:keepLines w:val="0"/>
        <w:pageBreakBefore w:val="0"/>
        <w:widowControl w:val="0"/>
        <w:kinsoku/>
        <w:wordWrap/>
        <w:overflowPunct/>
        <w:topLinePunct w:val="0"/>
        <w:autoSpaceDE/>
        <w:autoSpaceDN/>
        <w:bidi w:val="0"/>
        <w:adjustRightInd w:val="0"/>
        <w:snapToGrid w:val="0"/>
        <w:spacing w:line="640" w:lineRule="exact"/>
        <w:ind w:right="0"/>
        <w:contextualSpacing/>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工作方案》的通知</w:t>
      </w:r>
    </w:p>
    <w:p>
      <w:pPr>
        <w:keepNext w:val="0"/>
        <w:keepLines w:val="0"/>
        <w:pageBreakBefore w:val="0"/>
        <w:widowControl w:val="0"/>
        <w:kinsoku/>
        <w:wordWrap/>
        <w:overflowPunct/>
        <w:topLinePunct w:val="0"/>
        <w:autoSpaceDE/>
        <w:autoSpaceDN/>
        <w:bidi w:val="0"/>
        <w:spacing w:line="550" w:lineRule="exact"/>
        <w:ind w:left="0" w:right="0" w:firstLine="640" w:firstLineChars="200"/>
        <w:rPr>
          <w:rFonts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50" w:lineRule="exact"/>
        <w:ind w:right="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各乡（镇）人民政府、街道办事处，区</w:t>
      </w:r>
      <w:r>
        <w:rPr>
          <w:rFonts w:hint="eastAsia" w:ascii="仿宋_GB2312" w:hAnsi="仿宋_GB2312" w:eastAsia="仿宋_GB2312" w:cs="仿宋_GB2312"/>
          <w:sz w:val="32"/>
          <w:szCs w:val="32"/>
          <w:lang w:val="en-US" w:eastAsia="zh-CN"/>
        </w:rPr>
        <w:t>人民政府</w:t>
      </w:r>
      <w:r>
        <w:rPr>
          <w:rFonts w:hint="eastAsia" w:ascii="仿宋_GB2312" w:hAnsi="仿宋_GB2312" w:eastAsia="仿宋_GB2312" w:cs="仿宋_GB2312"/>
          <w:sz w:val="32"/>
          <w:szCs w:val="32"/>
        </w:rPr>
        <w:t>有关</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50" w:lineRule="exact"/>
        <w:ind w:right="0"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lang w:val="en-US" w:eastAsia="zh-CN"/>
        </w:rPr>
        <w:t>殷都区</w:t>
      </w:r>
      <w:r>
        <w:rPr>
          <w:rFonts w:hint="eastAsia" w:ascii="仿宋_GB2312" w:hAnsi="仿宋_GB2312" w:eastAsia="仿宋_GB2312" w:cs="仿宋_GB2312"/>
          <w:sz w:val="32"/>
          <w:szCs w:val="32"/>
          <w:lang w:eastAsia="zh-CN"/>
        </w:rPr>
        <w:t>2026年燃煤散烧治理工作方案》印发给你们，请结合实际，认真贯彻实施。</w:t>
      </w:r>
    </w:p>
    <w:p>
      <w:pPr>
        <w:keepNext w:val="0"/>
        <w:keepLines w:val="0"/>
        <w:pageBreakBefore w:val="0"/>
        <w:widowControl w:val="0"/>
        <w:kinsoku/>
        <w:wordWrap/>
        <w:overflowPunct/>
        <w:topLinePunct w:val="0"/>
        <w:autoSpaceDE/>
        <w:autoSpaceDN/>
        <w:bidi w:val="0"/>
        <w:adjustRightInd w:val="0"/>
        <w:snapToGrid w:val="0"/>
        <w:spacing w:line="550" w:lineRule="exact"/>
        <w:ind w:right="0"/>
        <w:contextualSpacing/>
        <w:rPr>
          <w:rFonts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autoSpaceDN/>
        <w:bidi w:val="0"/>
        <w:spacing w:after="0" w:line="550" w:lineRule="exact"/>
        <w:ind w:right="0"/>
        <w:rPr>
          <w:sz w:val="32"/>
          <w:szCs w:val="32"/>
        </w:rPr>
      </w:pPr>
    </w:p>
    <w:p>
      <w:pPr>
        <w:pStyle w:val="9"/>
        <w:keepNext w:val="0"/>
        <w:keepLines w:val="0"/>
        <w:pageBreakBefore w:val="0"/>
        <w:widowControl w:val="0"/>
        <w:kinsoku/>
        <w:wordWrap/>
        <w:overflowPunct/>
        <w:topLinePunct w:val="0"/>
        <w:autoSpaceDE/>
        <w:autoSpaceDN/>
        <w:bidi w:val="0"/>
        <w:spacing w:line="550" w:lineRule="exact"/>
      </w:pPr>
    </w:p>
    <w:p>
      <w:pPr>
        <w:keepNext w:val="0"/>
        <w:keepLines w:val="0"/>
        <w:pageBreakBefore w:val="0"/>
        <w:widowControl w:val="0"/>
        <w:kinsoku/>
        <w:wordWrap/>
        <w:overflowPunct/>
        <w:topLinePunct w:val="0"/>
        <w:autoSpaceDE/>
        <w:autoSpaceDN/>
        <w:bidi w:val="0"/>
        <w:adjustRightInd/>
        <w:snapToGrid/>
        <w:spacing w:line="550" w:lineRule="exact"/>
        <w:ind w:left="0" w:right="0" w:firstLine="5120" w:firstLineChars="16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right="0" w:firstLine="5120" w:firstLineChars="16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50" w:lineRule="exact"/>
        <w:ind w:right="0" w:firstLine="3840" w:firstLineChars="1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殷都区</w:t>
      </w:r>
      <w:r>
        <w:rPr>
          <w:rFonts w:hint="eastAsia" w:ascii="仿宋_GB2312" w:hAnsi="仿宋_GB2312" w:eastAsia="仿宋_GB2312" w:cs="仿宋_GB2312"/>
          <w:sz w:val="32"/>
          <w:szCs w:val="32"/>
          <w:lang w:eastAsia="zh-CN"/>
        </w:rPr>
        <w:t>生态环境保护委员会办公室</w:t>
      </w:r>
    </w:p>
    <w:p>
      <w:pPr>
        <w:keepNext w:val="0"/>
        <w:keepLines w:val="0"/>
        <w:pageBreakBefore w:val="0"/>
        <w:widowControl w:val="0"/>
        <w:kinsoku/>
        <w:wordWrap/>
        <w:overflowPunct/>
        <w:topLinePunct w:val="0"/>
        <w:autoSpaceDE/>
        <w:autoSpaceDN/>
        <w:bidi w:val="0"/>
        <w:adjustRightInd/>
        <w:snapToGrid/>
        <w:spacing w:line="550" w:lineRule="exact"/>
        <w:ind w:left="0" w:right="0"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lang w:val="en"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val="0"/>
        <w:snapToGrid w:val="0"/>
        <w:spacing w:line="550" w:lineRule="exact"/>
        <w:ind w:right="0" w:firstLine="640" w:firstLineChars="200"/>
        <w:contextualSpacing/>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殷都区</w:t>
      </w:r>
      <w:r>
        <w:rPr>
          <w:rFonts w:hint="eastAsia" w:ascii="方正小标宋简体" w:hAnsi="方正小标宋简体" w:eastAsia="方正小标宋简体" w:cs="方正小标宋简体"/>
          <w:color w:val="auto"/>
          <w:sz w:val="44"/>
          <w:szCs w:val="44"/>
        </w:rPr>
        <w:t>202</w:t>
      </w:r>
      <w:r>
        <w:rPr>
          <w:rFonts w:hint="default" w:ascii="方正小标宋简体" w:hAnsi="方正小标宋简体" w:eastAsia="方正小标宋简体" w:cs="方正小标宋简体"/>
          <w:color w:val="auto"/>
          <w:sz w:val="44"/>
          <w:szCs w:val="44"/>
          <w:lang w:val="en" w:eastAsia="zh-CN"/>
        </w:rPr>
        <w:t>6</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color w:val="auto"/>
          <w:sz w:val="44"/>
          <w:szCs w:val="44"/>
          <w:lang w:val="en" w:eastAsia="zh-CN"/>
        </w:rPr>
        <w:t>燃煤散烧</w:t>
      </w:r>
      <w:r>
        <w:rPr>
          <w:rFonts w:hint="eastAsia" w:ascii="方正小标宋简体" w:hAnsi="方正小标宋简体" w:eastAsia="方正小标宋简体" w:cs="方正小标宋简体"/>
          <w:color w:val="auto"/>
          <w:sz w:val="44"/>
          <w:szCs w:val="44"/>
        </w:rPr>
        <w:t>治理工作方案</w:t>
      </w:r>
    </w:p>
    <w:p>
      <w:pPr>
        <w:keepNext w:val="0"/>
        <w:keepLines w:val="0"/>
        <w:pageBreakBefore w:val="0"/>
        <w:widowControl w:val="0"/>
        <w:kinsoku/>
        <w:wordWrap/>
        <w:overflowPunct/>
        <w:topLinePunct w:val="0"/>
        <w:autoSpaceDE/>
        <w:autoSpaceDN/>
        <w:bidi w:val="0"/>
        <w:adjustRightInd/>
        <w:snapToGrid/>
        <w:spacing w:line="579" w:lineRule="exact"/>
        <w:ind w:right="0"/>
        <w:jc w:val="center"/>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jc w:val="both"/>
        <w:rPr>
          <w:sz w:val="32"/>
          <w:szCs w:val="32"/>
        </w:rPr>
      </w:pPr>
      <w:r>
        <w:rPr>
          <w:rFonts w:hint="eastAsia" w:ascii="仿宋_GB2312" w:hAnsi="仿宋_GB2312" w:eastAsia="仿宋_GB2312" w:cs="仿宋_GB2312"/>
          <w:sz w:val="32"/>
          <w:szCs w:val="32"/>
        </w:rPr>
        <w:t>为深入贯彻习近平总书记在河南考察时重要讲话精神，</w:t>
      </w:r>
      <w:r>
        <w:rPr>
          <w:rFonts w:hint="eastAsia" w:ascii="仿宋_GB2312" w:hAnsi="仿宋_GB2312" w:eastAsia="仿宋_GB2312" w:cs="仿宋_GB2312"/>
          <w:sz w:val="32"/>
          <w:szCs w:val="32"/>
          <w:lang w:eastAsia="zh-CN"/>
        </w:rPr>
        <w:t>全面落实省委、省政府“一年见底清乱、两年提升进位、三年居中前行、五年根本扭转落后局面”的要求，将全省燃煤散烧治理暨大气污染防治工作推进会和全市环境污染防治攻坚战动员大会安排部署的工作任务落到实处，持续改善我区空气质量，结合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工作实际，</w:t>
      </w:r>
      <w:r>
        <w:rPr>
          <w:rFonts w:hint="eastAsia" w:ascii="仿宋_GB2312" w:hAnsi="仿宋_GB2312" w:eastAsia="仿宋_GB2312" w:cs="仿宋_GB2312"/>
          <w:sz w:val="32"/>
          <w:szCs w:val="32"/>
        </w:rPr>
        <w:t>制定本工作方案。</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sz w:val="20"/>
          <w:szCs w:val="20"/>
        </w:rPr>
      </w:pPr>
      <w:r>
        <w:rPr>
          <w:rFonts w:ascii="黑体" w:hAnsi="黑体" w:eastAsia="黑体" w:cs="黑体"/>
          <w:sz w:val="32"/>
          <w:szCs w:val="32"/>
        </w:rPr>
        <w:t>一、总体要求</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jc w:val="both"/>
        <w:rPr>
          <w:sz w:val="32"/>
          <w:szCs w:val="32"/>
        </w:rPr>
      </w:pPr>
      <w:r>
        <w:rPr>
          <w:rFonts w:hint="eastAsia" w:ascii="仿宋_GB2312" w:hAnsi="仿宋_GB2312" w:eastAsia="仿宋_GB2312" w:cs="仿宋_GB2312"/>
          <w:sz w:val="32"/>
          <w:szCs w:val="32"/>
        </w:rPr>
        <w:t>坚持以习近平生态文明思想为指导，牢固树立和践行绿水青山就是金山银山理念，坚持问题导向、目标导向和效果导向，确保</w:t>
      </w:r>
      <w:r>
        <w:rPr>
          <w:rFonts w:hint="eastAsia" w:ascii="仿宋_GB2312" w:hAnsi="仿宋_GB2312" w:eastAsia="仿宋_GB2312" w:cs="仿宋_GB2312"/>
          <w:sz w:val="32"/>
          <w:szCs w:val="32"/>
          <w:lang w:val="en-US" w:eastAsia="zh-CN"/>
        </w:rPr>
        <w:t>全区内散煤动态清零</w:t>
      </w:r>
      <w:r>
        <w:rPr>
          <w:rFonts w:hint="eastAsia" w:ascii="仿宋_GB2312" w:hAnsi="仿宋_GB2312" w:eastAsia="仿宋_GB2312" w:cs="仿宋_GB2312"/>
          <w:sz w:val="32"/>
          <w:szCs w:val="32"/>
        </w:rPr>
        <w:t>（散煤和洁净型煤）为</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空气质量持续改善作出新贡献。</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二、主要任务</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）切实强化村（居）民生活用煤管理。</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乡镇（街道）、区直相关部门</w:t>
      </w:r>
      <w:r>
        <w:rPr>
          <w:rFonts w:hint="eastAsia" w:ascii="仿宋_GB2312" w:hAnsi="仿宋_GB2312" w:eastAsia="仿宋_GB2312" w:cs="仿宋_GB2312"/>
          <w:sz w:val="32"/>
          <w:szCs w:val="32"/>
        </w:rPr>
        <w:t>要切实把燃煤散烧治理工作摆在空气质量持续提升和污染治理</w:t>
      </w:r>
      <w:bookmarkStart w:id="0" w:name="page1_1"/>
      <w:bookmarkEnd w:id="0"/>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重要</w:t>
      </w:r>
      <w:r>
        <w:rPr>
          <w:rFonts w:hint="eastAsia" w:ascii="仿宋_GB2312" w:hAnsi="仿宋_GB2312" w:eastAsia="仿宋_GB2312" w:cs="仿宋_GB2312"/>
          <w:sz w:val="32"/>
          <w:szCs w:val="32"/>
        </w:rPr>
        <w:t>位置，</w:t>
      </w:r>
      <w:r>
        <w:rPr>
          <w:rFonts w:hint="default" w:ascii="仿宋_GB2312" w:hAnsi="仿宋_GB2312" w:eastAsia="仿宋_GB2312" w:cs="仿宋_GB2312"/>
          <w:color w:val="auto"/>
          <w:sz w:val="32"/>
          <w:szCs w:val="32"/>
          <w:lang w:val="en"/>
        </w:rPr>
        <w:t>落实“四包”制度，</w:t>
      </w:r>
      <w:r>
        <w:rPr>
          <w:rFonts w:hint="eastAsia" w:ascii="仿宋_GB2312" w:hAnsi="仿宋_GB2312" w:eastAsia="仿宋_GB2312" w:cs="仿宋_GB2312"/>
          <w:sz w:val="32"/>
          <w:szCs w:val="32"/>
          <w:lang w:eastAsia="zh-CN"/>
        </w:rPr>
        <w:t>加强组织领导，</w:t>
      </w:r>
      <w:r>
        <w:rPr>
          <w:rFonts w:hint="eastAsia" w:ascii="仿宋_GB2312" w:hAnsi="仿宋_GB2312" w:eastAsia="仿宋_GB2312" w:cs="仿宋_GB2312"/>
          <w:sz w:val="32"/>
          <w:szCs w:val="32"/>
        </w:rPr>
        <w:t>压实属地管理责任，做好宣传引导，</w:t>
      </w:r>
      <w:r>
        <w:rPr>
          <w:rFonts w:hint="eastAsia" w:ascii="仿宋_GB2312" w:hAnsi="仿宋_GB2312" w:eastAsia="仿宋_GB2312" w:cs="仿宋_GB2312"/>
          <w:sz w:val="32"/>
          <w:szCs w:val="32"/>
          <w:lang w:eastAsia="zh-CN"/>
        </w:rPr>
        <w:t>开展燃煤散烧治理大排查活动，确保问题整改及时彻底</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sz w:val="32"/>
          <w:szCs w:val="32"/>
          <w:lang w:eastAsia="zh-CN"/>
        </w:rPr>
        <w:t>、安阳市</w:t>
      </w:r>
      <w:r>
        <w:rPr>
          <w:rFonts w:hint="eastAsia" w:ascii="仿宋_GB2312" w:hAnsi="仿宋_GB2312" w:eastAsia="仿宋_GB2312" w:cs="仿宋_GB2312"/>
          <w:sz w:val="32"/>
          <w:szCs w:val="32"/>
        </w:rPr>
        <w:t>生态环境</w:t>
      </w:r>
      <w:r>
        <w:rPr>
          <w:rFonts w:hint="eastAsia" w:ascii="仿宋_GB2312" w:hAnsi="仿宋_GB2312" w:eastAsia="仿宋_GB2312" w:cs="仿宋_GB2312"/>
          <w:sz w:val="32"/>
          <w:szCs w:val="32"/>
          <w:lang w:eastAsia="zh-CN"/>
        </w:rPr>
        <w:t>局殷都分局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市场监管局按照职责分工负责）</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）坚决</w:t>
      </w:r>
      <w:r>
        <w:rPr>
          <w:rFonts w:hint="eastAsia" w:ascii="楷体_GB2312" w:hAnsi="楷体_GB2312" w:eastAsia="楷体_GB2312" w:cs="楷体_GB2312"/>
          <w:b w:val="0"/>
          <w:bCs w:val="0"/>
          <w:sz w:val="32"/>
          <w:szCs w:val="32"/>
          <w:lang w:eastAsia="zh-CN"/>
        </w:rPr>
        <w:t>管住</w:t>
      </w:r>
      <w:r>
        <w:rPr>
          <w:rFonts w:hint="eastAsia" w:ascii="楷体_GB2312" w:hAnsi="楷体_GB2312" w:eastAsia="楷体_GB2312" w:cs="楷体_GB2312"/>
          <w:b w:val="0"/>
          <w:bCs w:val="0"/>
          <w:sz w:val="32"/>
          <w:szCs w:val="32"/>
        </w:rPr>
        <w:t>散煤生产</w:t>
      </w:r>
      <w:r>
        <w:rPr>
          <w:rFonts w:hint="eastAsia" w:ascii="楷体_GB2312" w:hAnsi="楷体_GB2312" w:eastAsia="楷体_GB2312" w:cs="楷体_GB2312"/>
          <w:b w:val="0"/>
          <w:bCs w:val="0"/>
          <w:sz w:val="32"/>
          <w:szCs w:val="32"/>
          <w:lang w:eastAsia="zh-CN"/>
        </w:rPr>
        <w:t>加工</w:t>
      </w:r>
      <w:r>
        <w:rPr>
          <w:rFonts w:hint="eastAsia" w:ascii="楷体_GB2312" w:hAnsi="楷体_GB2312" w:eastAsia="楷体_GB2312" w:cs="楷体_GB2312"/>
          <w:b w:val="0"/>
          <w:bCs w:val="0"/>
          <w:sz w:val="32"/>
          <w:szCs w:val="32"/>
        </w:rPr>
        <w:t>销售</w:t>
      </w:r>
      <w:r>
        <w:rPr>
          <w:rFonts w:hint="eastAsia" w:ascii="楷体_GB2312" w:hAnsi="楷体_GB2312" w:eastAsia="楷体_GB2312" w:cs="楷体_GB2312"/>
          <w:b w:val="0"/>
          <w:bCs w:val="0"/>
          <w:sz w:val="32"/>
          <w:szCs w:val="32"/>
          <w:lang w:eastAsia="zh-CN"/>
        </w:rPr>
        <w:t>运输环节</w:t>
      </w:r>
      <w:r>
        <w:rPr>
          <w:rFonts w:hint="eastAsia" w:ascii="楷体_GB2312" w:hAnsi="楷体_GB2312" w:eastAsia="楷体_GB2312" w:cs="楷体_GB2312"/>
          <w:b w:val="0"/>
          <w:bCs w:val="0"/>
          <w:sz w:val="32"/>
          <w:szCs w:val="32"/>
        </w:rPr>
        <w:t>。</w:t>
      </w:r>
      <w:r>
        <w:rPr>
          <w:rFonts w:hint="eastAsia" w:ascii="仿宋_GB2312" w:hAnsi="仿宋_GB2312" w:eastAsia="仿宋_GB2312" w:cs="仿宋_GB2312"/>
          <w:sz w:val="32"/>
          <w:szCs w:val="32"/>
        </w:rPr>
        <w:t>突出重点区域、关键环节和重要时段，强化治理违法违规生产</w:t>
      </w:r>
      <w:r>
        <w:rPr>
          <w:rFonts w:hint="eastAsia" w:ascii="仿宋_GB2312" w:hAnsi="仿宋_GB2312" w:eastAsia="仿宋_GB2312" w:cs="仿宋_GB2312"/>
          <w:sz w:val="32"/>
          <w:szCs w:val="32"/>
          <w:lang w:eastAsia="zh-CN"/>
        </w:rPr>
        <w:t>加工</w:t>
      </w:r>
      <w:r>
        <w:rPr>
          <w:rFonts w:hint="eastAsia" w:ascii="仿宋_GB2312" w:hAnsi="仿宋_GB2312" w:eastAsia="仿宋_GB2312" w:cs="仿宋_GB2312"/>
          <w:sz w:val="32"/>
          <w:szCs w:val="32"/>
        </w:rPr>
        <w:t>销售</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散煤行为。综合运用科技手段对抖音、</w:t>
      </w:r>
      <w:r>
        <w:rPr>
          <w:rFonts w:hint="eastAsia" w:ascii="仿宋_GB2312" w:hAnsi="仿宋_GB2312" w:eastAsia="仿宋_GB2312" w:cs="仿宋_GB2312"/>
          <w:sz w:val="32"/>
          <w:szCs w:val="32"/>
          <w:lang w:eastAsia="zh-CN"/>
        </w:rPr>
        <w:t>微信小程序</w:t>
      </w:r>
      <w:r>
        <w:rPr>
          <w:rFonts w:hint="eastAsia" w:ascii="仿宋_GB2312" w:hAnsi="仿宋_GB2312" w:eastAsia="仿宋_GB2312" w:cs="仿宋_GB2312"/>
          <w:sz w:val="32"/>
          <w:szCs w:val="32"/>
        </w:rPr>
        <w:t>等网络电商平台进行靶向监测，调动广大人民群众的投诉举报积极性，对监测和受理的违法违规线索依法查处、及时清理销售信息源。强化违法违规销售散煤的案件办理，查清来源和去向，依法查处。</w:t>
      </w:r>
      <w:r>
        <w:rPr>
          <w:rFonts w:hint="default" w:ascii="仿宋_GB2312" w:hAnsi="仿宋_GB2312" w:eastAsia="仿宋_GB2312" w:cs="仿宋_GB2312"/>
          <w:sz w:val="32"/>
          <w:szCs w:val="32"/>
          <w:lang w:val="en"/>
        </w:rPr>
        <w:t>发挥沿界协调联动机制作用，</w:t>
      </w:r>
      <w:r>
        <w:rPr>
          <w:rFonts w:hint="eastAsia" w:ascii="仿宋_GB2312" w:hAnsi="仿宋_GB2312" w:eastAsia="仿宋_GB2312" w:cs="仿宋_GB2312"/>
          <w:sz w:val="32"/>
          <w:szCs w:val="32"/>
        </w:rPr>
        <w:t>充分利用现有的交通服务站点、卡口等检查点，统筹安排公安、交通、市场监管部门组成联合检查组，</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散煤运输车辆的检查纳入常态化监管范围。</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）、村（社区）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两委”</w:t>
      </w:r>
      <w:r>
        <w:rPr>
          <w:rFonts w:hint="eastAsia" w:ascii="仿宋_GB2312" w:hAnsi="仿宋_GB2312" w:eastAsia="仿宋_GB2312" w:cs="仿宋_GB2312"/>
          <w:sz w:val="32"/>
          <w:szCs w:val="32"/>
          <w:lang w:eastAsia="zh-CN"/>
        </w:rPr>
        <w:t>要加强日常巡查</w:t>
      </w:r>
      <w:r>
        <w:rPr>
          <w:rFonts w:hint="eastAsia" w:ascii="仿宋_GB2312" w:hAnsi="仿宋_GB2312" w:eastAsia="仿宋_GB2312" w:cs="仿宋_GB2312"/>
          <w:sz w:val="32"/>
          <w:szCs w:val="32"/>
        </w:rPr>
        <w:t>，充分利用群众举报、视频监控、信息监测等手段，依法依规</w:t>
      </w:r>
      <w:r>
        <w:rPr>
          <w:rFonts w:hint="eastAsia" w:ascii="仿宋_GB2312" w:hAnsi="仿宋_GB2312" w:eastAsia="仿宋_GB2312" w:cs="仿宋_GB2312"/>
          <w:sz w:val="32"/>
          <w:szCs w:val="32"/>
          <w:lang w:eastAsia="zh-CN"/>
        </w:rPr>
        <w:t>制止、处置</w:t>
      </w:r>
      <w:r>
        <w:rPr>
          <w:rFonts w:hint="eastAsia" w:ascii="仿宋_GB2312" w:hAnsi="仿宋_GB2312" w:eastAsia="仿宋_GB2312" w:cs="仿宋_GB2312"/>
          <w:sz w:val="32"/>
          <w:szCs w:val="32"/>
        </w:rPr>
        <w:t>走村串户、游击兜售、电话销售和网上销售散煤的违法行为。（</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6"/>
          <w:sz w:val="32"/>
          <w:szCs w:val="32"/>
          <w:lang w:eastAsia="zh-CN"/>
        </w:rPr>
        <w:t>安阳市</w:t>
      </w:r>
      <w:r>
        <w:rPr>
          <w:rFonts w:hint="eastAsia" w:ascii="仿宋_GB2312" w:hAnsi="仿宋_GB2312" w:eastAsia="仿宋_GB2312" w:cs="仿宋_GB2312"/>
          <w:spacing w:val="-6"/>
          <w:sz w:val="32"/>
          <w:szCs w:val="32"/>
          <w:lang w:val="en-US" w:eastAsia="zh-CN"/>
        </w:rPr>
        <w:t>公安局殷都分</w:t>
      </w:r>
      <w:r>
        <w:rPr>
          <w:rFonts w:hint="eastAsia" w:ascii="仿宋_GB2312" w:hAnsi="仿宋_GB2312" w:eastAsia="仿宋_GB2312" w:cs="仿宋_GB2312"/>
          <w:spacing w:val="-6"/>
          <w:sz w:val="32"/>
          <w:szCs w:val="32"/>
          <w:lang w:eastAsia="zh-CN"/>
        </w:rPr>
        <w:t>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区</w:t>
      </w:r>
      <w:r>
        <w:rPr>
          <w:rFonts w:hint="eastAsia" w:ascii="仿宋_GB2312" w:hAnsi="仿宋_GB2312" w:eastAsia="仿宋_GB2312" w:cs="仿宋_GB2312"/>
          <w:spacing w:val="-6"/>
          <w:sz w:val="32"/>
          <w:szCs w:val="32"/>
        </w:rPr>
        <w:t>交通运输</w:t>
      </w:r>
      <w:r>
        <w:rPr>
          <w:rFonts w:hint="eastAsia" w:ascii="仿宋_GB2312" w:hAnsi="仿宋_GB2312" w:eastAsia="仿宋_GB2312" w:cs="仿宋_GB2312"/>
          <w:spacing w:val="-6"/>
          <w:sz w:val="32"/>
          <w:szCs w:val="32"/>
          <w:lang w:eastAsia="zh-CN"/>
        </w:rPr>
        <w:t>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区</w:t>
      </w:r>
      <w:r>
        <w:rPr>
          <w:rFonts w:hint="eastAsia" w:ascii="仿宋_GB2312" w:hAnsi="仿宋_GB2312" w:eastAsia="仿宋_GB2312" w:cs="仿宋_GB2312"/>
          <w:spacing w:val="-6"/>
          <w:sz w:val="32"/>
          <w:szCs w:val="32"/>
        </w:rPr>
        <w:t>市场监管局按照职责分工负责）</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color w:val="auto"/>
          <w:spacing w:val="0"/>
          <w:w w:val="100"/>
          <w:kern w:val="0"/>
          <w:sz w:val="32"/>
          <w:szCs w:val="32"/>
          <w:lang w:bidi="ar"/>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加强</w:t>
      </w:r>
      <w:r>
        <w:rPr>
          <w:rFonts w:hint="eastAsia" w:ascii="楷体_GB2312" w:hAnsi="楷体_GB2312" w:eastAsia="楷体_GB2312" w:cs="楷体_GB2312"/>
          <w:b w:val="0"/>
          <w:bCs w:val="0"/>
          <w:sz w:val="32"/>
          <w:szCs w:val="32"/>
        </w:rPr>
        <w:t>经营性商户</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流动摊贩等经营服务行业</w:t>
      </w:r>
      <w:r>
        <w:rPr>
          <w:rFonts w:hint="eastAsia" w:ascii="楷体_GB2312" w:hAnsi="楷体_GB2312" w:eastAsia="楷体_GB2312" w:cs="楷体_GB2312"/>
          <w:b w:val="0"/>
          <w:bCs w:val="0"/>
          <w:sz w:val="32"/>
          <w:szCs w:val="32"/>
        </w:rPr>
        <w:t>存储使用燃煤</w:t>
      </w:r>
      <w:r>
        <w:rPr>
          <w:rFonts w:hint="eastAsia" w:ascii="楷体_GB2312" w:hAnsi="楷体_GB2312" w:eastAsia="楷体_GB2312" w:cs="楷体_GB2312"/>
          <w:b w:val="0"/>
          <w:bCs w:val="0"/>
          <w:sz w:val="32"/>
          <w:szCs w:val="32"/>
          <w:lang w:eastAsia="zh-CN"/>
        </w:rPr>
        <w:t>监管</w:t>
      </w:r>
      <w:r>
        <w:rPr>
          <w:rFonts w:hint="eastAsia" w:ascii="楷体_GB2312" w:hAnsi="楷体_GB2312" w:eastAsia="楷体_GB2312" w:cs="楷体_GB2312"/>
          <w:b w:val="0"/>
          <w:bCs w:val="0"/>
          <w:sz w:val="32"/>
          <w:szCs w:val="32"/>
        </w:rPr>
        <w:t>。</w:t>
      </w:r>
      <w:r>
        <w:rPr>
          <w:rFonts w:hint="eastAsia" w:ascii="仿宋_GB2312" w:hAnsi="仿宋_GB2312" w:eastAsia="仿宋_GB2312" w:cs="仿宋_GB2312"/>
          <w:sz w:val="32"/>
          <w:szCs w:val="32"/>
        </w:rPr>
        <w:t>依托“网格化”社会管理体系，对餐饮、洗浴等行业经营性商户使用的燃煤茶浴锅炉、燃煤大灶、经营性小煤炉等燃煤设施设备开展常态化执法检查、动态监管，全面禁止、依法查处经营性商户使用燃煤行为。突出对城乡结合部、乡镇集市、农村地区等重点区域和早点夜市、农村庙会、流动</w:t>
      </w:r>
      <w:r>
        <w:rPr>
          <w:rFonts w:hint="default" w:ascii="仿宋_GB2312" w:hAnsi="仿宋_GB2312" w:eastAsia="仿宋_GB2312" w:cs="仿宋_GB2312"/>
          <w:sz w:val="32"/>
          <w:szCs w:val="32"/>
          <w:lang w:val="en"/>
        </w:rPr>
        <w:t>宴</w:t>
      </w:r>
      <w:r>
        <w:rPr>
          <w:rFonts w:hint="eastAsia" w:ascii="仿宋_GB2312" w:hAnsi="仿宋_GB2312" w:eastAsia="仿宋_GB2312" w:cs="仿宋_GB2312"/>
          <w:sz w:val="32"/>
          <w:szCs w:val="32"/>
        </w:rPr>
        <w:t>席等重要时间节点的排查治理，对排查发现的问题，要依法处理、追查燃煤来源，阻断经营性商户购买燃煤渠道。</w:t>
      </w:r>
      <w:r>
        <w:rPr>
          <w:rFonts w:hint="eastAsia" w:ascii="仿宋_GB2312" w:hAnsi="仿宋_GB2312" w:eastAsia="仿宋_GB2312" w:cs="仿宋_GB2312"/>
          <w:color w:val="auto"/>
          <w:spacing w:val="0"/>
          <w:w w:val="100"/>
          <w:kern w:val="0"/>
          <w:sz w:val="32"/>
          <w:szCs w:val="32"/>
          <w:lang w:bidi="ar"/>
        </w:rPr>
        <w:t>按照“管行业必须管环保、管业务必须管环保、管生产经营必须管环保”的要求，</w:t>
      </w:r>
      <w:r>
        <w:rPr>
          <w:rFonts w:hint="eastAsia" w:ascii="仿宋_GB2312" w:hAnsi="仿宋_GB2312" w:eastAsia="仿宋_GB2312" w:cs="仿宋_GB2312"/>
          <w:color w:val="auto"/>
          <w:spacing w:val="0"/>
          <w:w w:val="100"/>
          <w:kern w:val="0"/>
          <w:sz w:val="32"/>
          <w:szCs w:val="32"/>
          <w:lang w:eastAsia="zh-CN" w:bidi="ar"/>
        </w:rPr>
        <w:t>各行业主管部门要履职尽责，</w:t>
      </w:r>
      <w:r>
        <w:rPr>
          <w:rFonts w:hint="eastAsia" w:ascii="仿宋_GB2312" w:hAnsi="仿宋_GB2312" w:eastAsia="仿宋_GB2312" w:cs="仿宋_GB2312"/>
          <w:color w:val="auto"/>
          <w:spacing w:val="0"/>
          <w:w w:val="100"/>
          <w:kern w:val="0"/>
          <w:sz w:val="32"/>
          <w:szCs w:val="32"/>
          <w:lang w:bidi="ar"/>
        </w:rPr>
        <w:t>加强对流动摊贩</w:t>
      </w:r>
      <w:r>
        <w:rPr>
          <w:rFonts w:hint="eastAsia" w:ascii="仿宋_GB2312" w:hAnsi="仿宋_GB2312" w:eastAsia="仿宋_GB2312" w:cs="仿宋_GB2312"/>
          <w:color w:val="auto"/>
          <w:spacing w:val="0"/>
          <w:w w:val="100"/>
          <w:kern w:val="0"/>
          <w:sz w:val="32"/>
          <w:szCs w:val="32"/>
          <w:lang w:eastAsia="zh-CN" w:bidi="ar"/>
        </w:rPr>
        <w:t>、</w:t>
      </w:r>
      <w:r>
        <w:rPr>
          <w:rFonts w:hint="eastAsia" w:ascii="仿宋_GB2312" w:hAnsi="仿宋_GB2312" w:eastAsia="仿宋_GB2312" w:cs="仿宋_GB2312"/>
          <w:color w:val="auto"/>
          <w:spacing w:val="0"/>
          <w:w w:val="100"/>
          <w:kern w:val="0"/>
          <w:sz w:val="32"/>
          <w:szCs w:val="32"/>
          <w:lang w:bidi="ar"/>
        </w:rPr>
        <w:t>教育、养老、医疗等经营服务行业</w:t>
      </w:r>
      <w:r>
        <w:rPr>
          <w:rFonts w:hint="eastAsia" w:ascii="仿宋_GB2312" w:hAnsi="仿宋_GB2312" w:eastAsia="仿宋_GB2312" w:cs="仿宋_GB2312"/>
          <w:color w:val="auto"/>
          <w:spacing w:val="0"/>
          <w:w w:val="100"/>
          <w:kern w:val="0"/>
          <w:sz w:val="32"/>
          <w:szCs w:val="32"/>
          <w:lang w:eastAsia="zh-CN" w:bidi="ar"/>
        </w:rPr>
        <w:t>使用燃煤的监管</w:t>
      </w:r>
      <w:r>
        <w:rPr>
          <w:rFonts w:hint="eastAsia" w:ascii="仿宋_GB2312" w:hAnsi="仿宋_GB2312" w:eastAsia="仿宋_GB2312" w:cs="仿宋_GB2312"/>
          <w:color w:val="auto"/>
          <w:spacing w:val="0"/>
          <w:w w:val="100"/>
          <w:kern w:val="0"/>
          <w:sz w:val="32"/>
          <w:szCs w:val="32"/>
          <w:lang w:bidi="ar"/>
        </w:rPr>
        <w:t>，强化</w:t>
      </w:r>
      <w:r>
        <w:rPr>
          <w:rFonts w:hint="eastAsia" w:ascii="仿宋_GB2312" w:hAnsi="仿宋_GB2312" w:eastAsia="仿宋_GB2312" w:cs="仿宋_GB2312"/>
          <w:color w:val="auto"/>
          <w:spacing w:val="0"/>
          <w:w w:val="100"/>
          <w:kern w:val="0"/>
          <w:sz w:val="32"/>
          <w:szCs w:val="32"/>
          <w:lang w:eastAsia="zh-CN" w:bidi="ar"/>
        </w:rPr>
        <w:t>巡查</w:t>
      </w:r>
      <w:r>
        <w:rPr>
          <w:rFonts w:hint="eastAsia" w:ascii="仿宋_GB2312" w:hAnsi="仿宋_GB2312" w:eastAsia="仿宋_GB2312" w:cs="仿宋_GB2312"/>
          <w:color w:val="auto"/>
          <w:spacing w:val="0"/>
          <w:w w:val="100"/>
          <w:kern w:val="0"/>
          <w:sz w:val="32"/>
          <w:szCs w:val="32"/>
          <w:lang w:bidi="ar"/>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sz w:val="32"/>
          <w:szCs w:val="32"/>
          <w:lang w:eastAsia="zh-CN"/>
        </w:rPr>
        <w:t>、安阳</w:t>
      </w:r>
      <w:r>
        <w:rPr>
          <w:rFonts w:hint="eastAsia" w:ascii="仿宋_GB2312" w:hAnsi="仿宋_GB2312" w:eastAsia="仿宋_GB2312" w:cs="仿宋_GB2312"/>
          <w:sz w:val="32"/>
          <w:szCs w:val="32"/>
          <w:lang w:val="en-US" w:eastAsia="zh-CN"/>
        </w:rPr>
        <w:t>市生态环境</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lang w:val="en-US" w:eastAsia="zh-CN"/>
        </w:rPr>
        <w:t>殷都分局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市场监管局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pacing w:val="0"/>
          <w:w w:val="100"/>
          <w:kern w:val="0"/>
          <w:sz w:val="32"/>
          <w:szCs w:val="32"/>
          <w:lang w:val="en-US" w:eastAsia="zh-CN" w:bidi="ar"/>
        </w:rPr>
        <w:t>区</w:t>
      </w:r>
      <w:r>
        <w:rPr>
          <w:rFonts w:hint="eastAsia" w:ascii="仿宋_GB2312" w:hAnsi="仿宋_GB2312" w:eastAsia="仿宋_GB2312" w:cs="仿宋_GB2312"/>
          <w:color w:val="auto"/>
          <w:spacing w:val="0"/>
          <w:w w:val="100"/>
          <w:kern w:val="0"/>
          <w:sz w:val="32"/>
          <w:szCs w:val="32"/>
          <w:lang w:bidi="ar"/>
        </w:rPr>
        <w:t>城市管理局、</w:t>
      </w:r>
      <w:r>
        <w:rPr>
          <w:rFonts w:hint="eastAsia" w:ascii="仿宋_GB2312" w:hAnsi="仿宋_GB2312" w:eastAsia="仿宋_GB2312" w:cs="仿宋_GB2312"/>
          <w:color w:val="auto"/>
          <w:spacing w:val="0"/>
          <w:w w:val="100"/>
          <w:kern w:val="0"/>
          <w:sz w:val="32"/>
          <w:szCs w:val="32"/>
          <w:lang w:val="en-US" w:eastAsia="zh-CN" w:bidi="ar"/>
        </w:rPr>
        <w:t>区</w:t>
      </w:r>
      <w:r>
        <w:rPr>
          <w:rFonts w:hint="eastAsia" w:ascii="仿宋_GB2312" w:hAnsi="仿宋_GB2312" w:eastAsia="仿宋_GB2312" w:cs="仿宋_GB2312"/>
          <w:color w:val="auto"/>
          <w:spacing w:val="0"/>
          <w:w w:val="100"/>
          <w:kern w:val="0"/>
          <w:sz w:val="32"/>
          <w:szCs w:val="32"/>
          <w:lang w:bidi="ar"/>
        </w:rPr>
        <w:t>教育局、</w:t>
      </w:r>
      <w:r>
        <w:rPr>
          <w:rFonts w:hint="eastAsia" w:ascii="仿宋_GB2312" w:hAnsi="仿宋_GB2312" w:eastAsia="仿宋_GB2312" w:cs="仿宋_GB2312"/>
          <w:color w:val="auto"/>
          <w:spacing w:val="0"/>
          <w:w w:val="100"/>
          <w:kern w:val="0"/>
          <w:sz w:val="32"/>
          <w:szCs w:val="32"/>
          <w:lang w:val="en-US" w:eastAsia="zh-CN" w:bidi="ar"/>
        </w:rPr>
        <w:t>区</w:t>
      </w:r>
      <w:r>
        <w:rPr>
          <w:rFonts w:hint="eastAsia" w:ascii="仿宋_GB2312" w:hAnsi="仿宋_GB2312" w:eastAsia="仿宋_GB2312" w:cs="仿宋_GB2312"/>
          <w:color w:val="auto"/>
          <w:spacing w:val="0"/>
          <w:w w:val="100"/>
          <w:kern w:val="0"/>
          <w:sz w:val="32"/>
          <w:szCs w:val="32"/>
          <w:lang w:bidi="ar"/>
        </w:rPr>
        <w:t>民政局、</w:t>
      </w:r>
      <w:r>
        <w:rPr>
          <w:rFonts w:hint="eastAsia" w:ascii="仿宋_GB2312" w:hAnsi="仿宋_GB2312" w:eastAsia="仿宋_GB2312" w:cs="仿宋_GB2312"/>
          <w:color w:val="auto"/>
          <w:spacing w:val="0"/>
          <w:w w:val="100"/>
          <w:kern w:val="0"/>
          <w:sz w:val="32"/>
          <w:szCs w:val="32"/>
          <w:lang w:val="en-US" w:eastAsia="zh-CN" w:bidi="ar"/>
        </w:rPr>
        <w:t>区</w:t>
      </w:r>
      <w:r>
        <w:rPr>
          <w:rFonts w:hint="eastAsia" w:ascii="仿宋_GB2312" w:hAnsi="仿宋_GB2312" w:eastAsia="仿宋_GB2312" w:cs="仿宋_GB2312"/>
          <w:color w:val="auto"/>
          <w:spacing w:val="0"/>
          <w:w w:val="100"/>
          <w:kern w:val="0"/>
          <w:sz w:val="32"/>
          <w:szCs w:val="32"/>
          <w:lang w:bidi="ar"/>
        </w:rPr>
        <w:t>卫生健康委员会按照职责分工</w:t>
      </w:r>
      <w:r>
        <w:rPr>
          <w:rFonts w:hint="eastAsia" w:ascii="仿宋_GB2312" w:hAnsi="仿宋_GB2312" w:eastAsia="仿宋_GB2312" w:cs="仿宋_GB2312"/>
          <w:color w:val="auto"/>
          <w:spacing w:val="0"/>
          <w:w w:val="100"/>
          <w:kern w:val="0"/>
          <w:sz w:val="32"/>
          <w:szCs w:val="32"/>
          <w:lang w:eastAsia="zh-CN" w:bidi="ar"/>
        </w:rPr>
        <w:t>负责</w:t>
      </w:r>
      <w:r>
        <w:rPr>
          <w:rFonts w:hint="eastAsia" w:ascii="仿宋_GB2312" w:hAnsi="仿宋_GB2312" w:eastAsia="仿宋_GB2312" w:cs="仿宋_GB2312"/>
          <w:color w:val="auto"/>
          <w:spacing w:val="0"/>
          <w:w w:val="100"/>
          <w:kern w:val="0"/>
          <w:sz w:val="32"/>
          <w:szCs w:val="32"/>
          <w:lang w:bidi="ar"/>
        </w:rPr>
        <w:t>）</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四</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积极开展农用散煤排查整治</w:t>
      </w:r>
      <w:r>
        <w:rPr>
          <w:rFonts w:hint="eastAsia" w:ascii="楷体_GB2312" w:hAnsi="楷体_GB2312" w:eastAsia="楷体_GB2312" w:cs="楷体_GB2312"/>
          <w:b w:val="0"/>
          <w:bCs w:val="0"/>
          <w:sz w:val="32"/>
          <w:szCs w:val="32"/>
        </w:rPr>
        <w:t>。</w:t>
      </w:r>
      <w:r>
        <w:rPr>
          <w:rFonts w:hint="eastAsia" w:ascii="仿宋_GB2312" w:hAnsi="仿宋_GB2312" w:eastAsia="仿宋_GB2312" w:cs="仿宋_GB2312"/>
          <w:sz w:val="32"/>
          <w:szCs w:val="32"/>
          <w:lang w:eastAsia="zh-CN"/>
        </w:rPr>
        <w:t>动态</w:t>
      </w:r>
      <w:r>
        <w:rPr>
          <w:rFonts w:hint="eastAsia" w:ascii="仿宋_GB2312" w:hAnsi="仿宋_GB2312" w:eastAsia="仿宋_GB2312" w:cs="仿宋_GB2312"/>
          <w:sz w:val="32"/>
          <w:szCs w:val="32"/>
        </w:rPr>
        <w:t>排查整治</w:t>
      </w:r>
      <w:r>
        <w:rPr>
          <w:rFonts w:hint="eastAsia" w:ascii="仿宋_GB2312" w:hAnsi="仿宋_GB2312" w:eastAsia="仿宋_GB2312" w:cs="仿宋_GB2312"/>
          <w:sz w:val="32"/>
          <w:szCs w:val="32"/>
          <w:lang w:eastAsia="zh-CN"/>
        </w:rPr>
        <w:t>农产品加工、</w:t>
      </w:r>
      <w:r>
        <w:rPr>
          <w:rFonts w:hint="eastAsia" w:ascii="仿宋_GB2312" w:hAnsi="仿宋_GB2312" w:eastAsia="仿宋_GB2312" w:cs="仿宋_GB2312"/>
          <w:sz w:val="32"/>
          <w:szCs w:val="32"/>
        </w:rPr>
        <w:t>食用菌种植、畜禽养殖、温室大棚等农用领域用煤行为，</w:t>
      </w:r>
      <w:r>
        <w:rPr>
          <w:rFonts w:hint="eastAsia" w:ascii="仿宋_GB2312" w:hAnsi="仿宋_GB2312" w:eastAsia="仿宋_GB2312" w:cs="仿宋_GB2312"/>
          <w:sz w:val="32"/>
          <w:szCs w:val="32"/>
          <w:lang w:val="en-US" w:eastAsia="zh-CN"/>
        </w:rPr>
        <w:t>建立清单台账，确保完成农产品加工、种植养殖</w:t>
      </w:r>
      <w:r>
        <w:rPr>
          <w:rFonts w:hint="eastAsia" w:ascii="仿宋_GB2312" w:hAnsi="仿宋_GB2312" w:eastAsia="仿宋_GB2312" w:cs="仿宋_GB2312"/>
          <w:sz w:val="32"/>
          <w:szCs w:val="32"/>
        </w:rPr>
        <w:t>等方面燃煤设施清洁能源替代</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农业农村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按照职责分工负责）</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三、工作要求</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jc w:val="both"/>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b w:val="0"/>
          <w:bCs w:val="0"/>
          <w:sz w:val="32"/>
          <w:szCs w:val="32"/>
          <w:lang w:val="en" w:eastAsia="zh-CN"/>
        </w:rPr>
        <w:t>（一）明确工作职责。</w:t>
      </w:r>
      <w:r>
        <w:rPr>
          <w:rFonts w:hint="eastAsia" w:ascii="仿宋_GB2312" w:hAnsi="仿宋_GB2312" w:eastAsia="仿宋_GB2312" w:cs="仿宋_GB2312"/>
          <w:color w:val="auto"/>
          <w:spacing w:val="0"/>
          <w:w w:val="100"/>
          <w:kern w:val="0"/>
          <w:sz w:val="32"/>
          <w:szCs w:val="32"/>
          <w:lang w:val="en-US" w:eastAsia="zh-CN" w:bidi="ar"/>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color w:val="auto"/>
          <w:spacing w:val="0"/>
          <w:w w:val="100"/>
          <w:kern w:val="0"/>
          <w:sz w:val="32"/>
          <w:szCs w:val="32"/>
          <w:lang w:val="en-US" w:eastAsia="zh-CN" w:bidi="ar"/>
        </w:rPr>
        <w:t>、各成员单位</w:t>
      </w:r>
      <w:r>
        <w:rPr>
          <w:rFonts w:hint="eastAsia" w:ascii="仿宋_GB2312" w:hAnsi="仿宋_GB2312" w:eastAsia="仿宋_GB2312" w:cs="仿宋_GB2312"/>
          <w:color w:val="auto"/>
          <w:sz w:val="32"/>
          <w:szCs w:val="32"/>
          <w:lang w:eastAsia="zh-CN"/>
        </w:rPr>
        <w:t>要</w:t>
      </w:r>
      <w:r>
        <w:rPr>
          <w:rFonts w:hint="eastAsia" w:ascii="仿宋_GB2312" w:hAnsi="仿宋_GB2312" w:eastAsia="仿宋_GB2312" w:cs="仿宋_GB2312"/>
          <w:color w:val="auto"/>
          <w:spacing w:val="0"/>
          <w:w w:val="100"/>
          <w:kern w:val="0"/>
          <w:sz w:val="32"/>
          <w:szCs w:val="32"/>
          <w:lang w:bidi="ar"/>
        </w:rPr>
        <w:t>对照本方案所列各项目标任务，制定202</w:t>
      </w:r>
      <w:r>
        <w:rPr>
          <w:rFonts w:hint="default" w:ascii="仿宋_GB2312" w:hAnsi="仿宋_GB2312" w:eastAsia="仿宋_GB2312" w:cs="仿宋_GB2312"/>
          <w:color w:val="auto"/>
          <w:spacing w:val="0"/>
          <w:w w:val="100"/>
          <w:kern w:val="0"/>
          <w:sz w:val="32"/>
          <w:szCs w:val="32"/>
          <w:lang w:val="en" w:bidi="ar"/>
        </w:rPr>
        <w:t>6</w:t>
      </w:r>
      <w:r>
        <w:rPr>
          <w:rFonts w:hint="eastAsia" w:ascii="仿宋_GB2312" w:hAnsi="仿宋_GB2312" w:eastAsia="仿宋_GB2312" w:cs="仿宋_GB2312"/>
          <w:color w:val="auto"/>
          <w:spacing w:val="0"/>
          <w:w w:val="100"/>
          <w:kern w:val="0"/>
          <w:sz w:val="32"/>
          <w:szCs w:val="32"/>
          <w:lang w:bidi="ar"/>
        </w:rPr>
        <w:t>年</w:t>
      </w:r>
      <w:r>
        <w:rPr>
          <w:rFonts w:hint="eastAsia" w:ascii="仿宋_GB2312" w:hAnsi="仿宋_GB2312" w:eastAsia="仿宋_GB2312" w:cs="仿宋_GB2312"/>
          <w:color w:val="auto"/>
          <w:spacing w:val="0"/>
          <w:w w:val="100"/>
          <w:kern w:val="0"/>
          <w:sz w:val="32"/>
          <w:szCs w:val="32"/>
          <w:lang w:eastAsia="zh-CN" w:bidi="ar"/>
        </w:rPr>
        <w:t>工作方案</w:t>
      </w:r>
      <w:r>
        <w:rPr>
          <w:rFonts w:hint="eastAsia" w:ascii="仿宋_GB2312" w:hAnsi="仿宋_GB2312" w:eastAsia="仿宋_GB2312" w:cs="仿宋_GB2312"/>
          <w:color w:val="auto"/>
          <w:spacing w:val="0"/>
          <w:w w:val="100"/>
          <w:kern w:val="0"/>
          <w:sz w:val="32"/>
          <w:szCs w:val="32"/>
          <w:lang w:bidi="ar"/>
        </w:rPr>
        <w:t>，开展常态化</w:t>
      </w:r>
      <w:r>
        <w:rPr>
          <w:rFonts w:hint="eastAsia" w:ascii="仿宋_GB2312" w:hAnsi="仿宋_GB2312" w:eastAsia="仿宋_GB2312" w:cs="仿宋_GB2312"/>
          <w:color w:val="auto"/>
          <w:spacing w:val="0"/>
          <w:w w:val="100"/>
          <w:kern w:val="0"/>
          <w:sz w:val="32"/>
          <w:szCs w:val="32"/>
          <w:lang w:eastAsia="zh-CN" w:bidi="ar"/>
        </w:rPr>
        <w:t>专项巡查</w:t>
      </w:r>
      <w:r>
        <w:rPr>
          <w:rFonts w:hint="eastAsia" w:ascii="仿宋_GB2312" w:hAnsi="仿宋_GB2312" w:eastAsia="仿宋_GB2312" w:cs="仿宋_GB2312"/>
          <w:color w:val="auto"/>
          <w:spacing w:val="0"/>
          <w:w w:val="100"/>
          <w:kern w:val="0"/>
          <w:sz w:val="32"/>
          <w:szCs w:val="32"/>
          <w:lang w:bidi="ar"/>
        </w:rPr>
        <w:t>，</w:t>
      </w:r>
      <w:r>
        <w:rPr>
          <w:rFonts w:hint="eastAsia" w:ascii="仿宋_GB2312" w:hAnsi="仿宋_GB2312" w:eastAsia="仿宋_GB2312" w:cs="仿宋_GB2312"/>
          <w:color w:val="auto"/>
          <w:spacing w:val="0"/>
          <w:w w:val="100"/>
          <w:kern w:val="0"/>
          <w:sz w:val="32"/>
          <w:szCs w:val="32"/>
          <w:lang w:eastAsia="zh-CN" w:bidi="ar"/>
        </w:rPr>
        <w:t>确保燃煤散烧治理工作落地见效</w:t>
      </w:r>
      <w:r>
        <w:rPr>
          <w:rFonts w:hint="eastAsia" w:ascii="仿宋_GB2312" w:hAnsi="仿宋_GB2312" w:eastAsia="仿宋_GB2312" w:cs="仿宋_GB2312"/>
          <w:color w:val="auto"/>
          <w:spacing w:val="0"/>
          <w:w w:val="100"/>
          <w:sz w:val="32"/>
          <w:szCs w:val="32"/>
        </w:rPr>
        <w:t>。</w:t>
      </w:r>
      <w:r>
        <w:rPr>
          <w:rFonts w:hint="eastAsia" w:ascii="仿宋_GB2312" w:hAnsi="仿宋_GB2312" w:eastAsia="仿宋_GB2312" w:cs="仿宋_GB2312"/>
          <w:b/>
          <w:bCs/>
          <w:color w:val="auto"/>
          <w:spacing w:val="0"/>
          <w:w w:val="100"/>
          <w:sz w:val="32"/>
          <w:szCs w:val="32"/>
          <w:lang w:val="en-US" w:eastAsia="zh-CN"/>
        </w:rPr>
        <w:t>区</w:t>
      </w:r>
      <w:r>
        <w:rPr>
          <w:rFonts w:hint="eastAsia" w:ascii="仿宋_GB2312" w:hAnsi="仿宋_GB2312" w:eastAsia="仿宋_GB2312" w:cs="仿宋_GB2312"/>
          <w:b/>
          <w:bCs/>
          <w:color w:val="auto"/>
          <w:spacing w:val="0"/>
          <w:w w:val="100"/>
          <w:sz w:val="32"/>
          <w:szCs w:val="32"/>
        </w:rPr>
        <w:t>市场监管局</w:t>
      </w:r>
      <w:r>
        <w:rPr>
          <w:rFonts w:hint="eastAsia" w:ascii="仿宋_GB2312" w:hAnsi="仿宋_GB2312" w:eastAsia="仿宋_GB2312" w:cs="仿宋_GB2312"/>
          <w:b/>
          <w:bCs/>
          <w:color w:val="auto"/>
          <w:spacing w:val="0"/>
          <w:w w:val="100"/>
          <w:sz w:val="32"/>
          <w:szCs w:val="32"/>
          <w:lang w:val="en-US" w:eastAsia="zh-CN"/>
        </w:rPr>
        <w:t>和市市场监管综合执法支队殷都大队</w:t>
      </w:r>
      <w:r>
        <w:rPr>
          <w:rFonts w:hint="eastAsia" w:ascii="仿宋_GB2312" w:hAnsi="仿宋_GB2312" w:eastAsia="仿宋_GB2312" w:cs="仿宋_GB2312"/>
          <w:color w:val="auto"/>
          <w:spacing w:val="0"/>
          <w:w w:val="100"/>
          <w:sz w:val="32"/>
          <w:szCs w:val="32"/>
        </w:rPr>
        <w:t>负责对散煤生产销售环节开展专项</w:t>
      </w:r>
      <w:r>
        <w:rPr>
          <w:rFonts w:hint="eastAsia" w:ascii="仿宋_GB2312" w:hAnsi="仿宋_GB2312" w:eastAsia="仿宋_GB2312" w:cs="仿宋_GB2312"/>
          <w:color w:val="auto"/>
          <w:spacing w:val="0"/>
          <w:w w:val="100"/>
          <w:sz w:val="32"/>
          <w:szCs w:val="32"/>
          <w:lang w:eastAsia="zh-CN"/>
        </w:rPr>
        <w:t>巡查</w:t>
      </w:r>
      <w:r>
        <w:rPr>
          <w:rFonts w:hint="eastAsia" w:ascii="仿宋_GB2312" w:hAnsi="仿宋_GB2312" w:eastAsia="仿宋_GB2312" w:cs="仿宋_GB2312"/>
          <w:b w:val="0"/>
          <w:bCs w:val="0"/>
          <w:color w:val="auto"/>
          <w:spacing w:val="0"/>
          <w:w w:val="100"/>
          <w:sz w:val="32"/>
          <w:szCs w:val="32"/>
          <w:lang w:eastAsia="zh-CN"/>
        </w:rPr>
        <w:t>。</w:t>
      </w:r>
      <w:r>
        <w:rPr>
          <w:rFonts w:hint="eastAsia" w:ascii="仿宋_GB2312" w:hAnsi="仿宋_GB2312" w:eastAsia="仿宋_GB2312" w:cs="仿宋_GB2312"/>
          <w:b/>
          <w:bCs/>
          <w:sz w:val="32"/>
          <w:szCs w:val="32"/>
          <w:lang w:val="en-US" w:eastAsia="zh-CN"/>
        </w:rPr>
        <w:t>安阳市生态环境</w:t>
      </w:r>
      <w:r>
        <w:rPr>
          <w:rFonts w:hint="eastAsia" w:ascii="仿宋_GB2312" w:hAnsi="仿宋_GB2312" w:eastAsia="仿宋_GB2312" w:cs="仿宋_GB2312"/>
          <w:b/>
          <w:bCs/>
          <w:sz w:val="32"/>
          <w:szCs w:val="32"/>
          <w:lang w:eastAsia="zh-CN"/>
        </w:rPr>
        <w:t>局</w:t>
      </w:r>
      <w:r>
        <w:rPr>
          <w:rFonts w:hint="eastAsia" w:ascii="仿宋_GB2312" w:hAnsi="仿宋_GB2312" w:eastAsia="仿宋_GB2312" w:cs="仿宋_GB2312"/>
          <w:b/>
          <w:bCs/>
          <w:sz w:val="32"/>
          <w:szCs w:val="32"/>
          <w:lang w:val="en-US" w:eastAsia="zh-CN"/>
        </w:rPr>
        <w:t>殷都分局</w:t>
      </w:r>
      <w:r>
        <w:rPr>
          <w:rFonts w:hint="eastAsia" w:ascii="仿宋_GB2312" w:hAnsi="仿宋_GB2312" w:eastAsia="仿宋_GB2312" w:cs="仿宋_GB2312"/>
          <w:color w:val="auto"/>
          <w:spacing w:val="0"/>
          <w:w w:val="100"/>
          <w:sz w:val="32"/>
          <w:szCs w:val="32"/>
        </w:rPr>
        <w:t>负责对燃煤茶浴锅炉、燃煤大灶、经营性小煤炉等燃煤设施、设备、炉具使用情况开展专项</w:t>
      </w:r>
      <w:r>
        <w:rPr>
          <w:rFonts w:hint="eastAsia" w:ascii="仿宋_GB2312" w:hAnsi="仿宋_GB2312" w:eastAsia="仿宋_GB2312" w:cs="仿宋_GB2312"/>
          <w:color w:val="auto"/>
          <w:spacing w:val="0"/>
          <w:w w:val="100"/>
          <w:sz w:val="32"/>
          <w:szCs w:val="32"/>
          <w:lang w:eastAsia="zh-CN"/>
        </w:rPr>
        <w:t>巡查</w:t>
      </w:r>
      <w:r>
        <w:rPr>
          <w:rFonts w:hint="default" w:ascii="仿宋_GB2312" w:hAnsi="仿宋_GB2312" w:eastAsia="仿宋_GB2312" w:cs="仿宋_GB2312"/>
          <w:color w:val="auto"/>
          <w:spacing w:val="0"/>
          <w:w w:val="100"/>
          <w:sz w:val="32"/>
          <w:szCs w:val="32"/>
          <w:lang w:val="en"/>
        </w:rPr>
        <w:t>;</w:t>
      </w:r>
      <w:r>
        <w:rPr>
          <w:rFonts w:hint="eastAsia" w:ascii="仿宋_GB2312" w:hAnsi="仿宋_GB2312" w:eastAsia="仿宋_GB2312" w:cs="仿宋_GB2312"/>
          <w:color w:val="auto"/>
          <w:spacing w:val="0"/>
          <w:w w:val="100"/>
          <w:sz w:val="32"/>
          <w:szCs w:val="32"/>
          <w:lang w:val="en" w:eastAsia="zh-CN"/>
        </w:rPr>
        <w:t>加强高污染燃料禁燃区管理，严厉打击使用高污染燃料行为</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b/>
          <w:bCs/>
          <w:color w:val="auto"/>
          <w:spacing w:val="0"/>
          <w:w w:val="100"/>
          <w:sz w:val="32"/>
          <w:szCs w:val="32"/>
          <w:lang w:val="en-US" w:eastAsia="zh-CN"/>
        </w:rPr>
        <w:t>区</w:t>
      </w:r>
      <w:r>
        <w:rPr>
          <w:rFonts w:hint="eastAsia" w:ascii="仿宋_GB2312" w:hAnsi="仿宋_GB2312" w:eastAsia="仿宋_GB2312" w:cs="仿宋_GB2312"/>
          <w:b/>
          <w:bCs/>
          <w:color w:val="auto"/>
          <w:spacing w:val="0"/>
          <w:w w:val="100"/>
          <w:sz w:val="32"/>
          <w:szCs w:val="32"/>
        </w:rPr>
        <w:t>交通运输局</w:t>
      </w:r>
      <w:r>
        <w:rPr>
          <w:rFonts w:hint="eastAsia" w:ascii="仿宋_GB2312" w:hAnsi="仿宋_GB2312" w:eastAsia="仿宋_GB2312" w:cs="仿宋_GB2312"/>
          <w:b/>
          <w:bCs/>
          <w:color w:val="auto"/>
          <w:spacing w:val="0"/>
          <w:w w:val="100"/>
          <w:sz w:val="32"/>
          <w:szCs w:val="32"/>
          <w:lang w:eastAsia="zh-CN"/>
        </w:rPr>
        <w:t>、安阳</w:t>
      </w:r>
      <w:r>
        <w:rPr>
          <w:rFonts w:hint="eastAsia" w:ascii="仿宋_GB2312" w:hAnsi="仿宋_GB2312" w:eastAsia="仿宋_GB2312" w:cs="仿宋_GB2312"/>
          <w:b/>
          <w:bCs/>
          <w:spacing w:val="-6"/>
          <w:sz w:val="32"/>
          <w:szCs w:val="32"/>
          <w:lang w:val="en-US" w:eastAsia="zh-CN"/>
        </w:rPr>
        <w:t>市公安局殷都分</w:t>
      </w:r>
      <w:r>
        <w:rPr>
          <w:rFonts w:hint="eastAsia" w:ascii="仿宋_GB2312" w:hAnsi="仿宋_GB2312" w:eastAsia="仿宋_GB2312" w:cs="仿宋_GB2312"/>
          <w:b/>
          <w:bCs/>
          <w:spacing w:val="-6"/>
          <w:sz w:val="32"/>
          <w:szCs w:val="32"/>
          <w:lang w:eastAsia="zh-CN"/>
        </w:rPr>
        <w:t>局</w:t>
      </w:r>
      <w:r>
        <w:rPr>
          <w:rFonts w:hint="eastAsia" w:ascii="仿宋_GB2312" w:hAnsi="仿宋_GB2312" w:eastAsia="仿宋_GB2312" w:cs="仿宋_GB2312"/>
          <w:color w:val="auto"/>
          <w:spacing w:val="0"/>
          <w:w w:val="100"/>
          <w:sz w:val="32"/>
          <w:szCs w:val="32"/>
        </w:rPr>
        <w:t>负责对散煤运输环节开展专项</w:t>
      </w:r>
      <w:r>
        <w:rPr>
          <w:rFonts w:hint="eastAsia" w:ascii="仿宋_GB2312" w:hAnsi="仿宋_GB2312" w:eastAsia="仿宋_GB2312" w:cs="仿宋_GB2312"/>
          <w:color w:val="auto"/>
          <w:spacing w:val="0"/>
          <w:w w:val="100"/>
          <w:sz w:val="32"/>
          <w:szCs w:val="32"/>
          <w:lang w:eastAsia="zh-CN"/>
        </w:rPr>
        <w:t>巡查</w:t>
      </w:r>
      <w:r>
        <w:rPr>
          <w:rFonts w:hint="eastAsia" w:ascii="仿宋_GB2312" w:hAnsi="仿宋_GB2312" w:eastAsia="仿宋_GB2312" w:cs="仿宋_GB2312"/>
          <w:color w:val="auto"/>
          <w:spacing w:val="0"/>
          <w:w w:val="100"/>
          <w:sz w:val="32"/>
          <w:szCs w:val="32"/>
        </w:rPr>
        <w:t>。</w:t>
      </w:r>
      <w:r>
        <w:rPr>
          <w:rFonts w:hint="eastAsia" w:ascii="仿宋_GB2312" w:hAnsi="仿宋_GB2312" w:eastAsia="仿宋_GB2312" w:cs="仿宋_GB2312"/>
          <w:b/>
          <w:bCs/>
          <w:color w:val="auto"/>
          <w:spacing w:val="0"/>
          <w:w w:val="100"/>
          <w:sz w:val="32"/>
          <w:szCs w:val="32"/>
          <w:lang w:val="en-US" w:eastAsia="zh-CN"/>
        </w:rPr>
        <w:t>区</w:t>
      </w:r>
      <w:r>
        <w:rPr>
          <w:rFonts w:hint="eastAsia" w:ascii="仿宋_GB2312" w:hAnsi="仿宋_GB2312" w:eastAsia="仿宋_GB2312" w:cs="仿宋_GB2312"/>
          <w:b/>
          <w:bCs/>
          <w:color w:val="auto"/>
          <w:spacing w:val="0"/>
          <w:w w:val="100"/>
          <w:sz w:val="32"/>
          <w:szCs w:val="32"/>
        </w:rPr>
        <w:t>城市管理局</w:t>
      </w:r>
      <w:r>
        <w:rPr>
          <w:rFonts w:hint="eastAsia" w:ascii="仿宋_GB2312" w:hAnsi="仿宋_GB2312" w:eastAsia="仿宋_GB2312" w:cs="仿宋_GB2312"/>
          <w:color w:val="auto"/>
          <w:spacing w:val="0"/>
          <w:w w:val="100"/>
          <w:sz w:val="32"/>
          <w:szCs w:val="32"/>
        </w:rPr>
        <w:t>负责对餐饮流动摊贩散煤治理情况开展专项</w:t>
      </w:r>
      <w:r>
        <w:rPr>
          <w:rFonts w:hint="eastAsia" w:ascii="仿宋_GB2312" w:hAnsi="仿宋_GB2312" w:eastAsia="仿宋_GB2312" w:cs="仿宋_GB2312"/>
          <w:color w:val="auto"/>
          <w:spacing w:val="0"/>
          <w:w w:val="100"/>
          <w:sz w:val="32"/>
          <w:szCs w:val="32"/>
          <w:lang w:eastAsia="zh-CN"/>
        </w:rPr>
        <w:t>巡查</w:t>
      </w:r>
      <w:r>
        <w:rPr>
          <w:rFonts w:hint="eastAsia" w:ascii="仿宋_GB2312" w:hAnsi="仿宋_GB2312" w:eastAsia="仿宋_GB2312" w:cs="仿宋_GB2312"/>
          <w:color w:val="auto"/>
          <w:spacing w:val="0"/>
          <w:w w:val="100"/>
          <w:sz w:val="32"/>
          <w:szCs w:val="32"/>
        </w:rPr>
        <w:t>。</w:t>
      </w:r>
      <w:r>
        <w:rPr>
          <w:rFonts w:hint="eastAsia" w:ascii="仿宋_GB2312" w:hAnsi="仿宋_GB2312" w:eastAsia="仿宋_GB2312" w:cs="仿宋_GB2312"/>
          <w:b/>
          <w:bCs/>
          <w:color w:val="auto"/>
          <w:spacing w:val="0"/>
          <w:w w:val="100"/>
          <w:sz w:val="32"/>
          <w:szCs w:val="32"/>
          <w:lang w:val="en-US" w:eastAsia="zh-CN"/>
        </w:rPr>
        <w:t>区</w:t>
      </w:r>
      <w:r>
        <w:rPr>
          <w:rFonts w:hint="eastAsia" w:ascii="仿宋_GB2312" w:hAnsi="仿宋_GB2312" w:eastAsia="仿宋_GB2312" w:cs="仿宋_GB2312"/>
          <w:b/>
          <w:bCs/>
          <w:color w:val="auto"/>
          <w:spacing w:val="0"/>
          <w:w w:val="100"/>
          <w:sz w:val="32"/>
          <w:szCs w:val="32"/>
        </w:rPr>
        <w:t>农业农村局</w:t>
      </w:r>
      <w:r>
        <w:rPr>
          <w:rFonts w:hint="eastAsia" w:ascii="仿宋_GB2312" w:hAnsi="仿宋_GB2312" w:eastAsia="仿宋_GB2312" w:cs="仿宋_GB2312"/>
          <w:color w:val="auto"/>
          <w:spacing w:val="0"/>
          <w:w w:val="100"/>
          <w:sz w:val="32"/>
          <w:szCs w:val="32"/>
        </w:rPr>
        <w:t>负责对农业生产领域散煤治理情况开展专项</w:t>
      </w:r>
      <w:r>
        <w:rPr>
          <w:rFonts w:hint="eastAsia" w:ascii="仿宋_GB2312" w:hAnsi="仿宋_GB2312" w:eastAsia="仿宋_GB2312" w:cs="仿宋_GB2312"/>
          <w:color w:val="auto"/>
          <w:spacing w:val="0"/>
          <w:w w:val="100"/>
          <w:sz w:val="32"/>
          <w:szCs w:val="32"/>
          <w:lang w:eastAsia="zh-CN"/>
        </w:rPr>
        <w:t>巡查</w:t>
      </w:r>
      <w:r>
        <w:rPr>
          <w:rFonts w:hint="eastAsia" w:ascii="仿宋_GB2312" w:hAnsi="仿宋_GB2312" w:eastAsia="仿宋_GB2312" w:cs="仿宋_GB2312"/>
          <w:color w:val="auto"/>
          <w:spacing w:val="0"/>
          <w:w w:val="100"/>
          <w:sz w:val="32"/>
          <w:szCs w:val="32"/>
        </w:rPr>
        <w:t>。</w:t>
      </w:r>
      <w:r>
        <w:rPr>
          <w:rFonts w:hint="eastAsia" w:ascii="仿宋_GB2312" w:hAnsi="仿宋_GB2312" w:eastAsia="仿宋_GB2312" w:cs="仿宋_GB2312"/>
          <w:b/>
          <w:bCs/>
          <w:color w:val="auto"/>
          <w:spacing w:val="0"/>
          <w:w w:val="100"/>
          <w:sz w:val="32"/>
          <w:szCs w:val="32"/>
          <w:lang w:val="en-US" w:eastAsia="zh-CN"/>
        </w:rPr>
        <w:t>区</w:t>
      </w:r>
      <w:r>
        <w:rPr>
          <w:rFonts w:hint="eastAsia" w:ascii="仿宋_GB2312" w:hAnsi="仿宋_GB2312" w:eastAsia="仿宋_GB2312" w:cs="仿宋_GB2312"/>
          <w:b/>
          <w:bCs/>
          <w:color w:val="auto"/>
          <w:spacing w:val="0"/>
          <w:w w:val="100"/>
          <w:sz w:val="32"/>
          <w:szCs w:val="32"/>
        </w:rPr>
        <w:t>教育局、民政局和卫健委</w:t>
      </w:r>
      <w:r>
        <w:rPr>
          <w:rFonts w:hint="eastAsia" w:ascii="仿宋_GB2312" w:hAnsi="仿宋_GB2312" w:eastAsia="仿宋_GB2312" w:cs="仿宋_GB2312"/>
          <w:color w:val="auto"/>
          <w:spacing w:val="0"/>
          <w:w w:val="100"/>
          <w:sz w:val="32"/>
          <w:szCs w:val="32"/>
        </w:rPr>
        <w:t>分别负责对教育机构、养老院和医疗诊所</w:t>
      </w:r>
      <w:r>
        <w:rPr>
          <w:rFonts w:hint="eastAsia" w:ascii="仿宋_GB2312" w:hAnsi="仿宋_GB2312" w:eastAsia="仿宋_GB2312" w:cs="仿宋_GB2312"/>
          <w:color w:val="auto"/>
          <w:spacing w:val="0"/>
          <w:w w:val="100"/>
          <w:sz w:val="32"/>
          <w:szCs w:val="32"/>
          <w:lang w:eastAsia="zh-CN"/>
        </w:rPr>
        <w:t>等分管行业的</w:t>
      </w:r>
      <w:r>
        <w:rPr>
          <w:rFonts w:hint="eastAsia" w:ascii="仿宋_GB2312" w:hAnsi="仿宋_GB2312" w:eastAsia="仿宋_GB2312" w:cs="仿宋_GB2312"/>
          <w:color w:val="auto"/>
          <w:spacing w:val="0"/>
          <w:w w:val="100"/>
          <w:sz w:val="32"/>
          <w:szCs w:val="32"/>
        </w:rPr>
        <w:t>散煤治理情况开展专项</w:t>
      </w:r>
      <w:r>
        <w:rPr>
          <w:rFonts w:hint="eastAsia" w:ascii="仿宋_GB2312" w:hAnsi="仿宋_GB2312" w:eastAsia="仿宋_GB2312" w:cs="仿宋_GB2312"/>
          <w:color w:val="auto"/>
          <w:spacing w:val="0"/>
          <w:w w:val="100"/>
          <w:sz w:val="32"/>
          <w:szCs w:val="32"/>
          <w:lang w:eastAsia="zh-CN"/>
        </w:rPr>
        <w:t>巡查</w:t>
      </w:r>
      <w:r>
        <w:rPr>
          <w:rFonts w:hint="eastAsia" w:ascii="仿宋_GB2312" w:hAnsi="仿宋_GB2312" w:eastAsia="仿宋_GB2312" w:cs="仿宋_GB2312"/>
          <w:color w:val="auto"/>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b w:val="0"/>
          <w:bCs w:val="0"/>
          <w:spacing w:val="0"/>
          <w:sz w:val="32"/>
          <w:szCs w:val="32"/>
          <w:highlight w:val="none"/>
          <w:lang w:val="en" w:eastAsia="zh-CN"/>
        </w:rPr>
        <w:t>（二）加强属地监管。</w:t>
      </w:r>
      <w:r>
        <w:rPr>
          <w:rFonts w:hint="eastAsia" w:ascii="仿宋_GB2312" w:hAnsi="仿宋_GB2312" w:eastAsia="仿宋_GB2312" w:cs="仿宋_GB2312"/>
          <w:spacing w:val="0"/>
          <w:sz w:val="32"/>
          <w:szCs w:val="32"/>
          <w:highlight w:val="none"/>
        </w:rPr>
        <w:t>按照党政同责抓环保的要求，各</w:t>
      </w:r>
      <w:r>
        <w:rPr>
          <w:rFonts w:hint="eastAsia" w:ascii="仿宋_GB2312" w:hAnsi="仿宋_GB2312" w:eastAsia="仿宋_GB2312" w:cs="仿宋_GB2312"/>
          <w:spacing w:val="0"/>
          <w:sz w:val="32"/>
          <w:szCs w:val="32"/>
          <w:highlight w:val="none"/>
          <w:lang w:eastAsia="zh-CN"/>
        </w:rPr>
        <w:t>乡镇（街道</w:t>
      </w:r>
      <w:r>
        <w:rPr>
          <w:rFonts w:hint="eastAsia" w:ascii="仿宋_GB2312" w:hAnsi="仿宋_GB2312" w:eastAsia="仿宋_GB2312" w:cs="仿宋_GB2312"/>
          <w:color w:val="auto"/>
          <w:spacing w:val="0"/>
          <w:sz w:val="32"/>
          <w:szCs w:val="32"/>
          <w:highlight w:val="none"/>
          <w:lang w:eastAsia="zh-CN"/>
        </w:rPr>
        <w:t>）、区直相关部门要全面落实</w:t>
      </w:r>
      <w:r>
        <w:rPr>
          <w:rFonts w:hint="eastAsia" w:ascii="仿宋_GB2312" w:hAnsi="仿宋_GB2312" w:eastAsia="仿宋_GB2312" w:cs="仿宋_GB2312"/>
          <w:color w:val="auto"/>
          <w:spacing w:val="0"/>
          <w:sz w:val="32"/>
          <w:szCs w:val="32"/>
          <w:highlight w:val="none"/>
        </w:rPr>
        <w:t>本地</w:t>
      </w:r>
      <w:r>
        <w:rPr>
          <w:rFonts w:hint="eastAsia" w:ascii="仿宋_GB2312" w:hAnsi="仿宋_GB2312" w:eastAsia="仿宋_GB2312" w:cs="仿宋_GB2312"/>
          <w:color w:val="auto"/>
          <w:spacing w:val="0"/>
          <w:sz w:val="32"/>
          <w:szCs w:val="32"/>
          <w:highlight w:val="none"/>
          <w:lang w:eastAsia="zh-CN"/>
        </w:rPr>
        <w:t>、本行</w:t>
      </w:r>
      <w:r>
        <w:rPr>
          <w:rFonts w:hint="eastAsia" w:ascii="仿宋_GB2312" w:hAnsi="仿宋_GB2312" w:eastAsia="仿宋_GB2312" w:cs="仿宋_GB2312"/>
          <w:spacing w:val="0"/>
          <w:sz w:val="32"/>
          <w:szCs w:val="32"/>
          <w:highlight w:val="none"/>
          <w:lang w:eastAsia="zh-CN"/>
        </w:rPr>
        <w:t>业</w:t>
      </w:r>
      <w:r>
        <w:rPr>
          <w:rFonts w:hint="eastAsia" w:ascii="仿宋_GB2312" w:hAnsi="仿宋_GB2312" w:eastAsia="仿宋_GB2312" w:cs="仿宋_GB2312"/>
          <w:spacing w:val="0"/>
          <w:sz w:val="32"/>
          <w:szCs w:val="32"/>
          <w:highlight w:val="none"/>
        </w:rPr>
        <w:t>燃煤散烧治理工作。村（社区）“两</w:t>
      </w:r>
      <w:r>
        <w:rPr>
          <w:rFonts w:hint="eastAsia" w:ascii="仿宋_GB2312" w:hAnsi="仿宋_GB2312" w:eastAsia="仿宋_GB2312" w:cs="仿宋_GB2312"/>
          <w:color w:val="auto"/>
          <w:spacing w:val="0"/>
          <w:sz w:val="32"/>
          <w:szCs w:val="32"/>
          <w:highlight w:val="none"/>
        </w:rPr>
        <w:t>委”等基层组织要切实担负起本辖区居民群众生活用煤的监督管理责任，要全面掌握本区域内居民生活用煤使用情况，</w:t>
      </w:r>
      <w:r>
        <w:rPr>
          <w:rFonts w:hint="eastAsia" w:ascii="仿宋_GB2312" w:hAnsi="仿宋_GB2312" w:eastAsia="仿宋_GB2312" w:cs="仿宋_GB2312"/>
          <w:color w:val="auto"/>
          <w:spacing w:val="0"/>
          <w:sz w:val="32"/>
          <w:szCs w:val="32"/>
          <w:highlight w:val="none"/>
          <w:lang w:eastAsia="zh-CN"/>
        </w:rPr>
        <w:t>加大入户排查力度和频次，对发现的储存使用燃煤、储存炉具、生产加工销售燃煤问题及时联络执法人员进行有效处置，确保发现的问题切实整改不反弹</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eastAsia="zh-CN"/>
        </w:rPr>
        <w:t>与外地市有交界的</w:t>
      </w:r>
      <w:r>
        <w:rPr>
          <w:rFonts w:hint="eastAsia" w:ascii="仿宋_GB2312" w:hAnsi="仿宋_GB2312" w:eastAsia="仿宋_GB2312" w:cs="仿宋_GB2312"/>
          <w:color w:val="auto"/>
          <w:spacing w:val="0"/>
          <w:sz w:val="32"/>
          <w:szCs w:val="32"/>
          <w:highlight w:val="none"/>
          <w:lang w:val="en-US" w:eastAsia="zh-CN"/>
        </w:rPr>
        <w:t>乡镇（街道）</w:t>
      </w:r>
      <w:r>
        <w:rPr>
          <w:rFonts w:hint="eastAsia" w:ascii="仿宋_GB2312" w:hAnsi="仿宋_GB2312" w:eastAsia="仿宋_GB2312" w:cs="仿宋_GB2312"/>
          <w:color w:val="auto"/>
          <w:spacing w:val="0"/>
          <w:sz w:val="32"/>
          <w:szCs w:val="32"/>
          <w:highlight w:val="none"/>
          <w:lang w:eastAsia="zh-CN"/>
        </w:rPr>
        <w:t>要采取“走出去、请进来”的方式，要</w:t>
      </w:r>
      <w:r>
        <w:rPr>
          <w:rFonts w:hint="eastAsia" w:ascii="仿宋_GB2312" w:hAnsi="仿宋_GB2312" w:eastAsia="仿宋_GB2312" w:cs="仿宋_GB2312"/>
          <w:color w:val="auto"/>
          <w:spacing w:val="0"/>
          <w:sz w:val="32"/>
          <w:szCs w:val="32"/>
          <w:highlight w:val="none"/>
          <w:lang w:val="en-US" w:eastAsia="zh-CN"/>
        </w:rPr>
        <w:t>加强与相邻的乡镇（街道）、执法单位主动对接，开展跨区域</w:t>
      </w:r>
      <w:bookmarkStart w:id="1" w:name="_GoBack"/>
      <w:r>
        <w:rPr>
          <w:rFonts w:hint="eastAsia" w:ascii="仿宋_GB2312" w:hAnsi="仿宋_GB2312" w:eastAsia="仿宋_GB2312" w:cs="仿宋_GB2312"/>
          <w:color w:val="auto"/>
          <w:spacing w:val="0"/>
          <w:sz w:val="32"/>
          <w:szCs w:val="32"/>
          <w:highlight w:val="none"/>
          <w:lang w:val="en-US" w:eastAsia="zh-CN"/>
        </w:rPr>
        <w:t>联合巡查</w:t>
      </w:r>
      <w:r>
        <w:rPr>
          <w:rFonts w:hint="eastAsia" w:ascii="仿宋_GB2312" w:hAnsi="仿宋_GB2312" w:eastAsia="仿宋_GB2312" w:cs="仿宋_GB2312"/>
          <w:color w:val="FF0000"/>
          <w:spacing w:val="0"/>
          <w:sz w:val="32"/>
          <w:szCs w:val="32"/>
          <w:highlight w:val="none"/>
          <w:lang w:val="en-US" w:eastAsia="zh-CN"/>
        </w:rPr>
        <w:t>、协助</w:t>
      </w:r>
      <w:r>
        <w:rPr>
          <w:rFonts w:hint="eastAsia" w:ascii="仿宋_GB2312" w:hAnsi="仿宋_GB2312" w:eastAsia="仿宋_GB2312" w:cs="仿宋_GB2312"/>
          <w:color w:val="auto"/>
          <w:spacing w:val="0"/>
          <w:sz w:val="32"/>
          <w:szCs w:val="32"/>
          <w:highlight w:val="none"/>
          <w:lang w:val="en-US" w:eastAsia="zh-CN"/>
        </w:rPr>
        <w:t>执法</w:t>
      </w:r>
      <w:bookmarkEnd w:id="1"/>
      <w:r>
        <w:rPr>
          <w:rFonts w:hint="eastAsia" w:ascii="仿宋_GB2312" w:hAnsi="仿宋_GB2312" w:eastAsia="仿宋_GB2312" w:cs="仿宋_GB2312"/>
          <w:color w:val="auto"/>
          <w:spacing w:val="0"/>
          <w:sz w:val="32"/>
          <w:szCs w:val="32"/>
          <w:highlight w:val="none"/>
          <w:lang w:val="en-US" w:eastAsia="zh-CN"/>
        </w:rPr>
        <w:t>，实现信息适时共享，查处结果及时通报。</w:t>
      </w:r>
      <w:r>
        <w:rPr>
          <w:rFonts w:hint="eastAsia" w:ascii="仿宋_GB2312" w:hAnsi="仿宋_GB2312" w:eastAsia="仿宋_GB2312" w:cs="仿宋_GB2312"/>
          <w:color w:val="auto"/>
          <w:spacing w:val="0"/>
          <w:sz w:val="32"/>
          <w:szCs w:val="32"/>
          <w:lang w:val="en-US" w:eastAsia="zh-CN"/>
        </w:rPr>
        <w:t>针对网络销售等新形式，加强网络监测和线索排查，斩断</w:t>
      </w:r>
      <w:r>
        <w:rPr>
          <w:rFonts w:hint="eastAsia" w:ascii="仿宋_GB2312" w:hAnsi="仿宋_GB2312" w:eastAsia="仿宋_GB2312" w:cs="仿宋_GB2312"/>
          <w:spacing w:val="0"/>
          <w:sz w:val="32"/>
          <w:szCs w:val="32"/>
          <w:lang w:val="en-US" w:eastAsia="zh-CN"/>
        </w:rPr>
        <w:t>销售链条，依法</w:t>
      </w:r>
      <w:r>
        <w:rPr>
          <w:rFonts w:hint="eastAsia" w:ascii="仿宋_GB2312" w:hAnsi="仿宋_GB2312" w:eastAsia="仿宋_GB2312" w:cs="仿宋_GB2312"/>
          <w:color w:val="FF0000"/>
          <w:spacing w:val="0"/>
          <w:sz w:val="32"/>
          <w:szCs w:val="32"/>
          <w:highlight w:val="none"/>
          <w:lang w:val="en-US" w:eastAsia="zh-CN"/>
        </w:rPr>
        <w:t>处置、</w:t>
      </w:r>
      <w:r>
        <w:rPr>
          <w:rFonts w:hint="eastAsia" w:ascii="仿宋_GB2312" w:hAnsi="仿宋_GB2312" w:eastAsia="仿宋_GB2312" w:cs="仿宋_GB2312"/>
          <w:spacing w:val="0"/>
          <w:sz w:val="32"/>
          <w:szCs w:val="32"/>
          <w:lang w:val="en-US" w:eastAsia="zh-CN"/>
        </w:rPr>
        <w:t>查处违法违规销售燃煤行为，做到动态清零。</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b w:val="0"/>
          <w:bCs w:val="0"/>
          <w:sz w:val="32"/>
          <w:szCs w:val="32"/>
          <w:lang w:val="en" w:eastAsia="zh-CN"/>
        </w:rPr>
        <w:t>（三）加大宣传力度。</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乡镇（街道）、区直相关部门</w:t>
      </w:r>
      <w:r>
        <w:rPr>
          <w:rFonts w:hint="eastAsia" w:ascii="仿宋_GB2312" w:hAnsi="仿宋_GB2312" w:eastAsia="仿宋_GB2312" w:cs="仿宋_GB2312"/>
          <w:sz w:val="32"/>
          <w:szCs w:val="32"/>
        </w:rPr>
        <w:t>要加大</w:t>
      </w:r>
      <w:r>
        <w:rPr>
          <w:rFonts w:hint="eastAsia" w:ascii="仿宋_GB2312" w:hAnsi="仿宋_GB2312" w:eastAsia="仿宋_GB2312" w:cs="仿宋_GB2312"/>
          <w:sz w:val="32"/>
          <w:szCs w:val="32"/>
          <w:lang w:eastAsia="zh-CN"/>
        </w:rPr>
        <w:t>宣传力度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标语、横幅、宣传资料、宣传栏、版面、大喇叭广播等多种有效方式，广泛宣传</w:t>
      </w:r>
      <w:r>
        <w:rPr>
          <w:rFonts w:hint="eastAsia" w:ascii="仿宋_GB2312" w:hAnsi="仿宋_GB2312" w:eastAsia="仿宋_GB2312" w:cs="仿宋_GB2312"/>
          <w:sz w:val="32"/>
          <w:szCs w:val="32"/>
          <w:lang w:eastAsia="zh-CN"/>
        </w:rPr>
        <w:t>燃煤散烧</w:t>
      </w:r>
      <w:r>
        <w:rPr>
          <w:rFonts w:hint="eastAsia" w:ascii="仿宋_GB2312" w:hAnsi="仿宋_GB2312" w:eastAsia="仿宋_GB2312" w:cs="仿宋_GB2312"/>
          <w:sz w:val="32"/>
          <w:szCs w:val="32"/>
        </w:rPr>
        <w:t>治理工作各项政策，做到家喻户晓。</w:t>
      </w:r>
      <w:r>
        <w:rPr>
          <w:rFonts w:hint="eastAsia" w:ascii="仿宋_GB2312" w:hAnsi="仿宋_GB2312" w:eastAsia="仿宋_GB2312" w:cs="仿宋_GB2312"/>
          <w:color w:val="auto"/>
          <w:sz w:val="32"/>
          <w:szCs w:val="32"/>
        </w:rPr>
        <w:t>要密切关注</w:t>
      </w:r>
      <w:r>
        <w:rPr>
          <w:rFonts w:hint="eastAsia" w:ascii="仿宋_GB2312" w:hAnsi="仿宋_GB2312" w:eastAsia="仿宋_GB2312" w:cs="仿宋_GB2312"/>
          <w:color w:val="auto"/>
          <w:sz w:val="32"/>
          <w:szCs w:val="32"/>
          <w:lang w:eastAsia="zh-CN"/>
        </w:rPr>
        <w:t>燃煤散烧</w:t>
      </w:r>
      <w:r>
        <w:rPr>
          <w:rFonts w:hint="eastAsia" w:ascii="仿宋_GB2312" w:hAnsi="仿宋_GB2312" w:eastAsia="仿宋_GB2312" w:cs="仿宋_GB2312"/>
          <w:color w:val="auto"/>
          <w:sz w:val="32"/>
          <w:szCs w:val="32"/>
        </w:rPr>
        <w:t>治理相关舆情信息，</w:t>
      </w:r>
      <w:r>
        <w:rPr>
          <w:rFonts w:hint="eastAsia" w:ascii="仿宋_GB2312" w:hAnsi="仿宋_GB2312" w:eastAsia="仿宋_GB2312" w:cs="仿宋_GB2312"/>
          <w:color w:val="FF0000"/>
          <w:sz w:val="32"/>
          <w:szCs w:val="32"/>
          <w:lang w:eastAsia="zh-CN"/>
        </w:rPr>
        <w:t>及时妥善处置化解有关舆情</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sz w:val="32"/>
          <w:szCs w:val="32"/>
          <w:lang w:eastAsia="zh-CN"/>
        </w:rPr>
        <w:t>宣传工作开展情况及时通过微信工作群进行反馈。</w:t>
      </w:r>
    </w:p>
    <w:p>
      <w:pPr>
        <w:keepNext w:val="0"/>
        <w:keepLines w:val="0"/>
        <w:pageBreakBefore w:val="0"/>
        <w:widowControl w:val="0"/>
        <w:kinsoku/>
        <w:wordWrap/>
        <w:overflowPunct/>
        <w:topLinePunct w:val="0"/>
        <w:autoSpaceDE/>
        <w:autoSpaceDN/>
        <w:bidi w:val="0"/>
        <w:adjustRightInd/>
        <w:snapToGrid/>
        <w:spacing w:line="550" w:lineRule="exact"/>
        <w:ind w:left="0" w:right="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b w:val="0"/>
          <w:bCs w:val="0"/>
          <w:sz w:val="32"/>
          <w:szCs w:val="32"/>
          <w:lang w:val="en" w:eastAsia="zh-CN"/>
        </w:rPr>
        <w:t>（四）严格执纪问责。</w:t>
      </w:r>
      <w:r>
        <w:rPr>
          <w:rFonts w:hint="eastAsia" w:ascii="仿宋_GB2312" w:hAnsi="仿宋_GB2312" w:eastAsia="仿宋_GB2312" w:cs="仿宋_GB2312"/>
          <w:b w:val="0"/>
          <w:bCs w:val="0"/>
          <w:sz w:val="32"/>
          <w:szCs w:val="32"/>
          <w:lang w:eastAsia="zh-CN"/>
        </w:rPr>
        <w:t>要</w:t>
      </w:r>
      <w:r>
        <w:rPr>
          <w:rFonts w:hint="eastAsia" w:ascii="仿宋_GB2312" w:hAnsi="仿宋_GB2312" w:eastAsia="仿宋_GB2312" w:cs="仿宋_GB2312"/>
          <w:sz w:val="32"/>
          <w:szCs w:val="32"/>
        </w:rPr>
        <w:t>加强对核心区域、重点地区及工作薄弱乡镇（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）、村（社区）的暗访频次，发现问题</w:t>
      </w:r>
      <w:r>
        <w:rPr>
          <w:rFonts w:hint="eastAsia" w:ascii="仿宋_GB2312" w:hAnsi="仿宋_GB2312" w:eastAsia="仿宋_GB2312" w:cs="仿宋_GB2312"/>
          <w:sz w:val="32"/>
          <w:szCs w:val="32"/>
          <w:lang w:eastAsia="zh-CN"/>
        </w:rPr>
        <w:t>及时按规定处置</w:t>
      </w:r>
      <w:r>
        <w:rPr>
          <w:rFonts w:hint="eastAsia" w:ascii="仿宋_GB2312" w:hAnsi="仿宋_GB2312" w:eastAsia="仿宋_GB2312" w:cs="仿宋_GB2312"/>
          <w:sz w:val="32"/>
          <w:szCs w:val="32"/>
        </w:rPr>
        <w:t>。各成员单位</w:t>
      </w:r>
      <w:r>
        <w:rPr>
          <w:rFonts w:hint="eastAsia" w:ascii="仿宋_GB2312" w:hAnsi="仿宋_GB2312" w:eastAsia="仿宋_GB2312" w:cs="仿宋_GB2312"/>
          <w:sz w:val="32"/>
          <w:szCs w:val="32"/>
          <w:lang w:eastAsia="zh-CN"/>
        </w:rPr>
        <w:t>要进一步调整</w:t>
      </w:r>
      <w:r>
        <w:rPr>
          <w:rFonts w:hint="eastAsia" w:ascii="仿宋_GB2312" w:hAnsi="仿宋_GB2312" w:eastAsia="仿宋_GB2312" w:cs="仿宋_GB2312"/>
          <w:sz w:val="32"/>
          <w:szCs w:val="32"/>
        </w:rPr>
        <w:t>充实</w:t>
      </w:r>
      <w:r>
        <w:rPr>
          <w:rFonts w:hint="eastAsia" w:ascii="仿宋_GB2312" w:hAnsi="仿宋_GB2312" w:eastAsia="仿宋_GB2312" w:cs="仿宋_GB2312"/>
          <w:sz w:val="32"/>
          <w:szCs w:val="32"/>
          <w:lang w:eastAsia="zh-CN"/>
        </w:rPr>
        <w:t>工作人员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深入管辖行业，开展督导督查工作，确保</w:t>
      </w:r>
      <w:r>
        <w:rPr>
          <w:rFonts w:hint="eastAsia" w:ascii="仿宋_GB2312" w:hAnsi="仿宋_GB2312" w:eastAsia="仿宋_GB2312" w:cs="仿宋_GB2312"/>
          <w:sz w:val="32"/>
          <w:szCs w:val="32"/>
        </w:rPr>
        <w:t>本行业</w:t>
      </w:r>
      <w:r>
        <w:rPr>
          <w:rFonts w:hint="eastAsia" w:ascii="仿宋_GB2312" w:hAnsi="仿宋_GB2312" w:eastAsia="仿宋_GB2312" w:cs="仿宋_GB2312"/>
          <w:sz w:val="32"/>
          <w:szCs w:val="32"/>
          <w:lang w:eastAsia="zh-CN"/>
        </w:rPr>
        <w:t>不出现</w:t>
      </w:r>
      <w:r>
        <w:rPr>
          <w:rFonts w:hint="eastAsia" w:ascii="仿宋_GB2312" w:hAnsi="仿宋_GB2312" w:eastAsia="仿宋_GB2312" w:cs="仿宋_GB2312"/>
          <w:sz w:val="32"/>
          <w:szCs w:val="32"/>
        </w:rPr>
        <w:t>散煤治理</w:t>
      </w:r>
      <w:r>
        <w:rPr>
          <w:rFonts w:hint="eastAsia" w:ascii="仿宋_GB2312" w:hAnsi="仿宋_GB2312" w:eastAsia="仿宋_GB2312" w:cs="仿宋_GB2312"/>
          <w:sz w:val="32"/>
          <w:szCs w:val="32"/>
          <w:lang w:eastAsia="zh-CN"/>
        </w:rPr>
        <w:t>方面的问题</w:t>
      </w:r>
      <w:r>
        <w:rPr>
          <w:rFonts w:hint="eastAsia" w:ascii="仿宋_GB2312" w:hAnsi="仿宋_GB2312" w:eastAsia="仿宋_GB2312" w:cs="仿宋_GB2312"/>
          <w:sz w:val="32"/>
          <w:szCs w:val="32"/>
        </w:rPr>
        <w:t>。对发现问题严重、较多、频发的</w:t>
      </w:r>
      <w:r>
        <w:rPr>
          <w:rFonts w:hint="eastAsia" w:ascii="仿宋_GB2312" w:hAnsi="仿宋_GB2312" w:eastAsia="仿宋_GB2312" w:cs="仿宋_GB2312"/>
          <w:sz w:val="32"/>
          <w:szCs w:val="32"/>
          <w:lang w:eastAsia="zh-CN"/>
        </w:rPr>
        <w:t>地方</w:t>
      </w:r>
      <w:r>
        <w:rPr>
          <w:rFonts w:hint="eastAsia" w:ascii="仿宋_GB2312" w:hAnsi="仿宋_GB2312" w:eastAsia="仿宋_GB2312" w:cs="仿宋_GB2312"/>
          <w:sz w:val="32"/>
          <w:szCs w:val="32"/>
        </w:rPr>
        <w:t>实施约谈指导、驻点帮扶，按有关要求将相关工作情况记录于当地政府年度生态环境考核中</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严格执行《</w:t>
      </w:r>
      <w:r>
        <w:rPr>
          <w:rFonts w:hint="eastAsia" w:ascii="仿宋_GB2312" w:hAnsi="仿宋_GB2312" w:eastAsia="仿宋_GB2312" w:cs="仿宋_GB2312"/>
          <w:sz w:val="32"/>
          <w:szCs w:val="32"/>
          <w:lang w:eastAsia="zh-CN"/>
        </w:rPr>
        <w:t>安阳</w:t>
      </w:r>
      <w:r>
        <w:rPr>
          <w:rFonts w:hint="eastAsia" w:ascii="仿宋_GB2312" w:hAnsi="仿宋_GB2312" w:eastAsia="仿宋_GB2312" w:cs="仿宋_GB2312"/>
          <w:sz w:val="32"/>
          <w:szCs w:val="32"/>
        </w:rPr>
        <w:t>市散煤污染治理工作问责办法》，对责任不落实、措施不力</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责任追究</w:t>
      </w:r>
      <w:r>
        <w:rPr>
          <w:rFonts w:hint="eastAsia" w:ascii="仿宋_GB2312" w:hAnsi="仿宋_GB2312" w:eastAsia="仿宋_GB2312" w:cs="仿宋_GB2312"/>
          <w:sz w:val="32"/>
          <w:szCs w:val="32"/>
          <w:lang w:eastAsia="zh-CN"/>
        </w:rPr>
        <w:t>并在全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进行通报。</w:t>
      </w:r>
    </w:p>
    <w:p>
      <w:pPr>
        <w:pStyle w:val="3"/>
        <w:keepNext w:val="0"/>
        <w:keepLines w:val="0"/>
        <w:pageBreakBefore w:val="0"/>
        <w:widowControl w:val="0"/>
        <w:kinsoku/>
        <w:wordWrap/>
        <w:overflowPunct/>
        <w:topLinePunct w:val="0"/>
        <w:autoSpaceDE/>
        <w:autoSpaceDN/>
        <w:bidi w:val="0"/>
        <w:adjustRightInd/>
        <w:snapToGrid/>
        <w:spacing w:after="0" w:line="550" w:lineRule="exact"/>
        <w:ind w:left="0" w:right="0" w:firstLine="640" w:firstLineChars="200"/>
        <w:jc w:val="both"/>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kern w:val="2"/>
          <w:sz w:val="32"/>
          <w:szCs w:val="32"/>
          <w:lang w:val="en" w:eastAsia="zh-CN" w:bidi="ar-SA"/>
        </w:rPr>
        <w:t>（五）加强信息报送。</w:t>
      </w:r>
      <w:r>
        <w:rPr>
          <w:rFonts w:hint="eastAsia" w:ascii="仿宋_GB2312" w:hAnsi="仿宋_GB2312" w:eastAsia="仿宋_GB2312" w:cs="仿宋_GB2312"/>
          <w:b w:val="0"/>
          <w:bCs w:val="0"/>
          <w:sz w:val="32"/>
          <w:szCs w:val="32"/>
          <w:lang w:val="en-US" w:eastAsia="zh-CN"/>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b w:val="0"/>
          <w:bCs w:val="0"/>
          <w:sz w:val="32"/>
          <w:szCs w:val="32"/>
          <w:lang w:val="en-US" w:eastAsia="zh-CN"/>
        </w:rPr>
        <w:t>、各成员单位要根据区散煤治理推进专班的要求，通过信息简报、工作微信群等形式及时报送工作信息、日常工作动态。区散煤治理推进专班对履职尽责、工作开拓创新、成效突出的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b w:val="0"/>
          <w:bCs w:val="0"/>
          <w:sz w:val="32"/>
          <w:szCs w:val="32"/>
          <w:lang w:val="en-US" w:eastAsia="zh-CN"/>
        </w:rPr>
        <w:t>和成员单位，通过编发简报等方式推广其经验做法，对工作失职、问题突出的单位，进行通报批评，通过典型引路、鞭策后进等多种有效方式，在全区形成奋勇争先、百舸争流的良好格局，全面实现散煤治理动态“双清零”的工作目标</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b w:val="0"/>
          <w:bCs w:val="0"/>
          <w:sz w:val="32"/>
          <w:szCs w:val="32"/>
          <w:lang w:val="en-US" w:eastAsia="zh-CN"/>
        </w:rPr>
        <w:t>、各成员单位将本单位</w:t>
      </w:r>
      <w:r>
        <w:rPr>
          <w:rFonts w:hint="eastAsia" w:ascii="仿宋_GB2312" w:hAnsi="仿宋_GB2312" w:eastAsia="仿宋_GB2312" w:cs="仿宋_GB2312"/>
          <w:b w:val="0"/>
          <w:bCs w:val="0"/>
          <w:sz w:val="32"/>
          <w:szCs w:val="32"/>
          <w:lang w:val="en" w:eastAsia="zh-CN"/>
        </w:rPr>
        <w:t>202</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lang w:val="en" w:eastAsia="zh-CN"/>
        </w:rPr>
        <w:t>年燃煤散烧治理工作方案于</w:t>
      </w:r>
      <w:r>
        <w:rPr>
          <w:rFonts w:hint="eastAsia" w:ascii="仿宋_GB2312" w:hAnsi="仿宋_GB2312" w:eastAsia="仿宋_GB2312" w:cs="仿宋_GB2312"/>
          <w:b w:val="0"/>
          <w:bCs w:val="0"/>
          <w:sz w:val="32"/>
          <w:szCs w:val="32"/>
          <w:lang w:val="en-US" w:eastAsia="zh-CN"/>
        </w:rPr>
        <w:t>5月9日（星期六）前上报区散煤治理推进专班。如遇</w:t>
      </w:r>
      <w:r>
        <w:rPr>
          <w:rFonts w:hint="eastAsia" w:ascii="仿宋_GB2312" w:hAnsi="仿宋_GB2312" w:eastAsia="仿宋_GB2312" w:cs="仿宋_GB2312"/>
          <w:b w:val="0"/>
          <w:bCs w:val="0"/>
          <w:sz w:val="32"/>
          <w:szCs w:val="32"/>
        </w:rPr>
        <w:t>重大事项和重大问题，</w:t>
      </w:r>
      <w:r>
        <w:rPr>
          <w:rFonts w:hint="eastAsia" w:ascii="仿宋_GB2312" w:hAnsi="仿宋_GB2312" w:eastAsia="仿宋_GB2312" w:cs="仿宋_GB2312"/>
          <w:b w:val="0"/>
          <w:bCs w:val="0"/>
          <w:sz w:val="32"/>
          <w:szCs w:val="32"/>
          <w:lang w:eastAsia="zh-CN"/>
        </w:rPr>
        <w:t>请</w:t>
      </w:r>
      <w:r>
        <w:rPr>
          <w:rFonts w:hint="eastAsia" w:ascii="仿宋_GB2312" w:hAnsi="仿宋_GB2312" w:eastAsia="仿宋_GB2312" w:cs="仿宋_GB2312"/>
          <w:b w:val="0"/>
          <w:bCs w:val="0"/>
          <w:sz w:val="32"/>
          <w:szCs w:val="32"/>
        </w:rPr>
        <w:t>及时向</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散煤治理推进专班</w:t>
      </w:r>
      <w:r>
        <w:rPr>
          <w:rFonts w:hint="eastAsia" w:ascii="仿宋_GB2312" w:hAnsi="仿宋_GB2312" w:eastAsia="仿宋_GB2312" w:cs="仿宋_GB2312"/>
          <w:b w:val="0"/>
          <w:bCs w:val="0"/>
          <w:sz w:val="32"/>
          <w:szCs w:val="32"/>
        </w:rPr>
        <w:t>和</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委、</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政府报告。</w:t>
      </w:r>
    </w:p>
    <w:p>
      <w:pPr>
        <w:pStyle w:val="3"/>
        <w:keepNext w:val="0"/>
        <w:keepLines w:val="0"/>
        <w:pageBreakBefore w:val="0"/>
        <w:widowControl w:val="0"/>
        <w:kinsoku/>
        <w:wordWrap/>
        <w:overflowPunct/>
        <w:topLinePunct w:val="0"/>
        <w:autoSpaceDE/>
        <w:autoSpaceDN/>
        <w:bidi w:val="0"/>
        <w:adjustRightInd/>
        <w:snapToGrid/>
        <w:spacing w:after="0" w:line="550" w:lineRule="exact"/>
        <w:ind w:left="0" w:right="0" w:firstLine="640" w:firstLineChars="200"/>
        <w:jc w:val="both"/>
        <w:rPr>
          <w:rFonts w:hint="default" w:ascii="仿宋_GB2312" w:hAnsi="仿宋_GB2312" w:eastAsia="仿宋_GB2312" w:cs="仿宋_GB2312"/>
          <w:color w:val="auto"/>
          <w:spacing w:val="0"/>
          <w:w w:val="100"/>
          <w:sz w:val="32"/>
          <w:szCs w:val="32"/>
          <w:lang w:val="en-US" w:eastAsia="zh-CN"/>
        </w:rPr>
      </w:pPr>
      <w:r>
        <w:rPr>
          <w:rFonts w:hint="default" w:ascii="仿宋_GB2312" w:hAnsi="仿宋_GB2312" w:eastAsia="仿宋_GB2312" w:cs="仿宋_GB2312"/>
          <w:color w:val="auto"/>
          <w:spacing w:val="0"/>
          <w:w w:val="100"/>
          <w:sz w:val="32"/>
          <w:szCs w:val="32"/>
          <w:lang w:val="en" w:eastAsia="zh-CN"/>
        </w:rPr>
        <w:t>联</w:t>
      </w:r>
      <w:r>
        <w:rPr>
          <w:rFonts w:hint="eastAsia" w:ascii="仿宋_GB2312" w:hAnsi="仿宋_GB2312" w:eastAsia="仿宋_GB2312" w:cs="仿宋_GB2312"/>
          <w:color w:val="auto"/>
          <w:spacing w:val="0"/>
          <w:w w:val="100"/>
          <w:sz w:val="32"/>
          <w:szCs w:val="32"/>
          <w:lang w:val="en-US" w:eastAsia="zh-CN"/>
        </w:rPr>
        <w:t xml:space="preserve"> </w:t>
      </w:r>
      <w:r>
        <w:rPr>
          <w:rFonts w:hint="default" w:ascii="仿宋_GB2312" w:hAnsi="仿宋_GB2312" w:eastAsia="仿宋_GB2312" w:cs="仿宋_GB2312"/>
          <w:color w:val="auto"/>
          <w:spacing w:val="0"/>
          <w:w w:val="100"/>
          <w:sz w:val="32"/>
          <w:szCs w:val="32"/>
          <w:lang w:val="en" w:eastAsia="zh-CN"/>
        </w:rPr>
        <w:t>系</w:t>
      </w:r>
      <w:r>
        <w:rPr>
          <w:rFonts w:hint="eastAsia" w:ascii="仿宋_GB2312" w:hAnsi="仿宋_GB2312" w:eastAsia="仿宋_GB2312" w:cs="仿宋_GB2312"/>
          <w:color w:val="auto"/>
          <w:spacing w:val="0"/>
          <w:w w:val="100"/>
          <w:sz w:val="32"/>
          <w:szCs w:val="32"/>
          <w:lang w:val="en-US" w:eastAsia="zh-CN"/>
        </w:rPr>
        <w:t xml:space="preserve"> </w:t>
      </w:r>
      <w:r>
        <w:rPr>
          <w:rFonts w:hint="default" w:ascii="仿宋_GB2312" w:hAnsi="仿宋_GB2312" w:eastAsia="仿宋_GB2312" w:cs="仿宋_GB2312"/>
          <w:color w:val="auto"/>
          <w:spacing w:val="0"/>
          <w:w w:val="100"/>
          <w:sz w:val="32"/>
          <w:szCs w:val="32"/>
          <w:lang w:val="en" w:eastAsia="zh-CN"/>
        </w:rPr>
        <w:t>人：</w:t>
      </w:r>
      <w:r>
        <w:rPr>
          <w:rFonts w:hint="eastAsia" w:ascii="仿宋_GB2312" w:hAnsi="仿宋_GB2312" w:eastAsia="仿宋_GB2312" w:cs="仿宋_GB2312"/>
          <w:color w:val="auto"/>
          <w:spacing w:val="0"/>
          <w:w w:val="100"/>
          <w:sz w:val="32"/>
          <w:szCs w:val="32"/>
          <w:lang w:val="en-US" w:eastAsia="zh-CN"/>
        </w:rPr>
        <w:t>宋爱文</w:t>
      </w:r>
    </w:p>
    <w:p>
      <w:pPr>
        <w:pStyle w:val="3"/>
        <w:keepNext w:val="0"/>
        <w:keepLines w:val="0"/>
        <w:pageBreakBefore w:val="0"/>
        <w:widowControl w:val="0"/>
        <w:kinsoku/>
        <w:wordWrap/>
        <w:overflowPunct/>
        <w:topLinePunct w:val="0"/>
        <w:autoSpaceDE/>
        <w:autoSpaceDN/>
        <w:bidi w:val="0"/>
        <w:adjustRightInd/>
        <w:snapToGrid/>
        <w:spacing w:after="0" w:line="550" w:lineRule="exact"/>
        <w:ind w:left="0" w:right="0" w:firstLine="640" w:firstLineChars="200"/>
        <w:jc w:val="both"/>
        <w:rPr>
          <w:rFonts w:hint="default"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lang w:eastAsia="zh-CN"/>
        </w:rPr>
        <w:t>联系</w:t>
      </w:r>
      <w:r>
        <w:rPr>
          <w:rFonts w:hint="eastAsia" w:ascii="仿宋_GB2312" w:hAnsi="仿宋_GB2312" w:eastAsia="仿宋_GB2312" w:cs="仿宋_GB2312"/>
          <w:color w:val="auto"/>
          <w:spacing w:val="0"/>
          <w:w w:val="100"/>
          <w:sz w:val="32"/>
          <w:szCs w:val="32"/>
        </w:rPr>
        <w:t>电话：</w:t>
      </w:r>
      <w:r>
        <w:rPr>
          <w:rFonts w:hint="eastAsia" w:ascii="仿宋_GB2312" w:hAnsi="仿宋_GB2312" w:eastAsia="仿宋_GB2312" w:cs="仿宋_GB2312"/>
          <w:color w:val="auto"/>
          <w:spacing w:val="0"/>
          <w:w w:val="100"/>
          <w:sz w:val="32"/>
          <w:szCs w:val="32"/>
          <w:lang w:val="en-US" w:eastAsia="zh-CN"/>
        </w:rPr>
        <w:t>5315893</w:t>
      </w:r>
    </w:p>
    <w:p>
      <w:pPr>
        <w:pStyle w:val="3"/>
        <w:keepNext w:val="0"/>
        <w:keepLines w:val="0"/>
        <w:pageBreakBefore w:val="0"/>
        <w:widowControl w:val="0"/>
        <w:kinsoku/>
        <w:wordWrap/>
        <w:overflowPunct/>
        <w:topLinePunct w:val="0"/>
        <w:autoSpaceDE/>
        <w:autoSpaceDN/>
        <w:bidi w:val="0"/>
        <w:adjustRightInd/>
        <w:snapToGrid/>
        <w:spacing w:after="0" w:line="550" w:lineRule="exact"/>
        <w:ind w:left="0" w:right="0" w:firstLine="640" w:firstLineChars="200"/>
        <w:jc w:val="both"/>
        <w:rPr>
          <w:rFonts w:hint="eastAsia" w:ascii="仿宋_GB2312" w:hAnsi="仿宋_GB2312" w:eastAsia="仿宋_GB2312" w:cs="仿宋_GB2312"/>
          <w:color w:val="auto"/>
          <w:spacing w:val="0"/>
          <w:w w:val="100"/>
          <w:sz w:val="32"/>
          <w:szCs w:val="32"/>
          <w:lang w:eastAsia="zh-CN"/>
        </w:rPr>
      </w:pPr>
      <w:r>
        <w:rPr>
          <w:rFonts w:hint="eastAsia" w:ascii="仿宋_GB2312" w:hAnsi="仿宋_GB2312" w:eastAsia="仿宋_GB2312" w:cs="仿宋_GB2312"/>
          <w:color w:val="auto"/>
          <w:spacing w:val="0"/>
          <w:w w:val="100"/>
          <w:sz w:val="32"/>
          <w:szCs w:val="32"/>
        </w:rPr>
        <w:t>邮</w:t>
      </w:r>
      <w:r>
        <w:rPr>
          <w:rFonts w:hint="eastAsia" w:ascii="仿宋_GB2312" w:hAnsi="仿宋_GB2312" w:eastAsia="仿宋_GB2312" w:cs="仿宋_GB2312"/>
          <w:color w:val="auto"/>
          <w:spacing w:val="0"/>
          <w:w w:val="100"/>
          <w:sz w:val="32"/>
          <w:szCs w:val="32"/>
          <w:lang w:val="en-US" w:eastAsia="zh-CN"/>
        </w:rPr>
        <w:t xml:space="preserve">    </w:t>
      </w:r>
      <w:r>
        <w:rPr>
          <w:rFonts w:hint="eastAsia" w:ascii="仿宋_GB2312" w:hAnsi="仿宋_GB2312" w:eastAsia="仿宋_GB2312" w:cs="仿宋_GB2312"/>
          <w:color w:val="auto"/>
          <w:spacing w:val="0"/>
          <w:w w:val="100"/>
          <w:sz w:val="32"/>
          <w:szCs w:val="32"/>
        </w:rPr>
        <w:t>箱：ydqsanshaoban@163.com</w:t>
      </w:r>
    </w:p>
    <w:p>
      <w:pPr>
        <w:pStyle w:val="19"/>
        <w:keepNext w:val="0"/>
        <w:keepLines w:val="0"/>
        <w:pageBreakBefore w:val="0"/>
        <w:widowControl w:val="0"/>
        <w:kinsoku/>
        <w:wordWrap/>
        <w:overflowPunct/>
        <w:topLinePunct w:val="0"/>
        <w:bidi w:val="0"/>
        <w:snapToGrid/>
        <w:spacing w:line="579" w:lineRule="exact"/>
        <w:ind w:left="0" w:right="0" w:firstLine="640" w:firstLineChars="200"/>
        <w:jc w:val="both"/>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bidi w:val="0"/>
        <w:snapToGrid/>
        <w:spacing w:line="579" w:lineRule="exact"/>
        <w:ind w:left="0" w:right="0"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bidi w:val="0"/>
        <w:snapToGrid/>
        <w:spacing w:line="579" w:lineRule="exact"/>
        <w:ind w:left="0" w:right="0" w:firstLine="640" w:firstLineChars="200"/>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bidi w:val="0"/>
        <w:snapToGrid/>
        <w:spacing w:after="0" w:line="579" w:lineRule="exact"/>
        <w:ind w:left="0" w:right="0" w:firstLine="640" w:firstLineChars="200"/>
        <w:rPr>
          <w:rFonts w:hint="eastAsia" w:ascii="仿宋_GB2312" w:hAnsi="仿宋_GB2312" w:eastAsia="仿宋_GB2312" w:cs="仿宋_GB2312"/>
          <w:sz w:val="32"/>
          <w:szCs w:val="32"/>
        </w:rPr>
      </w:pPr>
    </w:p>
    <w:p>
      <w:pPr>
        <w:pStyle w:val="9"/>
        <w:keepNext w:val="0"/>
        <w:keepLines w:val="0"/>
        <w:pageBreakBefore w:val="0"/>
        <w:widowControl w:val="0"/>
        <w:kinsoku/>
        <w:wordWrap/>
        <w:overflowPunct/>
        <w:topLinePunct w:val="0"/>
        <w:bidi w:val="0"/>
        <w:snapToGrid/>
        <w:spacing w:line="579" w:lineRule="exact"/>
        <w:ind w:left="0" w:right="0"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rPr>
      </w:pPr>
    </w:p>
    <w:sectPr>
      <w:headerReference r:id="rId3" w:type="default"/>
      <w:footerReference r:id="rId4"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 xml:space="preserve">— </w:t>
                          </w:r>
                          <w:r>
                            <w:rPr>
                              <w:rFonts w:hint="eastAsia" w:asciiTheme="minorEastAsia" w:hAnsiTheme="minorEastAsia" w:eastAsiaTheme="minorEastAsia" w:cstheme="minorEastAsia"/>
                              <w:color w:val="000000"/>
                              <w:sz w:val="28"/>
                              <w:szCs w:val="28"/>
                            </w:rPr>
                            <w:fldChar w:fldCharType="begin"/>
                          </w:r>
                          <w:r>
                            <w:rPr>
                              <w:rFonts w:hint="eastAsia" w:asciiTheme="minorEastAsia" w:hAnsiTheme="minorEastAsia" w:eastAsiaTheme="minorEastAsia" w:cstheme="minorEastAsia"/>
                              <w:color w:val="000000"/>
                              <w:sz w:val="28"/>
                              <w:szCs w:val="28"/>
                            </w:rPr>
                            <w:instrText xml:space="preserve"> PAGE  \* MERGEFORMAT </w:instrText>
                          </w:r>
                          <w:r>
                            <w:rPr>
                              <w:rFonts w:hint="eastAsia" w:asciiTheme="minorEastAsia" w:hAnsiTheme="minorEastAsia" w:eastAsiaTheme="minorEastAsia" w:cstheme="minorEastAsia"/>
                              <w:color w:val="000000"/>
                              <w:sz w:val="28"/>
                              <w:szCs w:val="28"/>
                            </w:rPr>
                            <w:fldChar w:fldCharType="separate"/>
                          </w:r>
                          <w:r>
                            <w:rPr>
                              <w:rFonts w:hint="eastAsia" w:asciiTheme="minorEastAsia" w:hAnsiTheme="minorEastAsia" w:eastAsiaTheme="minorEastAsia" w:cstheme="minorEastAsia"/>
                              <w:color w:val="000000"/>
                              <w:sz w:val="28"/>
                              <w:szCs w:val="28"/>
                            </w:rPr>
                            <w:t>1</w:t>
                          </w:r>
                          <w:r>
                            <w:rPr>
                              <w:rFonts w:hint="eastAsia" w:asciiTheme="minorEastAsia" w:hAnsiTheme="minorEastAsia" w:eastAsiaTheme="minorEastAsia" w:cstheme="minorEastAsia"/>
                              <w:color w:val="000000"/>
                              <w:sz w:val="28"/>
                              <w:szCs w:val="28"/>
                            </w:rPr>
                            <w:fldChar w:fldCharType="end"/>
                          </w:r>
                          <w:r>
                            <w:rPr>
                              <w:rFonts w:hint="eastAsia" w:asciiTheme="minorEastAsia" w:hAnsiTheme="minorEastAsia" w:eastAsiaTheme="minorEastAsia" w:cstheme="minorEastAsia"/>
                              <w:color w:val="00000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 xml:space="preserve">— </w:t>
                    </w:r>
                    <w:r>
                      <w:rPr>
                        <w:rFonts w:hint="eastAsia" w:asciiTheme="minorEastAsia" w:hAnsiTheme="minorEastAsia" w:eastAsiaTheme="minorEastAsia" w:cstheme="minorEastAsia"/>
                        <w:color w:val="000000"/>
                        <w:sz w:val="28"/>
                        <w:szCs w:val="28"/>
                      </w:rPr>
                      <w:fldChar w:fldCharType="begin"/>
                    </w:r>
                    <w:r>
                      <w:rPr>
                        <w:rFonts w:hint="eastAsia" w:asciiTheme="minorEastAsia" w:hAnsiTheme="minorEastAsia" w:eastAsiaTheme="minorEastAsia" w:cstheme="minorEastAsia"/>
                        <w:color w:val="000000"/>
                        <w:sz w:val="28"/>
                        <w:szCs w:val="28"/>
                      </w:rPr>
                      <w:instrText xml:space="preserve"> PAGE  \* MERGEFORMAT </w:instrText>
                    </w:r>
                    <w:r>
                      <w:rPr>
                        <w:rFonts w:hint="eastAsia" w:asciiTheme="minorEastAsia" w:hAnsiTheme="minorEastAsia" w:eastAsiaTheme="minorEastAsia" w:cstheme="minorEastAsia"/>
                        <w:color w:val="000000"/>
                        <w:sz w:val="28"/>
                        <w:szCs w:val="28"/>
                      </w:rPr>
                      <w:fldChar w:fldCharType="separate"/>
                    </w:r>
                    <w:r>
                      <w:rPr>
                        <w:rFonts w:hint="eastAsia" w:asciiTheme="minorEastAsia" w:hAnsiTheme="minorEastAsia" w:eastAsiaTheme="minorEastAsia" w:cstheme="minorEastAsia"/>
                        <w:color w:val="000000"/>
                        <w:sz w:val="28"/>
                        <w:szCs w:val="28"/>
                      </w:rPr>
                      <w:t>1</w:t>
                    </w:r>
                    <w:r>
                      <w:rPr>
                        <w:rFonts w:hint="eastAsia" w:asciiTheme="minorEastAsia" w:hAnsiTheme="minorEastAsia" w:eastAsiaTheme="minorEastAsia" w:cstheme="minorEastAsia"/>
                        <w:color w:val="000000"/>
                        <w:sz w:val="28"/>
                        <w:szCs w:val="28"/>
                      </w:rPr>
                      <w:fldChar w:fldCharType="end"/>
                    </w:r>
                    <w:r>
                      <w:rPr>
                        <w:rFonts w:hint="eastAsia" w:asciiTheme="minorEastAsia" w:hAnsiTheme="minorEastAsia" w:eastAsiaTheme="minorEastAsia" w:cstheme="minorEastAsia"/>
                        <w:color w:val="000000"/>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01"/>
    <w:rsid w:val="00012502"/>
    <w:rsid w:val="00013403"/>
    <w:rsid w:val="0001580F"/>
    <w:rsid w:val="00017025"/>
    <w:rsid w:val="000246D5"/>
    <w:rsid w:val="00024700"/>
    <w:rsid w:val="00036934"/>
    <w:rsid w:val="00037D9C"/>
    <w:rsid w:val="00042029"/>
    <w:rsid w:val="00045156"/>
    <w:rsid w:val="000460C8"/>
    <w:rsid w:val="00050853"/>
    <w:rsid w:val="00051040"/>
    <w:rsid w:val="000557F9"/>
    <w:rsid w:val="0006359A"/>
    <w:rsid w:val="00066B4A"/>
    <w:rsid w:val="000776D8"/>
    <w:rsid w:val="0007776E"/>
    <w:rsid w:val="00083515"/>
    <w:rsid w:val="00087D57"/>
    <w:rsid w:val="00093D64"/>
    <w:rsid w:val="00097491"/>
    <w:rsid w:val="000A02C5"/>
    <w:rsid w:val="000A3009"/>
    <w:rsid w:val="000A4CAF"/>
    <w:rsid w:val="000B0D17"/>
    <w:rsid w:val="000C3D00"/>
    <w:rsid w:val="000C5226"/>
    <w:rsid w:val="000C7555"/>
    <w:rsid w:val="000D6FFF"/>
    <w:rsid w:val="000E5BBE"/>
    <w:rsid w:val="000F2956"/>
    <w:rsid w:val="001063B3"/>
    <w:rsid w:val="0010660F"/>
    <w:rsid w:val="001073AD"/>
    <w:rsid w:val="001100F6"/>
    <w:rsid w:val="001113D3"/>
    <w:rsid w:val="001175AB"/>
    <w:rsid w:val="00117842"/>
    <w:rsid w:val="00122A5E"/>
    <w:rsid w:val="00123573"/>
    <w:rsid w:val="001308C9"/>
    <w:rsid w:val="0014554D"/>
    <w:rsid w:val="001516BD"/>
    <w:rsid w:val="00154738"/>
    <w:rsid w:val="0015484F"/>
    <w:rsid w:val="0016560E"/>
    <w:rsid w:val="00176381"/>
    <w:rsid w:val="00177497"/>
    <w:rsid w:val="00184B5D"/>
    <w:rsid w:val="001912C3"/>
    <w:rsid w:val="00192B0F"/>
    <w:rsid w:val="001977F4"/>
    <w:rsid w:val="001A3FA6"/>
    <w:rsid w:val="001A7AF8"/>
    <w:rsid w:val="001B0F0F"/>
    <w:rsid w:val="001B6A5D"/>
    <w:rsid w:val="001B7161"/>
    <w:rsid w:val="001C68B7"/>
    <w:rsid w:val="001D3843"/>
    <w:rsid w:val="001E63FE"/>
    <w:rsid w:val="001E7404"/>
    <w:rsid w:val="00207545"/>
    <w:rsid w:val="002076CB"/>
    <w:rsid w:val="00207CDF"/>
    <w:rsid w:val="00211C46"/>
    <w:rsid w:val="00214844"/>
    <w:rsid w:val="00214AB2"/>
    <w:rsid w:val="00215B6D"/>
    <w:rsid w:val="00221E08"/>
    <w:rsid w:val="00223508"/>
    <w:rsid w:val="0022352C"/>
    <w:rsid w:val="002253F0"/>
    <w:rsid w:val="00225860"/>
    <w:rsid w:val="002344FB"/>
    <w:rsid w:val="002368E3"/>
    <w:rsid w:val="00241EDA"/>
    <w:rsid w:val="00245F70"/>
    <w:rsid w:val="00246D9E"/>
    <w:rsid w:val="0025586F"/>
    <w:rsid w:val="00262482"/>
    <w:rsid w:val="00264396"/>
    <w:rsid w:val="002667D9"/>
    <w:rsid w:val="002760FA"/>
    <w:rsid w:val="0028157E"/>
    <w:rsid w:val="00283055"/>
    <w:rsid w:val="002861B0"/>
    <w:rsid w:val="0029222A"/>
    <w:rsid w:val="00294A84"/>
    <w:rsid w:val="0029754A"/>
    <w:rsid w:val="002A5A0C"/>
    <w:rsid w:val="002C1BFA"/>
    <w:rsid w:val="002C5839"/>
    <w:rsid w:val="002D1578"/>
    <w:rsid w:val="002D19D7"/>
    <w:rsid w:val="002D37C1"/>
    <w:rsid w:val="002E1903"/>
    <w:rsid w:val="002E631E"/>
    <w:rsid w:val="002F2B3B"/>
    <w:rsid w:val="002F2CC3"/>
    <w:rsid w:val="002F3BE5"/>
    <w:rsid w:val="002F7596"/>
    <w:rsid w:val="00303A76"/>
    <w:rsid w:val="00311485"/>
    <w:rsid w:val="0031194C"/>
    <w:rsid w:val="00311B67"/>
    <w:rsid w:val="00326D9F"/>
    <w:rsid w:val="00331ACC"/>
    <w:rsid w:val="00331B79"/>
    <w:rsid w:val="00333D05"/>
    <w:rsid w:val="00334229"/>
    <w:rsid w:val="003342E2"/>
    <w:rsid w:val="003423FE"/>
    <w:rsid w:val="00343376"/>
    <w:rsid w:val="00350A15"/>
    <w:rsid w:val="00356A85"/>
    <w:rsid w:val="00357A47"/>
    <w:rsid w:val="00367257"/>
    <w:rsid w:val="00373599"/>
    <w:rsid w:val="00382BF5"/>
    <w:rsid w:val="0038489E"/>
    <w:rsid w:val="00391736"/>
    <w:rsid w:val="00395AF2"/>
    <w:rsid w:val="003A11E5"/>
    <w:rsid w:val="003A1564"/>
    <w:rsid w:val="003A3B4C"/>
    <w:rsid w:val="003A43D2"/>
    <w:rsid w:val="003A4E57"/>
    <w:rsid w:val="003B0289"/>
    <w:rsid w:val="003B2CFB"/>
    <w:rsid w:val="003B6821"/>
    <w:rsid w:val="003B6B2C"/>
    <w:rsid w:val="003C0DB4"/>
    <w:rsid w:val="003D0620"/>
    <w:rsid w:val="003D3ECD"/>
    <w:rsid w:val="003D595E"/>
    <w:rsid w:val="003E433E"/>
    <w:rsid w:val="003E5EC6"/>
    <w:rsid w:val="003E7A12"/>
    <w:rsid w:val="003F0038"/>
    <w:rsid w:val="003F13AA"/>
    <w:rsid w:val="003F4E45"/>
    <w:rsid w:val="003F6443"/>
    <w:rsid w:val="003F69BD"/>
    <w:rsid w:val="003F6CBA"/>
    <w:rsid w:val="003F729A"/>
    <w:rsid w:val="00405BB7"/>
    <w:rsid w:val="00412B39"/>
    <w:rsid w:val="00413489"/>
    <w:rsid w:val="00414C9F"/>
    <w:rsid w:val="004257B9"/>
    <w:rsid w:val="0042650E"/>
    <w:rsid w:val="00431D32"/>
    <w:rsid w:val="00432601"/>
    <w:rsid w:val="00432C60"/>
    <w:rsid w:val="00447642"/>
    <w:rsid w:val="00450F24"/>
    <w:rsid w:val="0046038B"/>
    <w:rsid w:val="00466507"/>
    <w:rsid w:val="004677F9"/>
    <w:rsid w:val="00471BC5"/>
    <w:rsid w:val="00487FB4"/>
    <w:rsid w:val="00491A51"/>
    <w:rsid w:val="00491B8F"/>
    <w:rsid w:val="00495D9E"/>
    <w:rsid w:val="0049738A"/>
    <w:rsid w:val="004A1437"/>
    <w:rsid w:val="004B2614"/>
    <w:rsid w:val="004C2797"/>
    <w:rsid w:val="004C418D"/>
    <w:rsid w:val="004D0E39"/>
    <w:rsid w:val="004D2986"/>
    <w:rsid w:val="004D721F"/>
    <w:rsid w:val="004E117F"/>
    <w:rsid w:val="004E305F"/>
    <w:rsid w:val="004E63DC"/>
    <w:rsid w:val="004F178A"/>
    <w:rsid w:val="004F5CCC"/>
    <w:rsid w:val="00500974"/>
    <w:rsid w:val="00505C30"/>
    <w:rsid w:val="0051587D"/>
    <w:rsid w:val="0051741F"/>
    <w:rsid w:val="00534446"/>
    <w:rsid w:val="005347CB"/>
    <w:rsid w:val="00546A76"/>
    <w:rsid w:val="00550ED4"/>
    <w:rsid w:val="0055173C"/>
    <w:rsid w:val="00553F0F"/>
    <w:rsid w:val="0055657D"/>
    <w:rsid w:val="00562F5A"/>
    <w:rsid w:val="00564642"/>
    <w:rsid w:val="0056534B"/>
    <w:rsid w:val="00566064"/>
    <w:rsid w:val="005672F7"/>
    <w:rsid w:val="00577B9B"/>
    <w:rsid w:val="00582065"/>
    <w:rsid w:val="00583706"/>
    <w:rsid w:val="00590AD7"/>
    <w:rsid w:val="00591126"/>
    <w:rsid w:val="005A4A63"/>
    <w:rsid w:val="005A581F"/>
    <w:rsid w:val="005B08A3"/>
    <w:rsid w:val="005B1811"/>
    <w:rsid w:val="005B2C4F"/>
    <w:rsid w:val="005B4A16"/>
    <w:rsid w:val="005C1240"/>
    <w:rsid w:val="005D38EA"/>
    <w:rsid w:val="005F0B3C"/>
    <w:rsid w:val="006012DB"/>
    <w:rsid w:val="00603ED7"/>
    <w:rsid w:val="006040F0"/>
    <w:rsid w:val="00610D59"/>
    <w:rsid w:val="0061312A"/>
    <w:rsid w:val="00616CE5"/>
    <w:rsid w:val="00617774"/>
    <w:rsid w:val="00620CFD"/>
    <w:rsid w:val="00623B3C"/>
    <w:rsid w:val="0062571A"/>
    <w:rsid w:val="00626580"/>
    <w:rsid w:val="00627696"/>
    <w:rsid w:val="00632D6C"/>
    <w:rsid w:val="006352D5"/>
    <w:rsid w:val="006355F3"/>
    <w:rsid w:val="006556A8"/>
    <w:rsid w:val="00660BCA"/>
    <w:rsid w:val="0066186A"/>
    <w:rsid w:val="00663E5C"/>
    <w:rsid w:val="00664006"/>
    <w:rsid w:val="0066449F"/>
    <w:rsid w:val="00667050"/>
    <w:rsid w:val="0067331C"/>
    <w:rsid w:val="0067733D"/>
    <w:rsid w:val="00681730"/>
    <w:rsid w:val="00685C50"/>
    <w:rsid w:val="00687221"/>
    <w:rsid w:val="006903DB"/>
    <w:rsid w:val="00690ED9"/>
    <w:rsid w:val="00692AFA"/>
    <w:rsid w:val="00694921"/>
    <w:rsid w:val="006A5608"/>
    <w:rsid w:val="006A72B5"/>
    <w:rsid w:val="006C0C49"/>
    <w:rsid w:val="006C7B62"/>
    <w:rsid w:val="006D1C4A"/>
    <w:rsid w:val="006D5F6F"/>
    <w:rsid w:val="006E495C"/>
    <w:rsid w:val="006E78F0"/>
    <w:rsid w:val="006F006B"/>
    <w:rsid w:val="006F0D1D"/>
    <w:rsid w:val="006F231B"/>
    <w:rsid w:val="006F411F"/>
    <w:rsid w:val="006F642F"/>
    <w:rsid w:val="006F7B0E"/>
    <w:rsid w:val="006F7F26"/>
    <w:rsid w:val="00701B6E"/>
    <w:rsid w:val="00704384"/>
    <w:rsid w:val="00710A75"/>
    <w:rsid w:val="0071119B"/>
    <w:rsid w:val="00714B88"/>
    <w:rsid w:val="0073535C"/>
    <w:rsid w:val="007509AC"/>
    <w:rsid w:val="0075338D"/>
    <w:rsid w:val="00755A3C"/>
    <w:rsid w:val="007620DD"/>
    <w:rsid w:val="00764F55"/>
    <w:rsid w:val="00772C67"/>
    <w:rsid w:val="00774708"/>
    <w:rsid w:val="00776166"/>
    <w:rsid w:val="007771DB"/>
    <w:rsid w:val="007810D1"/>
    <w:rsid w:val="007851B7"/>
    <w:rsid w:val="00785230"/>
    <w:rsid w:val="00786C8B"/>
    <w:rsid w:val="0079164E"/>
    <w:rsid w:val="00795923"/>
    <w:rsid w:val="00796061"/>
    <w:rsid w:val="007A1EF3"/>
    <w:rsid w:val="007C01C8"/>
    <w:rsid w:val="007C5791"/>
    <w:rsid w:val="007D2940"/>
    <w:rsid w:val="007D472E"/>
    <w:rsid w:val="007D515C"/>
    <w:rsid w:val="007E07FD"/>
    <w:rsid w:val="007E2E64"/>
    <w:rsid w:val="007F7EFB"/>
    <w:rsid w:val="008004A7"/>
    <w:rsid w:val="00804C5E"/>
    <w:rsid w:val="0080791A"/>
    <w:rsid w:val="00816FAD"/>
    <w:rsid w:val="00821B36"/>
    <w:rsid w:val="00821C56"/>
    <w:rsid w:val="008239C1"/>
    <w:rsid w:val="00830898"/>
    <w:rsid w:val="00834045"/>
    <w:rsid w:val="00836963"/>
    <w:rsid w:val="008416BB"/>
    <w:rsid w:val="008436E2"/>
    <w:rsid w:val="00846932"/>
    <w:rsid w:val="00847C1A"/>
    <w:rsid w:val="00850E4E"/>
    <w:rsid w:val="008521D5"/>
    <w:rsid w:val="00853037"/>
    <w:rsid w:val="0085355C"/>
    <w:rsid w:val="008609EF"/>
    <w:rsid w:val="008634C1"/>
    <w:rsid w:val="00864645"/>
    <w:rsid w:val="00870024"/>
    <w:rsid w:val="00871016"/>
    <w:rsid w:val="008712DF"/>
    <w:rsid w:val="00871A67"/>
    <w:rsid w:val="0087480A"/>
    <w:rsid w:val="00875A73"/>
    <w:rsid w:val="00877913"/>
    <w:rsid w:val="00882430"/>
    <w:rsid w:val="00886091"/>
    <w:rsid w:val="008910A1"/>
    <w:rsid w:val="008930F5"/>
    <w:rsid w:val="0089759D"/>
    <w:rsid w:val="008B0CDF"/>
    <w:rsid w:val="008B4561"/>
    <w:rsid w:val="008C3A05"/>
    <w:rsid w:val="008C3D74"/>
    <w:rsid w:val="008C40C3"/>
    <w:rsid w:val="008E1C45"/>
    <w:rsid w:val="008E37C5"/>
    <w:rsid w:val="008E59BF"/>
    <w:rsid w:val="008E5F56"/>
    <w:rsid w:val="008F429D"/>
    <w:rsid w:val="008F5344"/>
    <w:rsid w:val="008F5893"/>
    <w:rsid w:val="00901629"/>
    <w:rsid w:val="009159E7"/>
    <w:rsid w:val="00922890"/>
    <w:rsid w:val="00925B32"/>
    <w:rsid w:val="0092682D"/>
    <w:rsid w:val="009271A1"/>
    <w:rsid w:val="00930855"/>
    <w:rsid w:val="00933BAC"/>
    <w:rsid w:val="00937424"/>
    <w:rsid w:val="009405BB"/>
    <w:rsid w:val="0094510E"/>
    <w:rsid w:val="00952973"/>
    <w:rsid w:val="00956561"/>
    <w:rsid w:val="009604BA"/>
    <w:rsid w:val="009653F0"/>
    <w:rsid w:val="00965815"/>
    <w:rsid w:val="00966137"/>
    <w:rsid w:val="0096633B"/>
    <w:rsid w:val="0096646F"/>
    <w:rsid w:val="0096676A"/>
    <w:rsid w:val="0096778B"/>
    <w:rsid w:val="00967E71"/>
    <w:rsid w:val="00971EC9"/>
    <w:rsid w:val="00974EFA"/>
    <w:rsid w:val="0097748B"/>
    <w:rsid w:val="00981DC4"/>
    <w:rsid w:val="0098283F"/>
    <w:rsid w:val="00986BD9"/>
    <w:rsid w:val="0098737A"/>
    <w:rsid w:val="0099036E"/>
    <w:rsid w:val="0099191E"/>
    <w:rsid w:val="00993579"/>
    <w:rsid w:val="009C42D2"/>
    <w:rsid w:val="009C6317"/>
    <w:rsid w:val="009C786B"/>
    <w:rsid w:val="009D4DAB"/>
    <w:rsid w:val="009D5ABE"/>
    <w:rsid w:val="009E47B7"/>
    <w:rsid w:val="009F53F2"/>
    <w:rsid w:val="00A03900"/>
    <w:rsid w:val="00A060F6"/>
    <w:rsid w:val="00A1055E"/>
    <w:rsid w:val="00A1107E"/>
    <w:rsid w:val="00A1372B"/>
    <w:rsid w:val="00A16CA7"/>
    <w:rsid w:val="00A21593"/>
    <w:rsid w:val="00A26D79"/>
    <w:rsid w:val="00A3037B"/>
    <w:rsid w:val="00A30590"/>
    <w:rsid w:val="00A32999"/>
    <w:rsid w:val="00A41D1F"/>
    <w:rsid w:val="00A5722E"/>
    <w:rsid w:val="00A671C5"/>
    <w:rsid w:val="00A7453D"/>
    <w:rsid w:val="00A81747"/>
    <w:rsid w:val="00A92571"/>
    <w:rsid w:val="00A979A0"/>
    <w:rsid w:val="00AA54B7"/>
    <w:rsid w:val="00AB119C"/>
    <w:rsid w:val="00AB7C68"/>
    <w:rsid w:val="00AD2EC7"/>
    <w:rsid w:val="00AE0217"/>
    <w:rsid w:val="00AE0DE0"/>
    <w:rsid w:val="00AE2F3D"/>
    <w:rsid w:val="00AE62B6"/>
    <w:rsid w:val="00AF3CC6"/>
    <w:rsid w:val="00B10FAF"/>
    <w:rsid w:val="00B12B39"/>
    <w:rsid w:val="00B152E6"/>
    <w:rsid w:val="00B21928"/>
    <w:rsid w:val="00B32B1B"/>
    <w:rsid w:val="00B403FC"/>
    <w:rsid w:val="00B40803"/>
    <w:rsid w:val="00B41FA6"/>
    <w:rsid w:val="00B46A75"/>
    <w:rsid w:val="00B5243E"/>
    <w:rsid w:val="00B6609D"/>
    <w:rsid w:val="00B75160"/>
    <w:rsid w:val="00B813F2"/>
    <w:rsid w:val="00B844F5"/>
    <w:rsid w:val="00B91139"/>
    <w:rsid w:val="00B9548E"/>
    <w:rsid w:val="00BA350A"/>
    <w:rsid w:val="00BA3D12"/>
    <w:rsid w:val="00BA70CD"/>
    <w:rsid w:val="00BB1033"/>
    <w:rsid w:val="00BC1F73"/>
    <w:rsid w:val="00BC22A6"/>
    <w:rsid w:val="00BC3805"/>
    <w:rsid w:val="00BD37CC"/>
    <w:rsid w:val="00BD5C1A"/>
    <w:rsid w:val="00BD7CA4"/>
    <w:rsid w:val="00BE2E4B"/>
    <w:rsid w:val="00BE3C63"/>
    <w:rsid w:val="00BE74B4"/>
    <w:rsid w:val="00BF2BB1"/>
    <w:rsid w:val="00BF3BA0"/>
    <w:rsid w:val="00C06584"/>
    <w:rsid w:val="00C06D4B"/>
    <w:rsid w:val="00C119BD"/>
    <w:rsid w:val="00C13094"/>
    <w:rsid w:val="00C14CCC"/>
    <w:rsid w:val="00C17353"/>
    <w:rsid w:val="00C24F59"/>
    <w:rsid w:val="00C35257"/>
    <w:rsid w:val="00C40C54"/>
    <w:rsid w:val="00C45FE4"/>
    <w:rsid w:val="00C537D2"/>
    <w:rsid w:val="00C727B2"/>
    <w:rsid w:val="00C77C24"/>
    <w:rsid w:val="00C85811"/>
    <w:rsid w:val="00C87A73"/>
    <w:rsid w:val="00C94C25"/>
    <w:rsid w:val="00C9658B"/>
    <w:rsid w:val="00CB0202"/>
    <w:rsid w:val="00CB50C0"/>
    <w:rsid w:val="00CC476C"/>
    <w:rsid w:val="00CD4279"/>
    <w:rsid w:val="00CD4ADF"/>
    <w:rsid w:val="00CE35F9"/>
    <w:rsid w:val="00CF72CF"/>
    <w:rsid w:val="00CF7922"/>
    <w:rsid w:val="00D00D20"/>
    <w:rsid w:val="00D040AE"/>
    <w:rsid w:val="00D0686B"/>
    <w:rsid w:val="00D1504E"/>
    <w:rsid w:val="00D16558"/>
    <w:rsid w:val="00D17C03"/>
    <w:rsid w:val="00D25299"/>
    <w:rsid w:val="00D2675A"/>
    <w:rsid w:val="00D34950"/>
    <w:rsid w:val="00D42ACF"/>
    <w:rsid w:val="00D43332"/>
    <w:rsid w:val="00D4610C"/>
    <w:rsid w:val="00D5450E"/>
    <w:rsid w:val="00D6310A"/>
    <w:rsid w:val="00D659A3"/>
    <w:rsid w:val="00D7196F"/>
    <w:rsid w:val="00D73578"/>
    <w:rsid w:val="00D77165"/>
    <w:rsid w:val="00D77E3D"/>
    <w:rsid w:val="00D80DB4"/>
    <w:rsid w:val="00D90855"/>
    <w:rsid w:val="00D96F97"/>
    <w:rsid w:val="00D97BD7"/>
    <w:rsid w:val="00DA11BB"/>
    <w:rsid w:val="00DA31E9"/>
    <w:rsid w:val="00DA4F01"/>
    <w:rsid w:val="00DA7E28"/>
    <w:rsid w:val="00DB1610"/>
    <w:rsid w:val="00DB7610"/>
    <w:rsid w:val="00DC6738"/>
    <w:rsid w:val="00DD39AE"/>
    <w:rsid w:val="00DD40AF"/>
    <w:rsid w:val="00DE0939"/>
    <w:rsid w:val="00DE4172"/>
    <w:rsid w:val="00DE73EE"/>
    <w:rsid w:val="00DF25E5"/>
    <w:rsid w:val="00DF745A"/>
    <w:rsid w:val="00E050AF"/>
    <w:rsid w:val="00E120CB"/>
    <w:rsid w:val="00E123F7"/>
    <w:rsid w:val="00E13F56"/>
    <w:rsid w:val="00E16047"/>
    <w:rsid w:val="00E16791"/>
    <w:rsid w:val="00E1758C"/>
    <w:rsid w:val="00E224F8"/>
    <w:rsid w:val="00E24686"/>
    <w:rsid w:val="00E25A52"/>
    <w:rsid w:val="00E27525"/>
    <w:rsid w:val="00E31DD1"/>
    <w:rsid w:val="00E37201"/>
    <w:rsid w:val="00E405C7"/>
    <w:rsid w:val="00E4748A"/>
    <w:rsid w:val="00E51ED8"/>
    <w:rsid w:val="00E53EAB"/>
    <w:rsid w:val="00E55CDE"/>
    <w:rsid w:val="00E56BDE"/>
    <w:rsid w:val="00E5786C"/>
    <w:rsid w:val="00E6286B"/>
    <w:rsid w:val="00E62AD4"/>
    <w:rsid w:val="00E62F69"/>
    <w:rsid w:val="00E630AA"/>
    <w:rsid w:val="00E765FD"/>
    <w:rsid w:val="00E81A0D"/>
    <w:rsid w:val="00E834D2"/>
    <w:rsid w:val="00E907A7"/>
    <w:rsid w:val="00E90F69"/>
    <w:rsid w:val="00E9206B"/>
    <w:rsid w:val="00E9623B"/>
    <w:rsid w:val="00EA31D3"/>
    <w:rsid w:val="00EA4C16"/>
    <w:rsid w:val="00EA4D21"/>
    <w:rsid w:val="00EA5322"/>
    <w:rsid w:val="00EB7A0C"/>
    <w:rsid w:val="00EC3602"/>
    <w:rsid w:val="00EC4D76"/>
    <w:rsid w:val="00EC5332"/>
    <w:rsid w:val="00EC769D"/>
    <w:rsid w:val="00EE2E33"/>
    <w:rsid w:val="00EF2009"/>
    <w:rsid w:val="00EF2592"/>
    <w:rsid w:val="00EF3E78"/>
    <w:rsid w:val="00EF4269"/>
    <w:rsid w:val="00EF4EC2"/>
    <w:rsid w:val="00EF7271"/>
    <w:rsid w:val="00EF789A"/>
    <w:rsid w:val="00F07F0A"/>
    <w:rsid w:val="00F12735"/>
    <w:rsid w:val="00F14ED6"/>
    <w:rsid w:val="00F205B0"/>
    <w:rsid w:val="00F22E28"/>
    <w:rsid w:val="00F24190"/>
    <w:rsid w:val="00F26860"/>
    <w:rsid w:val="00F31869"/>
    <w:rsid w:val="00F3589C"/>
    <w:rsid w:val="00F35E99"/>
    <w:rsid w:val="00F40DE6"/>
    <w:rsid w:val="00F43A41"/>
    <w:rsid w:val="00F4426A"/>
    <w:rsid w:val="00F469F1"/>
    <w:rsid w:val="00F536CC"/>
    <w:rsid w:val="00F66589"/>
    <w:rsid w:val="00F71E9F"/>
    <w:rsid w:val="00F77542"/>
    <w:rsid w:val="00F82504"/>
    <w:rsid w:val="00F92834"/>
    <w:rsid w:val="00F929EC"/>
    <w:rsid w:val="00F94D60"/>
    <w:rsid w:val="00FA0601"/>
    <w:rsid w:val="00FB0812"/>
    <w:rsid w:val="00FB0DD5"/>
    <w:rsid w:val="00FB50AA"/>
    <w:rsid w:val="00FB5C17"/>
    <w:rsid w:val="00FC28C8"/>
    <w:rsid w:val="00FC296D"/>
    <w:rsid w:val="00FC382E"/>
    <w:rsid w:val="00FD0C20"/>
    <w:rsid w:val="00FD77EB"/>
    <w:rsid w:val="00FE3645"/>
    <w:rsid w:val="00FE5776"/>
    <w:rsid w:val="00FE781D"/>
    <w:rsid w:val="00FF2615"/>
    <w:rsid w:val="00FF27B3"/>
    <w:rsid w:val="00FF4820"/>
    <w:rsid w:val="013435B5"/>
    <w:rsid w:val="02E20BCB"/>
    <w:rsid w:val="03232197"/>
    <w:rsid w:val="03AB4829"/>
    <w:rsid w:val="05366486"/>
    <w:rsid w:val="070B6549"/>
    <w:rsid w:val="12FB7C2C"/>
    <w:rsid w:val="13F00DF2"/>
    <w:rsid w:val="13F21A03"/>
    <w:rsid w:val="14DC78A5"/>
    <w:rsid w:val="190F4FF3"/>
    <w:rsid w:val="19F43840"/>
    <w:rsid w:val="1A555ADC"/>
    <w:rsid w:val="1BDEBA67"/>
    <w:rsid w:val="1C7D7612"/>
    <w:rsid w:val="1CAD5509"/>
    <w:rsid w:val="1D3249F5"/>
    <w:rsid w:val="1DAE1667"/>
    <w:rsid w:val="1DF98E8D"/>
    <w:rsid w:val="1E3C120C"/>
    <w:rsid w:val="1E834CCF"/>
    <w:rsid w:val="1E937E6E"/>
    <w:rsid w:val="1FBF9359"/>
    <w:rsid w:val="1FFB221D"/>
    <w:rsid w:val="1FFCAF8C"/>
    <w:rsid w:val="207B66B3"/>
    <w:rsid w:val="21952B1C"/>
    <w:rsid w:val="22CD6F6E"/>
    <w:rsid w:val="22F5B024"/>
    <w:rsid w:val="230B6414"/>
    <w:rsid w:val="23A10B26"/>
    <w:rsid w:val="23FDE9FE"/>
    <w:rsid w:val="257D3D9E"/>
    <w:rsid w:val="25A128B8"/>
    <w:rsid w:val="273FC614"/>
    <w:rsid w:val="27DF3953"/>
    <w:rsid w:val="2813374E"/>
    <w:rsid w:val="28795BCE"/>
    <w:rsid w:val="287A36F4"/>
    <w:rsid w:val="2BD001FB"/>
    <w:rsid w:val="2C12290F"/>
    <w:rsid w:val="2EB07E70"/>
    <w:rsid w:val="2F77C3F3"/>
    <w:rsid w:val="2FF77FA1"/>
    <w:rsid w:val="33FEE81B"/>
    <w:rsid w:val="34B3388F"/>
    <w:rsid w:val="359F5487"/>
    <w:rsid w:val="35FD06ED"/>
    <w:rsid w:val="36254653"/>
    <w:rsid w:val="368647F1"/>
    <w:rsid w:val="36C80EC8"/>
    <w:rsid w:val="37AEF74B"/>
    <w:rsid w:val="37BF18A4"/>
    <w:rsid w:val="37FC8DC7"/>
    <w:rsid w:val="37FF1017"/>
    <w:rsid w:val="37FF91FF"/>
    <w:rsid w:val="384C1B99"/>
    <w:rsid w:val="38779FCB"/>
    <w:rsid w:val="3952038C"/>
    <w:rsid w:val="395FB3D3"/>
    <w:rsid w:val="39F479AE"/>
    <w:rsid w:val="3A4E1876"/>
    <w:rsid w:val="3ADBF3DE"/>
    <w:rsid w:val="3BF7E25C"/>
    <w:rsid w:val="3DCDAB9D"/>
    <w:rsid w:val="3DE908B9"/>
    <w:rsid w:val="3DFF5325"/>
    <w:rsid w:val="3EB75FC5"/>
    <w:rsid w:val="3EFFD3A9"/>
    <w:rsid w:val="3F3B706B"/>
    <w:rsid w:val="3FBE28B1"/>
    <w:rsid w:val="3FDFC3FC"/>
    <w:rsid w:val="3FE67699"/>
    <w:rsid w:val="3FFB8C95"/>
    <w:rsid w:val="3FFBC651"/>
    <w:rsid w:val="3FFF5457"/>
    <w:rsid w:val="411709DD"/>
    <w:rsid w:val="43EC504E"/>
    <w:rsid w:val="43FD35D2"/>
    <w:rsid w:val="443F7874"/>
    <w:rsid w:val="46287AAB"/>
    <w:rsid w:val="4756FCD4"/>
    <w:rsid w:val="4A370D05"/>
    <w:rsid w:val="4AEBCF1E"/>
    <w:rsid w:val="4B7C2947"/>
    <w:rsid w:val="4C150E22"/>
    <w:rsid w:val="4CBB1092"/>
    <w:rsid w:val="4CCFB46E"/>
    <w:rsid w:val="4CE22C6E"/>
    <w:rsid w:val="4DBDF5D2"/>
    <w:rsid w:val="4DF47921"/>
    <w:rsid w:val="4E5DC294"/>
    <w:rsid w:val="4FD558DE"/>
    <w:rsid w:val="510E1249"/>
    <w:rsid w:val="5275B292"/>
    <w:rsid w:val="52C62968"/>
    <w:rsid w:val="52DD44AA"/>
    <w:rsid w:val="53031820"/>
    <w:rsid w:val="539E9BA8"/>
    <w:rsid w:val="54135A5E"/>
    <w:rsid w:val="54345897"/>
    <w:rsid w:val="556D32C3"/>
    <w:rsid w:val="56CB412C"/>
    <w:rsid w:val="574B2016"/>
    <w:rsid w:val="57EC7697"/>
    <w:rsid w:val="57F90CCF"/>
    <w:rsid w:val="57FF0280"/>
    <w:rsid w:val="591C0E16"/>
    <w:rsid w:val="597BF361"/>
    <w:rsid w:val="599FEC97"/>
    <w:rsid w:val="5B0C5083"/>
    <w:rsid w:val="5BF61D93"/>
    <w:rsid w:val="5D36A258"/>
    <w:rsid w:val="5D3FC77C"/>
    <w:rsid w:val="5D4586AF"/>
    <w:rsid w:val="5D47F814"/>
    <w:rsid w:val="5DDE8D85"/>
    <w:rsid w:val="5DFFFDDC"/>
    <w:rsid w:val="5EA15EE2"/>
    <w:rsid w:val="5F3BB3D3"/>
    <w:rsid w:val="5F5B4151"/>
    <w:rsid w:val="5F87304F"/>
    <w:rsid w:val="5FAFC58E"/>
    <w:rsid w:val="5FBEE833"/>
    <w:rsid w:val="5FBF2FFD"/>
    <w:rsid w:val="5FBFAE45"/>
    <w:rsid w:val="6061781F"/>
    <w:rsid w:val="628F5B29"/>
    <w:rsid w:val="63051243"/>
    <w:rsid w:val="63BC163C"/>
    <w:rsid w:val="64F953C5"/>
    <w:rsid w:val="6707201B"/>
    <w:rsid w:val="6777BE10"/>
    <w:rsid w:val="67BF4079"/>
    <w:rsid w:val="67DD4E63"/>
    <w:rsid w:val="67F78EBC"/>
    <w:rsid w:val="6AF71B23"/>
    <w:rsid w:val="6BCF9268"/>
    <w:rsid w:val="6BEF3926"/>
    <w:rsid w:val="6CB2F1F4"/>
    <w:rsid w:val="6CBEEAB2"/>
    <w:rsid w:val="6DB77CF1"/>
    <w:rsid w:val="6DEE3D67"/>
    <w:rsid w:val="6EC5283A"/>
    <w:rsid w:val="6F103671"/>
    <w:rsid w:val="6F1277AF"/>
    <w:rsid w:val="6F79F9AB"/>
    <w:rsid w:val="6F96E399"/>
    <w:rsid w:val="6FAB4C7C"/>
    <w:rsid w:val="6FB51944"/>
    <w:rsid w:val="6FB83841"/>
    <w:rsid w:val="6FBFBEF6"/>
    <w:rsid w:val="6FC860C0"/>
    <w:rsid w:val="6FD5DF5B"/>
    <w:rsid w:val="6FEBA7AE"/>
    <w:rsid w:val="6FF7F6F4"/>
    <w:rsid w:val="6FFDCA66"/>
    <w:rsid w:val="70FF9A70"/>
    <w:rsid w:val="712B2CEC"/>
    <w:rsid w:val="737F6FBE"/>
    <w:rsid w:val="75D37C3B"/>
    <w:rsid w:val="75DE307E"/>
    <w:rsid w:val="7699406A"/>
    <w:rsid w:val="76DC0816"/>
    <w:rsid w:val="76DFB1D4"/>
    <w:rsid w:val="76FA99A1"/>
    <w:rsid w:val="76FDC9AF"/>
    <w:rsid w:val="76FFFE22"/>
    <w:rsid w:val="77403ADE"/>
    <w:rsid w:val="776FD6C3"/>
    <w:rsid w:val="77BF2C2E"/>
    <w:rsid w:val="77EE6B8A"/>
    <w:rsid w:val="77EEBF26"/>
    <w:rsid w:val="77FD79A2"/>
    <w:rsid w:val="77FF0789"/>
    <w:rsid w:val="77FF2638"/>
    <w:rsid w:val="77FF5B04"/>
    <w:rsid w:val="79D933A3"/>
    <w:rsid w:val="7AF90F83"/>
    <w:rsid w:val="7AFFED05"/>
    <w:rsid w:val="7B531194"/>
    <w:rsid w:val="7B9980A9"/>
    <w:rsid w:val="7BCFCC56"/>
    <w:rsid w:val="7BF7DBEF"/>
    <w:rsid w:val="7BFF3651"/>
    <w:rsid w:val="7BFF9E6C"/>
    <w:rsid w:val="7C854FDD"/>
    <w:rsid w:val="7CAFE43C"/>
    <w:rsid w:val="7CB36135"/>
    <w:rsid w:val="7CDCB3D1"/>
    <w:rsid w:val="7D360B0D"/>
    <w:rsid w:val="7D7F4C86"/>
    <w:rsid w:val="7D7F7E35"/>
    <w:rsid w:val="7DF63E95"/>
    <w:rsid w:val="7EAD2D32"/>
    <w:rsid w:val="7EDF687E"/>
    <w:rsid w:val="7EDFA780"/>
    <w:rsid w:val="7EFCCF49"/>
    <w:rsid w:val="7EFF6B80"/>
    <w:rsid w:val="7F0CB85E"/>
    <w:rsid w:val="7F3E4202"/>
    <w:rsid w:val="7F57FEBF"/>
    <w:rsid w:val="7F775D15"/>
    <w:rsid w:val="7F7B38AE"/>
    <w:rsid w:val="7F7D0AD6"/>
    <w:rsid w:val="7F7E415C"/>
    <w:rsid w:val="7F7F61E8"/>
    <w:rsid w:val="7F9E3DFF"/>
    <w:rsid w:val="7F9F45A5"/>
    <w:rsid w:val="7FAE2EF0"/>
    <w:rsid w:val="7FBE3524"/>
    <w:rsid w:val="7FBECBC1"/>
    <w:rsid w:val="7FBF069C"/>
    <w:rsid w:val="7FBF8A09"/>
    <w:rsid w:val="7FCA6D7D"/>
    <w:rsid w:val="7FDBA1F7"/>
    <w:rsid w:val="7FDCDEAA"/>
    <w:rsid w:val="7FDF3320"/>
    <w:rsid w:val="7FEBB7F9"/>
    <w:rsid w:val="7FEDEB7E"/>
    <w:rsid w:val="7FEEA1C8"/>
    <w:rsid w:val="7FEEA1CF"/>
    <w:rsid w:val="7FEF239E"/>
    <w:rsid w:val="7FEFB0B5"/>
    <w:rsid w:val="7FF47A78"/>
    <w:rsid w:val="7FF56946"/>
    <w:rsid w:val="7FF7D470"/>
    <w:rsid w:val="7FFD00BF"/>
    <w:rsid w:val="85D54F07"/>
    <w:rsid w:val="96FF3FBD"/>
    <w:rsid w:val="98F7EE89"/>
    <w:rsid w:val="9A63F673"/>
    <w:rsid w:val="9CDFF01B"/>
    <w:rsid w:val="9ED60EDE"/>
    <w:rsid w:val="9FBF3B9A"/>
    <w:rsid w:val="9FE87F41"/>
    <w:rsid w:val="AD7D93E9"/>
    <w:rsid w:val="AEB287C1"/>
    <w:rsid w:val="B15EB255"/>
    <w:rsid w:val="B2B7D426"/>
    <w:rsid w:val="B67F4062"/>
    <w:rsid w:val="B7AF9A2E"/>
    <w:rsid w:val="B9EB4282"/>
    <w:rsid w:val="BB390F18"/>
    <w:rsid w:val="BB3EFFF9"/>
    <w:rsid w:val="BBF60F2D"/>
    <w:rsid w:val="BBFDBC3B"/>
    <w:rsid w:val="BBFF6421"/>
    <w:rsid w:val="BBFFA7AB"/>
    <w:rsid w:val="BCFF8B31"/>
    <w:rsid w:val="BCFFCEF4"/>
    <w:rsid w:val="BD7FE9AF"/>
    <w:rsid w:val="BDFF3180"/>
    <w:rsid w:val="BE5E85AC"/>
    <w:rsid w:val="BEDF0B28"/>
    <w:rsid w:val="BEE9561C"/>
    <w:rsid w:val="BFDE5CEE"/>
    <w:rsid w:val="BFE76E37"/>
    <w:rsid w:val="BFFC8BEE"/>
    <w:rsid w:val="BFFF5B82"/>
    <w:rsid w:val="C75B8D0F"/>
    <w:rsid w:val="C9BE539A"/>
    <w:rsid w:val="CCBF2E53"/>
    <w:rsid w:val="CE7F4EB1"/>
    <w:rsid w:val="CEF77EBB"/>
    <w:rsid w:val="CF6A3863"/>
    <w:rsid w:val="CFDFA3E3"/>
    <w:rsid w:val="D2FB01CA"/>
    <w:rsid w:val="D3DF322B"/>
    <w:rsid w:val="D3FED768"/>
    <w:rsid w:val="D7FEBB47"/>
    <w:rsid w:val="D8F75111"/>
    <w:rsid w:val="DA7F6E79"/>
    <w:rsid w:val="DBA77B89"/>
    <w:rsid w:val="DBC699B8"/>
    <w:rsid w:val="DBD1DB24"/>
    <w:rsid w:val="DBFB28A8"/>
    <w:rsid w:val="DD7792C2"/>
    <w:rsid w:val="DD9999ED"/>
    <w:rsid w:val="DDBF85A1"/>
    <w:rsid w:val="DE76736B"/>
    <w:rsid w:val="DEBE6AA8"/>
    <w:rsid w:val="DEFDE023"/>
    <w:rsid w:val="DF3E8357"/>
    <w:rsid w:val="DFA89413"/>
    <w:rsid w:val="DFB2C8A8"/>
    <w:rsid w:val="DFFB0F46"/>
    <w:rsid w:val="DFFFE820"/>
    <w:rsid w:val="E2E75B84"/>
    <w:rsid w:val="E7EFCCB5"/>
    <w:rsid w:val="E7F7BB98"/>
    <w:rsid w:val="EA7F285F"/>
    <w:rsid w:val="EAC93E96"/>
    <w:rsid w:val="EB7FB8E2"/>
    <w:rsid w:val="EBDBDD0D"/>
    <w:rsid w:val="EDCF12BA"/>
    <w:rsid w:val="EDF9F104"/>
    <w:rsid w:val="EEEF47CC"/>
    <w:rsid w:val="EEFF1281"/>
    <w:rsid w:val="EF1C467C"/>
    <w:rsid w:val="EF5EFA15"/>
    <w:rsid w:val="EFDEE919"/>
    <w:rsid w:val="EFE73064"/>
    <w:rsid w:val="EFFFAB82"/>
    <w:rsid w:val="F25F12C3"/>
    <w:rsid w:val="F3E7D19B"/>
    <w:rsid w:val="F47F0CD9"/>
    <w:rsid w:val="F5838905"/>
    <w:rsid w:val="F5BB209A"/>
    <w:rsid w:val="F5D685A6"/>
    <w:rsid w:val="F5E3F89F"/>
    <w:rsid w:val="F67F0DF0"/>
    <w:rsid w:val="F6FF1FD4"/>
    <w:rsid w:val="F6FFEE4D"/>
    <w:rsid w:val="F75CA378"/>
    <w:rsid w:val="F76FB81E"/>
    <w:rsid w:val="F79A272D"/>
    <w:rsid w:val="F7FD3A8F"/>
    <w:rsid w:val="F9FED547"/>
    <w:rsid w:val="FBBD7777"/>
    <w:rsid w:val="FBBF4E8E"/>
    <w:rsid w:val="FBBF8228"/>
    <w:rsid w:val="FD3D1F69"/>
    <w:rsid w:val="FD5BDCA7"/>
    <w:rsid w:val="FD7F423F"/>
    <w:rsid w:val="FDDECE32"/>
    <w:rsid w:val="FDF715A2"/>
    <w:rsid w:val="FDFDDA98"/>
    <w:rsid w:val="FE7749CE"/>
    <w:rsid w:val="FEA42C60"/>
    <w:rsid w:val="FEE555CF"/>
    <w:rsid w:val="FEE8A4B4"/>
    <w:rsid w:val="FEF5337E"/>
    <w:rsid w:val="FEF70601"/>
    <w:rsid w:val="FEFEF604"/>
    <w:rsid w:val="FF6F8536"/>
    <w:rsid w:val="FF7AEF05"/>
    <w:rsid w:val="FF9FA64C"/>
    <w:rsid w:val="FFADBDC9"/>
    <w:rsid w:val="FFAF7094"/>
    <w:rsid w:val="FFBF18CF"/>
    <w:rsid w:val="FFD0E4A4"/>
    <w:rsid w:val="FFD7F2F8"/>
    <w:rsid w:val="FFDD55F5"/>
    <w:rsid w:val="FFDF3E20"/>
    <w:rsid w:val="FFDF849F"/>
    <w:rsid w:val="FFF7E938"/>
    <w:rsid w:val="FFFB052A"/>
    <w:rsid w:val="FFFCB8D7"/>
    <w:rsid w:val="FFFD55D7"/>
    <w:rsid w:val="FFFEE216"/>
    <w:rsid w:val="FFFF3B89"/>
    <w:rsid w:val="FFFF8238"/>
    <w:rsid w:val="FFFF85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nhideWhenUsed="0" w:uiPriority="99" w:semiHidden="0" w:name="heading 2"/>
    <w:lsdException w:unhideWhenUsed="0" w:uiPriority="99" w:semiHidden="0" w:name="heading 3"/>
    <w:lsdException w:unhideWhenUsed="0" w:uiPriority="99" w:semiHidden="0" w:name="heading 4"/>
    <w:lsdException w:unhideWhenUsed="0" w:uiPriority="99" w:semiHidden="0" w:name="heading 5"/>
    <w:lsdException w:unhideWhenUsed="0" w:uiPriority="99" w:semiHidden="0" w:name="heading 6"/>
    <w:lsdException w:unhideWhenUsed="0" w:uiPriority="99" w:semiHidden="0" w:name="heading 7"/>
    <w:lsdException w:unhideWhenUsed="0" w:uiPriority="99" w:semiHidden="0" w:name="heading 8"/>
    <w:lsdException w:unhideWhenUsed="0" w:uiPriority="99" w:semiHidden="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qFormat="1" w:unhideWhenUsed="0" w:uiPriority="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nhideWhenUsed="0" w:uiPriority="99" w:semiHidden="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unhideWhenUsed="0" w:uiPriority="99" w:semiHidden="0" w:name="Note Heading"/>
    <w:lsdException w:qFormat="1"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qFormat="1" w:unhideWhenUsed="0" w:uiPriority="0"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link w:val="16"/>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index 5"/>
    <w:basedOn w:val="1"/>
    <w:semiHidden/>
    <w:qFormat/>
    <w:uiPriority w:val="0"/>
    <w:pPr>
      <w:ind w:left="1680"/>
    </w:pPr>
    <w:rPr>
      <w:rFonts w:eastAsia="Times New Roman"/>
      <w:sz w:val="32"/>
      <w:szCs w:val="24"/>
    </w:rPr>
  </w:style>
  <w:style w:type="paragraph" w:styleId="3">
    <w:name w:val="Body Text"/>
    <w:basedOn w:val="1"/>
    <w:qFormat/>
    <w:uiPriority w:val="0"/>
    <w:pPr>
      <w:spacing w:before="0" w:after="140" w:line="276" w:lineRule="auto"/>
    </w:pPr>
  </w:style>
  <w:style w:type="paragraph" w:styleId="4">
    <w:name w:val="Body Text Indent"/>
    <w:basedOn w:val="1"/>
    <w:unhideWhenUsed/>
    <w:qFormat/>
    <w:uiPriority w:val="99"/>
    <w:pPr>
      <w:spacing w:after="120"/>
      <w:ind w:left="420" w:leftChars="200"/>
    </w:pPr>
  </w:style>
  <w:style w:type="paragraph" w:styleId="5">
    <w:name w:val="Date"/>
    <w:basedOn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99"/>
    <w:pPr>
      <w:jc w:val="left"/>
    </w:pPr>
    <w:rPr>
      <w:color w:val="000000"/>
      <w:sz w:val="24"/>
      <w:szCs w:val="20"/>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1">
    <w:name w:val="Body Text First Indent"/>
    <w:basedOn w:val="3"/>
    <w:unhideWhenUsed/>
    <w:qFormat/>
    <w:uiPriority w:val="99"/>
    <w:pPr>
      <w:spacing w:after="0" w:line="360" w:lineRule="auto"/>
      <w:ind w:firstLine="560" w:firstLineChars="200"/>
    </w:pPr>
    <w:rPr>
      <w:szCs w:val="24"/>
    </w:rPr>
  </w:style>
  <w:style w:type="paragraph" w:styleId="12">
    <w:name w:val="Body Text First Indent 2"/>
    <w:basedOn w:val="4"/>
    <w:unhideWhenUsed/>
    <w:qFormat/>
    <w:uiPriority w:val="99"/>
    <w:pPr>
      <w:ind w:firstLine="420" w:firstLineChars="200"/>
    </w:p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w:basedOn w:val="1"/>
    <w:link w:val="15"/>
    <w:semiHidden/>
    <w:qFormat/>
    <w:uiPriority w:val="0"/>
  </w:style>
  <w:style w:type="character" w:styleId="17">
    <w:name w:val="page number"/>
    <w:basedOn w:val="15"/>
    <w:qFormat/>
    <w:uiPriority w:val="0"/>
  </w:style>
  <w:style w:type="character" w:styleId="18">
    <w:name w:val="Hyperlink"/>
    <w:basedOn w:val="15"/>
    <w:qFormat/>
    <w:uiPriority w:val="0"/>
    <w:rPr>
      <w:color w:val="0000FF"/>
      <w:u w:val="single"/>
    </w:rPr>
  </w:style>
  <w:style w:type="paragraph" w:customStyle="1" w:styleId="19">
    <w:name w:val="Default"/>
    <w:qFormat/>
    <w:uiPriority w:val="99"/>
    <w:pPr>
      <w:widowControl w:val="0"/>
      <w:autoSpaceDE w:val="0"/>
      <w:autoSpaceDN w:val="0"/>
      <w:adjustRightInd w:val="0"/>
    </w:pPr>
    <w:rPr>
      <w:rFonts w:hint="eastAsia" w:ascii="仿宋" w:hAnsi="仿宋" w:eastAsia="仿宋" w:cs="Times New Roman"/>
      <w:color w:val="000000"/>
      <w:sz w:val="24"/>
      <w:szCs w:val="24"/>
    </w:rPr>
  </w:style>
  <w:style w:type="paragraph" w:customStyle="1" w:styleId="20">
    <w:name w:val="样式 左 行距: 最小值 28 磅"/>
    <w:basedOn w:val="1"/>
    <w:qFormat/>
    <w:uiPriority w:val="99"/>
    <w:pPr>
      <w:shd w:val="clear" w:color="auto" w:fill="FFFFFF"/>
      <w:spacing w:line="360" w:lineRule="atLeast"/>
    </w:pPr>
    <w:rPr>
      <w:rFonts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6</Pages>
  <Words>385</Words>
  <Characters>398</Characters>
  <Lines>9</Lines>
  <Paragraphs>2</Paragraphs>
  <TotalTime>2</TotalTime>
  <ScaleCrop>false</ScaleCrop>
  <LinksUpToDate>false</LinksUpToDate>
  <CharactersWithSpaces>398</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2018-05-21T02:54:00Z</dcterms:created>
  <dc:creator>pc</dc:creator>
  <cp:lastModifiedBy>user</cp:lastModifiedBy>
  <cp:lastPrinted>2026-05-09T00:10:00Z</cp:lastPrinted>
  <dcterms:modified xsi:type="dcterms:W3CDTF">2026-06-30T11:00:41Z</dcterms:modified>
  <dc:title>安阳市环境保护局 安阳市安全生产监督管理局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2052-11.8.2.12129</vt:lpwstr>
  </property>
  <property fmtid="{D5CDD505-2E9C-101B-9397-08002B2CF9AE}" pid="3" name="ICV">
    <vt:lpwstr>8ACAF6581532D2BEF657FC691507C781</vt:lpwstr>
  </property>
  <property fmtid="{D5CDD505-2E9C-101B-9397-08002B2CF9AE}" pid="4" name="KSOTemplateDocerSaveRecord">
    <vt:lpwstr>eyJoZGlkIjoiMjU2N2IwMGMzY2Q0ZTVjYTM1ODVlNWM5ZmZlYTM0YTIiLCJ1c2VySWQiOiI0OTIwMzk3NzMifQ==</vt:lpwstr>
  </property>
</Properties>
</file>