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tLeast"/>
        <w:jc w:val="center"/>
        <w:rPr>
          <w:rFonts w:ascii="微软雅黑" w:hAnsi="宋体" w:eastAsia="微软雅黑" w:cs="宋体"/>
          <w:color w:val="A60000"/>
          <w:kern w:val="0"/>
          <w:sz w:val="38"/>
          <w:szCs w:val="38"/>
        </w:rPr>
      </w:pPr>
      <w:r>
        <w:rPr>
          <w:rFonts w:hint="eastAsia" w:ascii="微软雅黑" w:hAnsi="宋体" w:eastAsia="微软雅黑" w:cs="宋体"/>
          <w:color w:val="A60000"/>
          <w:kern w:val="0"/>
          <w:sz w:val="38"/>
          <w:szCs w:val="38"/>
        </w:rPr>
        <w:t>安阳县财政局202</w:t>
      </w:r>
      <w:r>
        <w:rPr>
          <w:rFonts w:hint="eastAsia" w:ascii="微软雅黑" w:hAnsi="宋体" w:eastAsia="微软雅黑" w:cs="宋体"/>
          <w:color w:val="A60000"/>
          <w:kern w:val="0"/>
          <w:sz w:val="38"/>
          <w:szCs w:val="38"/>
          <w:lang w:val="en-US" w:eastAsia="zh-CN"/>
        </w:rPr>
        <w:t>6</w:t>
      </w:r>
      <w:r>
        <w:rPr>
          <w:rFonts w:hint="eastAsia" w:ascii="微软雅黑" w:hAnsi="宋体" w:eastAsia="微软雅黑" w:cs="宋体"/>
          <w:color w:val="A60000"/>
          <w:kern w:val="0"/>
          <w:sz w:val="38"/>
          <w:szCs w:val="38"/>
        </w:rPr>
        <w:t>年会计信息质量检查查前公示</w:t>
      </w:r>
    </w:p>
    <w:p>
      <w:pPr>
        <w:keepNext w:val="0"/>
        <w:keepLines w:val="0"/>
        <w:pageBreakBefore w:val="0"/>
        <w:widowControl w:val="0"/>
        <w:kinsoku/>
        <w:wordWrap/>
        <w:overflowPunct/>
        <w:topLinePunct w:val="0"/>
        <w:autoSpaceDE/>
        <w:autoSpaceDN/>
        <w:bidi w:val="0"/>
        <w:adjustRightInd/>
        <w:snapToGrid/>
        <w:spacing w:line="495" w:lineRule="atLeast"/>
        <w:ind w:firstLine="480" w:firstLineChars="200"/>
        <w:textAlignment w:val="auto"/>
        <w:rPr>
          <w:rFonts w:ascii="微软雅黑" w:hAnsi="宋体" w:eastAsia="微软雅黑" w:cs="宋体"/>
          <w:color w:val="333333"/>
          <w:kern w:val="0"/>
          <w:sz w:val="24"/>
          <w:szCs w:val="24"/>
        </w:rPr>
      </w:pPr>
      <w:r>
        <w:rPr>
          <w:rFonts w:hint="eastAsia" w:ascii="微软雅黑" w:hAnsi="宋体" w:eastAsia="微软雅黑" w:cs="宋体"/>
          <w:color w:val="333333"/>
          <w:kern w:val="0"/>
          <w:sz w:val="24"/>
          <w:szCs w:val="24"/>
        </w:rPr>
        <w:t>为深入贯彻《中央办公厅</w:t>
      </w:r>
      <w:r>
        <w:rPr>
          <w:rFonts w:hint="eastAsia" w:ascii="微软雅黑" w:hAnsi="宋体" w:eastAsia="微软雅黑" w:cs="宋体"/>
          <w:color w:val="333333"/>
          <w:kern w:val="0"/>
          <w:sz w:val="24"/>
          <w:szCs w:val="24"/>
          <w:lang w:val="en-US" w:eastAsia="zh-CN"/>
        </w:rPr>
        <w:t xml:space="preserve"> </w:t>
      </w:r>
      <w:r>
        <w:rPr>
          <w:rFonts w:hint="eastAsia" w:ascii="微软雅黑" w:hAnsi="宋体" w:eastAsia="微软雅黑" w:cs="宋体"/>
          <w:color w:val="333333"/>
          <w:kern w:val="0"/>
          <w:sz w:val="24"/>
          <w:szCs w:val="24"/>
        </w:rPr>
        <w:t>国务院办公厅〈关于进一步加强财会监督工作的意见〉的通知》，切实履行财政部门财会监督主责，进一步规范单位财务管理、提高单位会计信息质量，强化预算绩效管理，提升财会监督工作的公开透明度，依据《中华人民共和国会计法》，按照《河南省财政厅关于组织市县财政部门开展202</w:t>
      </w:r>
      <w:r>
        <w:rPr>
          <w:rFonts w:hint="eastAsia" w:ascii="微软雅黑" w:hAnsi="宋体" w:eastAsia="微软雅黑" w:cs="宋体"/>
          <w:color w:val="333333"/>
          <w:kern w:val="0"/>
          <w:sz w:val="24"/>
          <w:szCs w:val="24"/>
          <w:lang w:val="en-US" w:eastAsia="zh-CN"/>
        </w:rPr>
        <w:t>6</w:t>
      </w:r>
      <w:r>
        <w:rPr>
          <w:rFonts w:hint="eastAsia" w:ascii="微软雅黑" w:hAnsi="宋体" w:eastAsia="微软雅黑" w:cs="宋体"/>
          <w:color w:val="333333"/>
          <w:kern w:val="0"/>
          <w:sz w:val="24"/>
          <w:szCs w:val="24"/>
        </w:rPr>
        <w:t>年度会计信息质量检查工作的通知》（豫财监〔202</w:t>
      </w:r>
      <w:r>
        <w:rPr>
          <w:rFonts w:hint="eastAsia" w:ascii="微软雅黑" w:hAnsi="宋体" w:eastAsia="微软雅黑" w:cs="宋体"/>
          <w:color w:val="333333"/>
          <w:kern w:val="0"/>
          <w:sz w:val="24"/>
          <w:szCs w:val="24"/>
          <w:lang w:val="en-US" w:eastAsia="zh-CN"/>
        </w:rPr>
        <w:t>6</w:t>
      </w:r>
      <w:r>
        <w:rPr>
          <w:rFonts w:hint="eastAsia" w:ascii="微软雅黑" w:hAnsi="宋体" w:eastAsia="微软雅黑" w:cs="宋体"/>
          <w:color w:val="333333"/>
          <w:kern w:val="0"/>
          <w:sz w:val="24"/>
          <w:szCs w:val="24"/>
        </w:rPr>
        <w:t>〕</w:t>
      </w:r>
      <w:r>
        <w:rPr>
          <w:rFonts w:hint="eastAsia" w:ascii="微软雅黑" w:hAnsi="宋体" w:eastAsia="微软雅黑" w:cs="宋体"/>
          <w:color w:val="333333"/>
          <w:kern w:val="0"/>
          <w:sz w:val="24"/>
          <w:szCs w:val="24"/>
          <w:lang w:val="en-US" w:eastAsia="zh-CN"/>
        </w:rPr>
        <w:t>58</w:t>
      </w:r>
      <w:r>
        <w:rPr>
          <w:rFonts w:hint="eastAsia" w:ascii="微软雅黑" w:hAnsi="宋体" w:eastAsia="微软雅黑" w:cs="宋体"/>
          <w:color w:val="333333"/>
          <w:kern w:val="0"/>
          <w:sz w:val="24"/>
          <w:szCs w:val="24"/>
        </w:rPr>
        <w:t>号）的要求，现将20</w:t>
      </w:r>
      <w:r>
        <w:rPr>
          <w:rFonts w:hint="eastAsia" w:ascii="微软雅黑" w:hAnsi="宋体" w:eastAsia="微软雅黑" w:cs="宋体"/>
          <w:color w:val="333333"/>
          <w:kern w:val="0"/>
          <w:sz w:val="24"/>
          <w:szCs w:val="24"/>
          <w:lang w:val="en-US" w:eastAsia="zh-CN"/>
        </w:rPr>
        <w:t>26</w:t>
      </w:r>
      <w:r>
        <w:rPr>
          <w:rFonts w:hint="eastAsia" w:ascii="微软雅黑" w:hAnsi="宋体" w:eastAsia="微软雅黑" w:cs="宋体"/>
          <w:color w:val="333333"/>
          <w:kern w:val="0"/>
          <w:sz w:val="24"/>
          <w:szCs w:val="24"/>
        </w:rPr>
        <w:t>年会计信息质量检查工作公示如下：</w:t>
      </w:r>
    </w:p>
    <w:p>
      <w:pPr>
        <w:keepNext w:val="0"/>
        <w:keepLines w:val="0"/>
        <w:pageBreakBefore w:val="0"/>
        <w:widowControl w:val="0"/>
        <w:kinsoku/>
        <w:wordWrap/>
        <w:overflowPunct/>
        <w:topLinePunct w:val="0"/>
        <w:autoSpaceDE/>
        <w:autoSpaceDN/>
        <w:bidi w:val="0"/>
        <w:adjustRightInd/>
        <w:snapToGrid/>
        <w:spacing w:line="495" w:lineRule="atLeast"/>
        <w:textAlignment w:val="auto"/>
        <w:rPr>
          <w:rFonts w:ascii="微软雅黑" w:hAnsi="宋体" w:eastAsia="微软雅黑" w:cs="宋体"/>
          <w:color w:val="333333"/>
          <w:kern w:val="0"/>
          <w:sz w:val="24"/>
          <w:szCs w:val="24"/>
        </w:rPr>
      </w:pPr>
      <w:r>
        <w:rPr>
          <w:rFonts w:hint="eastAsia" w:ascii="微软雅黑" w:hAnsi="宋体" w:eastAsia="微软雅黑" w:cs="宋体"/>
          <w:color w:val="535353"/>
          <w:kern w:val="0"/>
          <w:sz w:val="24"/>
          <w:szCs w:val="24"/>
        </w:rPr>
        <w:t>一、检查目的</w:t>
      </w:r>
    </w:p>
    <w:p>
      <w:pPr>
        <w:keepNext w:val="0"/>
        <w:keepLines w:val="0"/>
        <w:pageBreakBefore w:val="0"/>
        <w:widowControl w:val="0"/>
        <w:kinsoku/>
        <w:wordWrap/>
        <w:overflowPunct/>
        <w:topLinePunct w:val="0"/>
        <w:autoSpaceDE/>
        <w:autoSpaceDN/>
        <w:bidi w:val="0"/>
        <w:adjustRightInd/>
        <w:snapToGrid/>
        <w:spacing w:line="580" w:lineRule="exact"/>
        <w:ind w:firstLine="480" w:firstLineChars="200"/>
        <w:textAlignment w:val="auto"/>
        <w:rPr>
          <w:rFonts w:hint="eastAsia" w:ascii="仿宋_GB2312" w:eastAsia="仿宋_GB2312"/>
          <w:sz w:val="32"/>
          <w:szCs w:val="32"/>
        </w:rPr>
      </w:pPr>
      <w:r>
        <w:rPr>
          <w:rFonts w:hint="eastAsia" w:ascii="微软雅黑" w:hAnsi="宋体" w:eastAsia="微软雅黑" w:cs="宋体"/>
          <w:color w:val="333333"/>
          <w:kern w:val="0"/>
          <w:sz w:val="24"/>
          <w:szCs w:val="24"/>
        </w:rPr>
        <w:t>通过检查，全面了解被检查单位遵守会计法律法规、政府会计准则、政府会计制度、企业会计准则、内部控制规范以及国家财税政策等有关情况，以及“三公”经费、国有资产管理中存在的相关问题。推动政府会计准则制度，规范行政、企事业单位及各类社会团体组织财务管理，提高会计信息质量和严肃财经纪律。</w:t>
      </w:r>
    </w:p>
    <w:p>
      <w:pPr>
        <w:keepNext w:val="0"/>
        <w:keepLines w:val="0"/>
        <w:pageBreakBefore w:val="0"/>
        <w:widowControl w:val="0"/>
        <w:kinsoku/>
        <w:wordWrap/>
        <w:overflowPunct/>
        <w:topLinePunct w:val="0"/>
        <w:autoSpaceDE/>
        <w:autoSpaceDN/>
        <w:bidi w:val="0"/>
        <w:adjustRightInd/>
        <w:snapToGrid/>
        <w:spacing w:line="495" w:lineRule="atLeast"/>
        <w:textAlignment w:val="auto"/>
        <w:rPr>
          <w:rFonts w:ascii="微软雅黑" w:hAnsi="宋体" w:eastAsia="微软雅黑" w:cs="宋体"/>
          <w:color w:val="333333"/>
          <w:kern w:val="0"/>
          <w:sz w:val="24"/>
          <w:szCs w:val="24"/>
        </w:rPr>
      </w:pPr>
      <w:r>
        <w:rPr>
          <w:rFonts w:hint="eastAsia" w:ascii="微软雅黑" w:hAnsi="宋体" w:eastAsia="微软雅黑" w:cs="宋体"/>
          <w:color w:val="535353"/>
          <w:kern w:val="0"/>
          <w:sz w:val="24"/>
          <w:szCs w:val="24"/>
        </w:rPr>
        <w:t>二、检查对象和范围</w:t>
      </w:r>
    </w:p>
    <w:p>
      <w:pPr>
        <w:keepNext w:val="0"/>
        <w:keepLines w:val="0"/>
        <w:pageBreakBefore w:val="0"/>
        <w:widowControl w:val="0"/>
        <w:shd w:val="clear" w:color="auto" w:fill="FFFFFF"/>
        <w:kinsoku/>
        <w:wordWrap/>
        <w:overflowPunct/>
        <w:topLinePunct w:val="0"/>
        <w:autoSpaceDE/>
        <w:autoSpaceDN/>
        <w:bidi w:val="0"/>
        <w:adjustRightInd/>
        <w:snapToGrid/>
        <w:spacing w:line="495" w:lineRule="atLeast"/>
        <w:ind w:firstLine="480"/>
        <w:jc w:val="left"/>
        <w:textAlignment w:val="auto"/>
        <w:rPr>
          <w:rFonts w:ascii="微软雅黑" w:hAnsi="宋体" w:eastAsia="微软雅黑" w:cs="宋体"/>
          <w:color w:val="333333"/>
          <w:kern w:val="0"/>
          <w:sz w:val="24"/>
          <w:szCs w:val="24"/>
        </w:rPr>
      </w:pPr>
      <w:r>
        <w:rPr>
          <w:rFonts w:hint="eastAsia" w:ascii="微软雅黑" w:hAnsi="宋体" w:eastAsia="微软雅黑" w:cs="宋体"/>
          <w:color w:val="535353"/>
          <w:kern w:val="0"/>
          <w:sz w:val="24"/>
          <w:szCs w:val="24"/>
        </w:rPr>
        <w:t>（一）检查对象：</w:t>
      </w: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ind w:firstLine="480" w:firstLineChars="200"/>
        <w:textAlignment w:val="auto"/>
        <w:rPr>
          <w:rFonts w:hint="eastAsia" w:ascii="微软雅黑" w:hAnsi="宋体" w:eastAsia="微软雅黑" w:cs="宋体"/>
          <w:color w:val="333333"/>
          <w:kern w:val="0"/>
          <w:sz w:val="24"/>
          <w:szCs w:val="24"/>
          <w:lang w:val="en-US" w:eastAsia="zh-CN"/>
        </w:rPr>
      </w:pPr>
      <w:r>
        <w:rPr>
          <w:rFonts w:hint="eastAsia" w:ascii="微软雅黑" w:hAnsi="宋体" w:eastAsia="微软雅黑" w:cs="宋体"/>
          <w:color w:val="333333"/>
          <w:kern w:val="0"/>
          <w:sz w:val="24"/>
          <w:szCs w:val="24"/>
        </w:rPr>
        <w:t>1</w:t>
      </w:r>
      <w:r>
        <w:rPr>
          <w:rFonts w:hint="eastAsia" w:ascii="微软雅黑" w:hAnsi="宋体" w:eastAsia="微软雅黑" w:cs="宋体"/>
          <w:color w:val="333333"/>
          <w:kern w:val="0"/>
          <w:sz w:val="24"/>
          <w:szCs w:val="24"/>
          <w:lang w:eastAsia="zh-CN"/>
        </w:rPr>
        <w:t>、</w:t>
      </w:r>
      <w:r>
        <w:rPr>
          <w:rFonts w:hint="eastAsia" w:ascii="微软雅黑" w:hAnsi="宋体" w:eastAsia="微软雅黑" w:cs="宋体"/>
          <w:color w:val="333333"/>
          <w:kern w:val="0"/>
          <w:sz w:val="24"/>
          <w:szCs w:val="24"/>
          <w:lang w:val="en-US" w:eastAsia="zh-CN"/>
        </w:rPr>
        <w:t>安阳县农业农村局</w:t>
      </w:r>
    </w:p>
    <w:p>
      <w:pPr>
        <w:keepNext w:val="0"/>
        <w:keepLines w:val="0"/>
        <w:pageBreakBefore w:val="0"/>
        <w:widowControl w:val="0"/>
        <w:kinsoku/>
        <w:wordWrap/>
        <w:overflowPunct/>
        <w:topLinePunct w:val="0"/>
        <w:autoSpaceDE/>
        <w:autoSpaceDN/>
        <w:bidi w:val="0"/>
        <w:adjustRightInd/>
        <w:snapToGrid/>
        <w:spacing w:line="580" w:lineRule="exact"/>
        <w:ind w:firstLine="480" w:firstLineChars="200"/>
        <w:textAlignment w:val="auto"/>
        <w:rPr>
          <w:rFonts w:hint="default" w:ascii="微软雅黑" w:hAnsi="宋体" w:eastAsia="微软雅黑" w:cs="宋体"/>
          <w:color w:val="333333"/>
          <w:kern w:val="0"/>
          <w:sz w:val="24"/>
          <w:szCs w:val="24"/>
          <w:lang w:val="en-US" w:eastAsia="zh-CN"/>
        </w:rPr>
      </w:pPr>
      <w:r>
        <w:rPr>
          <w:rFonts w:hint="eastAsia" w:ascii="微软雅黑" w:hAnsi="宋体" w:eastAsia="微软雅黑" w:cs="宋体"/>
          <w:color w:val="333333"/>
          <w:kern w:val="0"/>
          <w:sz w:val="24"/>
          <w:szCs w:val="24"/>
        </w:rPr>
        <w:t>2</w:t>
      </w:r>
      <w:r>
        <w:rPr>
          <w:rFonts w:hint="eastAsia" w:ascii="微软雅黑" w:hAnsi="宋体" w:eastAsia="微软雅黑" w:cs="宋体"/>
          <w:color w:val="333333"/>
          <w:kern w:val="0"/>
          <w:sz w:val="24"/>
          <w:szCs w:val="24"/>
          <w:lang w:eastAsia="zh-CN"/>
        </w:rPr>
        <w:t>、</w:t>
      </w:r>
      <w:r>
        <w:rPr>
          <w:rFonts w:hint="eastAsia" w:ascii="微软雅黑" w:hAnsi="宋体" w:eastAsia="微软雅黑" w:cs="宋体"/>
          <w:color w:val="333333"/>
          <w:kern w:val="0"/>
          <w:sz w:val="24"/>
          <w:szCs w:val="24"/>
          <w:lang w:val="en-US" w:eastAsia="zh-CN"/>
        </w:rPr>
        <w:t>安阳县高庄镇中心学校</w:t>
      </w:r>
    </w:p>
    <w:p>
      <w:pPr>
        <w:keepNext w:val="0"/>
        <w:keepLines w:val="0"/>
        <w:pageBreakBefore w:val="0"/>
        <w:widowControl w:val="0"/>
        <w:kinsoku/>
        <w:wordWrap/>
        <w:overflowPunct/>
        <w:topLinePunct w:val="0"/>
        <w:autoSpaceDE/>
        <w:autoSpaceDN/>
        <w:bidi w:val="0"/>
        <w:adjustRightInd/>
        <w:snapToGrid/>
        <w:spacing w:line="580" w:lineRule="exact"/>
        <w:ind w:firstLine="480" w:firstLineChars="200"/>
        <w:textAlignment w:val="auto"/>
        <w:rPr>
          <w:rFonts w:hint="default" w:ascii="微软雅黑" w:hAnsi="宋体" w:eastAsia="微软雅黑" w:cs="宋体"/>
          <w:color w:val="333333"/>
          <w:kern w:val="0"/>
          <w:sz w:val="24"/>
          <w:szCs w:val="24"/>
          <w:lang w:val="en-US" w:eastAsia="zh-CN"/>
        </w:rPr>
      </w:pPr>
      <w:r>
        <w:rPr>
          <w:rFonts w:hint="eastAsia" w:ascii="微软雅黑" w:hAnsi="宋体" w:eastAsia="微软雅黑" w:cs="宋体"/>
          <w:color w:val="333333"/>
          <w:kern w:val="0"/>
          <w:sz w:val="24"/>
          <w:szCs w:val="24"/>
        </w:rPr>
        <w:t>3</w:t>
      </w:r>
      <w:r>
        <w:rPr>
          <w:rFonts w:hint="eastAsia" w:ascii="微软雅黑" w:hAnsi="宋体" w:eastAsia="微软雅黑" w:cs="宋体"/>
          <w:color w:val="333333"/>
          <w:kern w:val="0"/>
          <w:sz w:val="24"/>
          <w:szCs w:val="24"/>
          <w:lang w:eastAsia="zh-CN"/>
        </w:rPr>
        <w:t>、</w:t>
      </w:r>
      <w:r>
        <w:rPr>
          <w:rFonts w:hint="eastAsia" w:ascii="微软雅黑" w:hAnsi="宋体" w:eastAsia="微软雅黑" w:cs="宋体"/>
          <w:color w:val="333333"/>
          <w:kern w:val="0"/>
          <w:sz w:val="24"/>
          <w:szCs w:val="24"/>
          <w:lang w:val="en-US" w:eastAsia="zh-CN"/>
        </w:rPr>
        <w:t>安阳市城乡一体化示范区建设投资有限公司</w:t>
      </w:r>
    </w:p>
    <w:p>
      <w:pPr>
        <w:keepNext w:val="0"/>
        <w:keepLines w:val="0"/>
        <w:pageBreakBefore w:val="0"/>
        <w:widowControl w:val="0"/>
        <w:shd w:val="clear" w:color="auto" w:fill="FFFFFF"/>
        <w:kinsoku/>
        <w:wordWrap/>
        <w:overflowPunct/>
        <w:topLinePunct w:val="0"/>
        <w:autoSpaceDE/>
        <w:autoSpaceDN/>
        <w:bidi w:val="0"/>
        <w:adjustRightInd/>
        <w:snapToGrid/>
        <w:spacing w:line="495" w:lineRule="atLeast"/>
        <w:ind w:firstLine="480" w:firstLineChars="200"/>
        <w:jc w:val="left"/>
        <w:textAlignment w:val="auto"/>
        <w:rPr>
          <w:rFonts w:ascii="微软雅黑" w:hAnsi="宋体" w:eastAsia="微软雅黑" w:cs="宋体"/>
          <w:color w:val="333333"/>
          <w:kern w:val="0"/>
          <w:sz w:val="24"/>
          <w:szCs w:val="24"/>
        </w:rPr>
      </w:pPr>
      <w:r>
        <w:rPr>
          <w:rFonts w:hint="eastAsia" w:ascii="微软雅黑" w:hAnsi="宋体" w:eastAsia="微软雅黑" w:cs="宋体"/>
          <w:color w:val="535353"/>
          <w:kern w:val="0"/>
          <w:sz w:val="24"/>
          <w:szCs w:val="24"/>
        </w:rPr>
        <w:t>（二）检查范围：202</w:t>
      </w:r>
      <w:r>
        <w:rPr>
          <w:rFonts w:hint="eastAsia" w:ascii="微软雅黑" w:hAnsi="宋体" w:eastAsia="微软雅黑" w:cs="宋体"/>
          <w:color w:val="535353"/>
          <w:kern w:val="0"/>
          <w:sz w:val="24"/>
          <w:szCs w:val="24"/>
          <w:lang w:val="en-US" w:eastAsia="zh-CN"/>
        </w:rPr>
        <w:t>5</w:t>
      </w:r>
      <w:r>
        <w:rPr>
          <w:rFonts w:hint="eastAsia" w:ascii="微软雅黑" w:hAnsi="宋体" w:eastAsia="微软雅黑" w:cs="宋体"/>
          <w:color w:val="535353"/>
          <w:kern w:val="0"/>
          <w:sz w:val="24"/>
          <w:szCs w:val="24"/>
        </w:rPr>
        <w:t>年度的会计信息质量情况，必要时可追溯到以前年度、可延伸检查二级机构及相关单位。</w:t>
      </w:r>
    </w:p>
    <w:p>
      <w:pPr>
        <w:keepNext w:val="0"/>
        <w:keepLines w:val="0"/>
        <w:pageBreakBefore w:val="0"/>
        <w:widowControl w:val="0"/>
        <w:kinsoku/>
        <w:wordWrap/>
        <w:overflowPunct/>
        <w:topLinePunct w:val="0"/>
        <w:autoSpaceDE/>
        <w:autoSpaceDN/>
        <w:bidi w:val="0"/>
        <w:adjustRightInd/>
        <w:snapToGrid/>
        <w:spacing w:line="495" w:lineRule="atLeast"/>
        <w:textAlignment w:val="auto"/>
        <w:rPr>
          <w:rFonts w:ascii="微软雅黑" w:hAnsi="宋体" w:eastAsia="微软雅黑" w:cs="宋体"/>
          <w:color w:val="333333"/>
          <w:kern w:val="0"/>
          <w:sz w:val="24"/>
          <w:szCs w:val="24"/>
        </w:rPr>
      </w:pPr>
      <w:r>
        <w:rPr>
          <w:rFonts w:hint="eastAsia" w:ascii="微软雅黑" w:hAnsi="宋体" w:eastAsia="微软雅黑" w:cs="宋体"/>
          <w:color w:val="535353"/>
          <w:kern w:val="0"/>
          <w:sz w:val="24"/>
          <w:szCs w:val="24"/>
        </w:rPr>
        <w:t>三、检查的主要内容</w:t>
      </w:r>
    </w:p>
    <w:p>
      <w:pPr>
        <w:keepNext w:val="0"/>
        <w:keepLines w:val="0"/>
        <w:pageBreakBefore w:val="0"/>
        <w:widowControl w:val="0"/>
        <w:kinsoku/>
        <w:wordWrap/>
        <w:overflowPunct/>
        <w:topLinePunct w:val="0"/>
        <w:autoSpaceDE/>
        <w:autoSpaceDN/>
        <w:bidi w:val="0"/>
        <w:adjustRightInd/>
        <w:snapToGrid/>
        <w:spacing w:line="580" w:lineRule="exact"/>
        <w:ind w:firstLine="480" w:firstLineChars="200"/>
        <w:textAlignment w:val="auto"/>
        <w:rPr>
          <w:rFonts w:hint="eastAsia" w:ascii="微软雅黑" w:hAnsi="宋体" w:eastAsia="微软雅黑" w:cs="宋体"/>
          <w:color w:val="333333"/>
          <w:kern w:val="0"/>
          <w:sz w:val="24"/>
          <w:szCs w:val="24"/>
          <w:lang w:eastAsia="zh-CN"/>
        </w:rPr>
      </w:pPr>
      <w:r>
        <w:rPr>
          <w:rFonts w:hint="eastAsia" w:ascii="微软雅黑" w:hAnsi="宋体" w:eastAsia="微软雅黑" w:cs="宋体"/>
          <w:color w:val="333333"/>
          <w:kern w:val="0"/>
          <w:sz w:val="24"/>
          <w:szCs w:val="24"/>
          <w:lang w:val="en-US" w:eastAsia="zh-CN"/>
        </w:rPr>
        <w:t>行政事业单位单位</w:t>
      </w:r>
      <w:r>
        <w:rPr>
          <w:rFonts w:hint="eastAsia" w:ascii="微软雅黑" w:hAnsi="宋体" w:eastAsia="微软雅黑" w:cs="宋体"/>
          <w:color w:val="333333"/>
          <w:kern w:val="0"/>
          <w:sz w:val="24"/>
          <w:szCs w:val="24"/>
        </w:rPr>
        <w:t>重点关注政府会计准则制度的贯彻实施、单位内部控制制度的建立和执行情况</w:t>
      </w:r>
      <w:r>
        <w:rPr>
          <w:rFonts w:hint="eastAsia" w:ascii="微软雅黑" w:hAnsi="宋体" w:eastAsia="微软雅黑" w:cs="宋体"/>
          <w:color w:val="333333"/>
          <w:kern w:val="0"/>
          <w:sz w:val="24"/>
          <w:szCs w:val="24"/>
          <w:lang w:eastAsia="zh-CN"/>
        </w:rPr>
        <w:t>。</w:t>
      </w:r>
      <w:r>
        <w:rPr>
          <w:rFonts w:hint="eastAsia" w:ascii="微软雅黑" w:hAnsi="宋体" w:eastAsia="微软雅黑" w:cs="宋体"/>
          <w:color w:val="333333"/>
          <w:kern w:val="0"/>
          <w:sz w:val="24"/>
          <w:szCs w:val="24"/>
        </w:rPr>
        <w:t>重点检查是否依法设置会计账簿、会计资料是否真实及完整、会计核算是否符合《中华人民共和国会计法》和国家统一的会计制度的规定等情况</w:t>
      </w:r>
      <w:r>
        <w:rPr>
          <w:rFonts w:hint="eastAsia" w:ascii="微软雅黑" w:hAnsi="宋体" w:eastAsia="微软雅黑" w:cs="宋体"/>
          <w:color w:val="333333"/>
          <w:kern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480" w:firstLineChars="200"/>
        <w:textAlignment w:val="auto"/>
        <w:rPr>
          <w:rFonts w:hint="eastAsia" w:ascii="微软雅黑" w:hAnsi="宋体" w:eastAsia="微软雅黑" w:cs="宋体"/>
          <w:color w:val="535353"/>
          <w:kern w:val="0"/>
          <w:sz w:val="24"/>
          <w:szCs w:val="24"/>
        </w:rPr>
      </w:pPr>
      <w:r>
        <w:rPr>
          <w:rFonts w:hint="eastAsia" w:ascii="微软雅黑" w:hAnsi="宋体" w:eastAsia="微软雅黑" w:cs="宋体"/>
          <w:color w:val="333333"/>
          <w:kern w:val="0"/>
          <w:sz w:val="24"/>
          <w:szCs w:val="24"/>
        </w:rPr>
        <w:t>国有企业检查重点关注收入确认、资产减值、金融工具、商誉、会计估计等方面</w:t>
      </w:r>
      <w:r>
        <w:rPr>
          <w:rFonts w:hint="eastAsia" w:ascii="微软雅黑" w:hAnsi="宋体" w:eastAsia="微软雅黑" w:cs="宋体"/>
          <w:color w:val="333333"/>
          <w:kern w:val="0"/>
          <w:sz w:val="24"/>
          <w:szCs w:val="24"/>
          <w:lang w:eastAsia="zh-CN"/>
        </w:rPr>
        <w:t>；</w:t>
      </w:r>
      <w:r>
        <w:rPr>
          <w:rFonts w:hint="eastAsia" w:ascii="微软雅黑" w:hAnsi="宋体" w:eastAsia="微软雅黑" w:cs="宋体"/>
          <w:color w:val="333333"/>
          <w:kern w:val="0"/>
          <w:sz w:val="24"/>
          <w:szCs w:val="24"/>
        </w:rPr>
        <w:t>持续关注企业内部控制制度建立与实施情况；坚决遏制利</w:t>
      </w:r>
      <w:r>
        <w:rPr>
          <w:rFonts w:hint="eastAsia" w:ascii="微软雅黑" w:hAnsi="宋体" w:eastAsia="微软雅黑" w:cs="宋体"/>
          <w:color w:val="535353"/>
          <w:kern w:val="0"/>
          <w:sz w:val="24"/>
          <w:szCs w:val="24"/>
        </w:rPr>
        <w:t>用估值、判断等方式滥用会计准则的违法动机，严厉打击虚构经济业务、虚增利润粉饰报表、编制虚假财务会计报告等违法违规行为；重点关注国有企业负责人薪酬制度和工资决定机制改革政策执行情况，</w:t>
      </w:r>
    </w:p>
    <w:p>
      <w:pPr>
        <w:keepNext w:val="0"/>
        <w:keepLines w:val="0"/>
        <w:pageBreakBefore w:val="0"/>
        <w:widowControl w:val="0"/>
        <w:kinsoku/>
        <w:wordWrap/>
        <w:overflowPunct/>
        <w:topLinePunct w:val="0"/>
        <w:autoSpaceDE/>
        <w:autoSpaceDN/>
        <w:bidi w:val="0"/>
        <w:adjustRightInd/>
        <w:snapToGrid/>
        <w:spacing w:line="495" w:lineRule="atLeast"/>
        <w:textAlignment w:val="auto"/>
        <w:rPr>
          <w:rFonts w:ascii="微软雅黑" w:hAnsi="宋体" w:eastAsia="微软雅黑" w:cs="宋体"/>
          <w:color w:val="333333"/>
          <w:kern w:val="0"/>
          <w:sz w:val="24"/>
          <w:szCs w:val="24"/>
        </w:rPr>
      </w:pPr>
      <w:r>
        <w:rPr>
          <w:rFonts w:hint="eastAsia" w:ascii="微软雅黑" w:hAnsi="宋体" w:eastAsia="微软雅黑" w:cs="宋体"/>
          <w:color w:val="535353"/>
          <w:kern w:val="0"/>
          <w:sz w:val="24"/>
          <w:szCs w:val="24"/>
        </w:rPr>
        <w:t>四、检查依据</w:t>
      </w:r>
    </w:p>
    <w:p>
      <w:pPr>
        <w:keepNext w:val="0"/>
        <w:keepLines w:val="0"/>
        <w:pageBreakBefore w:val="0"/>
        <w:widowControl w:val="0"/>
        <w:kinsoku/>
        <w:wordWrap/>
        <w:overflowPunct/>
        <w:topLinePunct w:val="0"/>
        <w:autoSpaceDE/>
        <w:autoSpaceDN/>
        <w:bidi w:val="0"/>
        <w:adjustRightInd/>
        <w:snapToGrid/>
        <w:spacing w:line="540" w:lineRule="exact"/>
        <w:ind w:firstLine="470" w:firstLineChars="196"/>
        <w:textAlignment w:val="auto"/>
        <w:rPr>
          <w:rFonts w:ascii="微软雅黑" w:hAnsi="宋体" w:eastAsia="微软雅黑" w:cs="宋体"/>
          <w:color w:val="535353"/>
          <w:kern w:val="0"/>
          <w:sz w:val="24"/>
          <w:szCs w:val="24"/>
        </w:rPr>
      </w:pPr>
      <w:r>
        <w:rPr>
          <w:rFonts w:hint="eastAsia" w:ascii="微软雅黑" w:hAnsi="宋体" w:eastAsia="微软雅黑" w:cs="宋体"/>
          <w:color w:val="535353"/>
          <w:kern w:val="0"/>
          <w:sz w:val="24"/>
          <w:szCs w:val="24"/>
        </w:rPr>
        <w:t>本次检查的主要依据：</w:t>
      </w:r>
    </w:p>
    <w:p>
      <w:pPr>
        <w:keepNext w:val="0"/>
        <w:keepLines w:val="0"/>
        <w:pageBreakBefore w:val="0"/>
        <w:widowControl w:val="0"/>
        <w:kinsoku/>
        <w:wordWrap/>
        <w:overflowPunct/>
        <w:topLinePunct w:val="0"/>
        <w:autoSpaceDE/>
        <w:autoSpaceDN/>
        <w:bidi w:val="0"/>
        <w:adjustRightInd/>
        <w:snapToGrid/>
        <w:spacing w:line="540" w:lineRule="exact"/>
        <w:ind w:firstLine="470" w:firstLineChars="196"/>
        <w:textAlignment w:val="auto"/>
        <w:rPr>
          <w:rFonts w:ascii="微软雅黑" w:hAnsi="宋体" w:eastAsia="微软雅黑" w:cs="宋体"/>
          <w:color w:val="535353"/>
          <w:kern w:val="0"/>
          <w:sz w:val="24"/>
          <w:szCs w:val="24"/>
        </w:rPr>
      </w:pPr>
      <w:r>
        <w:rPr>
          <w:rFonts w:hint="eastAsia" w:ascii="微软雅黑" w:hAnsi="宋体" w:eastAsia="微软雅黑" w:cs="宋体"/>
          <w:color w:val="535353"/>
          <w:kern w:val="0"/>
          <w:sz w:val="24"/>
          <w:szCs w:val="24"/>
        </w:rPr>
        <w:t>1.《中华人民共和国会计法》</w:t>
      </w:r>
    </w:p>
    <w:p>
      <w:pPr>
        <w:keepNext w:val="0"/>
        <w:keepLines w:val="0"/>
        <w:pageBreakBefore w:val="0"/>
        <w:widowControl w:val="0"/>
        <w:kinsoku/>
        <w:wordWrap/>
        <w:overflowPunct/>
        <w:topLinePunct w:val="0"/>
        <w:autoSpaceDE/>
        <w:autoSpaceDN/>
        <w:bidi w:val="0"/>
        <w:adjustRightInd/>
        <w:snapToGrid/>
        <w:spacing w:line="540" w:lineRule="exact"/>
        <w:ind w:firstLine="470" w:firstLineChars="196"/>
        <w:textAlignment w:val="auto"/>
        <w:rPr>
          <w:rFonts w:ascii="微软雅黑" w:hAnsi="宋体" w:eastAsia="微软雅黑" w:cs="宋体"/>
          <w:color w:val="535353"/>
          <w:kern w:val="0"/>
          <w:sz w:val="24"/>
          <w:szCs w:val="24"/>
        </w:rPr>
      </w:pPr>
      <w:r>
        <w:rPr>
          <w:rFonts w:hint="eastAsia" w:ascii="微软雅黑" w:hAnsi="宋体" w:eastAsia="微软雅黑" w:cs="宋体"/>
          <w:color w:val="535353"/>
          <w:kern w:val="0"/>
          <w:sz w:val="24"/>
          <w:szCs w:val="24"/>
        </w:rPr>
        <w:t>2.《中华人民共和国预算法》</w:t>
      </w:r>
    </w:p>
    <w:p>
      <w:pPr>
        <w:keepNext w:val="0"/>
        <w:keepLines w:val="0"/>
        <w:pageBreakBefore w:val="0"/>
        <w:widowControl w:val="0"/>
        <w:kinsoku/>
        <w:wordWrap/>
        <w:overflowPunct/>
        <w:topLinePunct w:val="0"/>
        <w:autoSpaceDE/>
        <w:autoSpaceDN/>
        <w:bidi w:val="0"/>
        <w:adjustRightInd/>
        <w:snapToGrid/>
        <w:spacing w:line="540" w:lineRule="exact"/>
        <w:ind w:firstLine="470" w:firstLineChars="196"/>
        <w:textAlignment w:val="auto"/>
        <w:rPr>
          <w:rFonts w:ascii="微软雅黑" w:hAnsi="宋体" w:eastAsia="微软雅黑" w:cs="宋体"/>
          <w:color w:val="535353"/>
          <w:kern w:val="0"/>
          <w:sz w:val="24"/>
          <w:szCs w:val="24"/>
        </w:rPr>
      </w:pPr>
      <w:r>
        <w:rPr>
          <w:rFonts w:hint="eastAsia" w:ascii="微软雅黑" w:hAnsi="宋体" w:eastAsia="微软雅黑" w:cs="宋体"/>
          <w:color w:val="535353"/>
          <w:kern w:val="0"/>
          <w:sz w:val="24"/>
          <w:szCs w:val="24"/>
        </w:rPr>
        <w:t>3</w:t>
      </w:r>
      <w:r>
        <w:rPr>
          <w:rFonts w:ascii="微软雅黑" w:hAnsi="宋体" w:eastAsia="微软雅黑" w:cs="宋体"/>
          <w:color w:val="535353"/>
          <w:kern w:val="0"/>
          <w:sz w:val="24"/>
          <w:szCs w:val="24"/>
        </w:rPr>
        <w:t>.</w:t>
      </w:r>
      <w:r>
        <w:rPr>
          <w:rFonts w:hint="eastAsia" w:ascii="微软雅黑" w:hAnsi="宋体" w:eastAsia="微软雅黑" w:cs="宋体"/>
          <w:color w:val="535353"/>
          <w:kern w:val="0"/>
          <w:sz w:val="24"/>
          <w:szCs w:val="24"/>
        </w:rPr>
        <w:t>《政府会计准则制度》</w:t>
      </w:r>
    </w:p>
    <w:p>
      <w:pPr>
        <w:keepNext w:val="0"/>
        <w:keepLines w:val="0"/>
        <w:pageBreakBefore w:val="0"/>
        <w:widowControl w:val="0"/>
        <w:kinsoku/>
        <w:wordWrap/>
        <w:overflowPunct/>
        <w:topLinePunct w:val="0"/>
        <w:autoSpaceDE/>
        <w:autoSpaceDN/>
        <w:bidi w:val="0"/>
        <w:adjustRightInd/>
        <w:snapToGrid/>
        <w:spacing w:line="540" w:lineRule="exact"/>
        <w:ind w:firstLine="470" w:firstLineChars="196"/>
        <w:textAlignment w:val="auto"/>
        <w:rPr>
          <w:rFonts w:ascii="微软雅黑" w:hAnsi="宋体" w:eastAsia="微软雅黑" w:cs="宋体"/>
          <w:color w:val="535353"/>
          <w:kern w:val="0"/>
          <w:sz w:val="24"/>
          <w:szCs w:val="24"/>
        </w:rPr>
      </w:pPr>
      <w:r>
        <w:rPr>
          <w:rFonts w:ascii="微软雅黑" w:hAnsi="宋体" w:eastAsia="微软雅黑" w:cs="宋体"/>
          <w:color w:val="535353"/>
          <w:kern w:val="0"/>
          <w:sz w:val="24"/>
          <w:szCs w:val="24"/>
        </w:rPr>
        <w:t>4</w:t>
      </w:r>
      <w:r>
        <w:rPr>
          <w:rFonts w:hint="eastAsia" w:ascii="微软雅黑" w:hAnsi="宋体" w:eastAsia="微软雅黑" w:cs="宋体"/>
          <w:color w:val="535353"/>
          <w:kern w:val="0"/>
          <w:sz w:val="24"/>
          <w:szCs w:val="24"/>
        </w:rPr>
        <w:t>.《行政单位财务规则》</w:t>
      </w:r>
    </w:p>
    <w:p>
      <w:pPr>
        <w:keepNext w:val="0"/>
        <w:keepLines w:val="0"/>
        <w:pageBreakBefore w:val="0"/>
        <w:widowControl w:val="0"/>
        <w:kinsoku/>
        <w:wordWrap/>
        <w:overflowPunct/>
        <w:topLinePunct w:val="0"/>
        <w:autoSpaceDE/>
        <w:autoSpaceDN/>
        <w:bidi w:val="0"/>
        <w:adjustRightInd/>
        <w:snapToGrid/>
        <w:spacing w:line="540" w:lineRule="exact"/>
        <w:ind w:firstLine="470" w:firstLineChars="196"/>
        <w:textAlignment w:val="auto"/>
        <w:rPr>
          <w:rFonts w:ascii="微软雅黑" w:hAnsi="宋体" w:eastAsia="微软雅黑" w:cs="宋体"/>
          <w:color w:val="535353"/>
          <w:kern w:val="0"/>
          <w:sz w:val="24"/>
          <w:szCs w:val="24"/>
        </w:rPr>
      </w:pPr>
      <w:r>
        <w:rPr>
          <w:rFonts w:ascii="微软雅黑" w:hAnsi="宋体" w:eastAsia="微软雅黑" w:cs="宋体"/>
          <w:color w:val="535353"/>
          <w:kern w:val="0"/>
          <w:sz w:val="24"/>
          <w:szCs w:val="24"/>
        </w:rPr>
        <w:t>5</w:t>
      </w:r>
      <w:r>
        <w:rPr>
          <w:rFonts w:hint="eastAsia" w:ascii="微软雅黑" w:hAnsi="宋体" w:eastAsia="微软雅黑" w:cs="宋体"/>
          <w:color w:val="535353"/>
          <w:kern w:val="0"/>
          <w:sz w:val="24"/>
          <w:szCs w:val="24"/>
        </w:rPr>
        <w:t>.《事业单位会计准则》</w:t>
      </w:r>
    </w:p>
    <w:p>
      <w:pPr>
        <w:keepNext w:val="0"/>
        <w:keepLines w:val="0"/>
        <w:pageBreakBefore w:val="0"/>
        <w:widowControl w:val="0"/>
        <w:kinsoku/>
        <w:wordWrap/>
        <w:overflowPunct/>
        <w:topLinePunct w:val="0"/>
        <w:autoSpaceDE/>
        <w:autoSpaceDN/>
        <w:bidi w:val="0"/>
        <w:adjustRightInd/>
        <w:snapToGrid/>
        <w:spacing w:line="540" w:lineRule="exact"/>
        <w:ind w:firstLine="470" w:firstLineChars="196"/>
        <w:textAlignment w:val="auto"/>
        <w:rPr>
          <w:rFonts w:ascii="微软雅黑" w:hAnsi="宋体" w:eastAsia="微软雅黑" w:cs="宋体"/>
          <w:color w:val="535353"/>
          <w:kern w:val="0"/>
          <w:sz w:val="24"/>
          <w:szCs w:val="24"/>
        </w:rPr>
      </w:pPr>
      <w:r>
        <w:rPr>
          <w:rFonts w:ascii="微软雅黑" w:hAnsi="宋体" w:eastAsia="微软雅黑" w:cs="宋体"/>
          <w:color w:val="535353"/>
          <w:kern w:val="0"/>
          <w:sz w:val="24"/>
          <w:szCs w:val="24"/>
        </w:rPr>
        <w:t>6</w:t>
      </w:r>
      <w:r>
        <w:rPr>
          <w:rFonts w:hint="eastAsia" w:ascii="微软雅黑" w:hAnsi="宋体" w:eastAsia="微软雅黑" w:cs="宋体"/>
          <w:color w:val="535353"/>
          <w:kern w:val="0"/>
          <w:sz w:val="24"/>
          <w:szCs w:val="24"/>
        </w:rPr>
        <w:t>.《事业单位财务规则》</w:t>
      </w:r>
    </w:p>
    <w:p>
      <w:pPr>
        <w:keepNext w:val="0"/>
        <w:keepLines w:val="0"/>
        <w:pageBreakBefore w:val="0"/>
        <w:widowControl w:val="0"/>
        <w:kinsoku/>
        <w:wordWrap/>
        <w:overflowPunct/>
        <w:topLinePunct w:val="0"/>
        <w:autoSpaceDE/>
        <w:autoSpaceDN/>
        <w:bidi w:val="0"/>
        <w:adjustRightInd/>
        <w:snapToGrid/>
        <w:spacing w:line="540" w:lineRule="exact"/>
        <w:ind w:firstLine="470" w:firstLineChars="196"/>
        <w:textAlignment w:val="auto"/>
        <w:rPr>
          <w:rFonts w:ascii="微软雅黑" w:hAnsi="宋体" w:eastAsia="微软雅黑" w:cs="宋体"/>
          <w:color w:val="535353"/>
          <w:kern w:val="0"/>
          <w:sz w:val="24"/>
          <w:szCs w:val="24"/>
        </w:rPr>
      </w:pPr>
      <w:r>
        <w:rPr>
          <w:rFonts w:ascii="微软雅黑" w:hAnsi="宋体" w:eastAsia="微软雅黑" w:cs="宋体"/>
          <w:color w:val="535353"/>
          <w:kern w:val="0"/>
          <w:sz w:val="24"/>
          <w:szCs w:val="24"/>
        </w:rPr>
        <w:t>7</w:t>
      </w:r>
      <w:r>
        <w:rPr>
          <w:rFonts w:hint="eastAsia" w:ascii="微软雅黑" w:hAnsi="宋体" w:eastAsia="微软雅黑" w:cs="宋体"/>
          <w:color w:val="535353"/>
          <w:kern w:val="0"/>
          <w:sz w:val="24"/>
          <w:szCs w:val="24"/>
        </w:rPr>
        <w:t>.《企业会计制度》</w:t>
      </w:r>
    </w:p>
    <w:p>
      <w:pPr>
        <w:keepNext w:val="0"/>
        <w:keepLines w:val="0"/>
        <w:pageBreakBefore w:val="0"/>
        <w:widowControl w:val="0"/>
        <w:kinsoku/>
        <w:wordWrap/>
        <w:overflowPunct/>
        <w:topLinePunct w:val="0"/>
        <w:autoSpaceDE/>
        <w:autoSpaceDN/>
        <w:bidi w:val="0"/>
        <w:adjustRightInd/>
        <w:snapToGrid/>
        <w:spacing w:line="540" w:lineRule="exact"/>
        <w:ind w:firstLine="470" w:firstLineChars="196"/>
        <w:textAlignment w:val="auto"/>
        <w:rPr>
          <w:rFonts w:ascii="微软雅黑" w:hAnsi="宋体" w:eastAsia="微软雅黑" w:cs="宋体"/>
          <w:color w:val="535353"/>
          <w:kern w:val="0"/>
          <w:sz w:val="24"/>
          <w:szCs w:val="24"/>
        </w:rPr>
      </w:pPr>
      <w:r>
        <w:rPr>
          <w:rFonts w:ascii="微软雅黑" w:hAnsi="宋体" w:eastAsia="微软雅黑" w:cs="宋体"/>
          <w:color w:val="535353"/>
          <w:kern w:val="0"/>
          <w:sz w:val="24"/>
          <w:szCs w:val="24"/>
        </w:rPr>
        <w:t>8</w:t>
      </w:r>
      <w:r>
        <w:rPr>
          <w:rFonts w:hint="eastAsia" w:ascii="微软雅黑" w:hAnsi="宋体" w:eastAsia="微软雅黑" w:cs="宋体"/>
          <w:color w:val="535353"/>
          <w:kern w:val="0"/>
          <w:sz w:val="24"/>
          <w:szCs w:val="24"/>
        </w:rPr>
        <w:t>.《中华人民共和国预算法实施条例》</w:t>
      </w:r>
    </w:p>
    <w:p>
      <w:pPr>
        <w:keepNext w:val="0"/>
        <w:keepLines w:val="0"/>
        <w:pageBreakBefore w:val="0"/>
        <w:widowControl w:val="0"/>
        <w:kinsoku/>
        <w:wordWrap/>
        <w:overflowPunct/>
        <w:topLinePunct w:val="0"/>
        <w:autoSpaceDE/>
        <w:autoSpaceDN/>
        <w:bidi w:val="0"/>
        <w:adjustRightInd/>
        <w:snapToGrid/>
        <w:spacing w:line="540" w:lineRule="exact"/>
        <w:ind w:firstLine="470" w:firstLineChars="196"/>
        <w:textAlignment w:val="auto"/>
        <w:rPr>
          <w:rFonts w:ascii="微软雅黑" w:hAnsi="宋体" w:eastAsia="微软雅黑" w:cs="宋体"/>
          <w:color w:val="535353"/>
          <w:kern w:val="0"/>
          <w:sz w:val="24"/>
          <w:szCs w:val="24"/>
        </w:rPr>
      </w:pPr>
      <w:r>
        <w:rPr>
          <w:rFonts w:ascii="微软雅黑" w:hAnsi="宋体" w:eastAsia="微软雅黑" w:cs="宋体"/>
          <w:color w:val="535353"/>
          <w:kern w:val="0"/>
          <w:sz w:val="24"/>
          <w:szCs w:val="24"/>
        </w:rPr>
        <w:t>9</w:t>
      </w:r>
      <w:r>
        <w:rPr>
          <w:rFonts w:hint="eastAsia" w:ascii="微软雅黑" w:hAnsi="宋体" w:eastAsia="微软雅黑" w:cs="宋体"/>
          <w:color w:val="535353"/>
          <w:kern w:val="0"/>
          <w:sz w:val="24"/>
          <w:szCs w:val="24"/>
        </w:rPr>
        <w:t>.《行政事业单位内部控制规范(试行)》</w:t>
      </w:r>
    </w:p>
    <w:p>
      <w:pPr>
        <w:keepNext w:val="0"/>
        <w:keepLines w:val="0"/>
        <w:pageBreakBefore w:val="0"/>
        <w:widowControl w:val="0"/>
        <w:kinsoku/>
        <w:wordWrap/>
        <w:overflowPunct/>
        <w:topLinePunct w:val="0"/>
        <w:autoSpaceDE/>
        <w:autoSpaceDN/>
        <w:bidi w:val="0"/>
        <w:adjustRightInd/>
        <w:snapToGrid/>
        <w:spacing w:line="540" w:lineRule="exact"/>
        <w:ind w:firstLine="470" w:firstLineChars="196"/>
        <w:textAlignment w:val="auto"/>
        <w:rPr>
          <w:rFonts w:ascii="微软雅黑" w:hAnsi="宋体" w:eastAsia="微软雅黑" w:cs="宋体"/>
          <w:color w:val="535353"/>
          <w:kern w:val="0"/>
          <w:sz w:val="24"/>
          <w:szCs w:val="24"/>
        </w:rPr>
      </w:pPr>
      <w:r>
        <w:rPr>
          <w:rFonts w:ascii="微软雅黑" w:hAnsi="宋体" w:eastAsia="微软雅黑" w:cs="宋体"/>
          <w:color w:val="535353"/>
          <w:kern w:val="0"/>
          <w:sz w:val="24"/>
          <w:szCs w:val="24"/>
        </w:rPr>
        <w:t>10</w:t>
      </w:r>
      <w:r>
        <w:rPr>
          <w:rFonts w:hint="eastAsia" w:ascii="微软雅黑" w:hAnsi="宋体" w:eastAsia="微软雅黑" w:cs="宋体"/>
          <w:color w:val="535353"/>
          <w:kern w:val="0"/>
          <w:sz w:val="24"/>
          <w:szCs w:val="24"/>
        </w:rPr>
        <w:t>.《河南省财政监督办法》（省政府第135号令）</w:t>
      </w:r>
    </w:p>
    <w:p>
      <w:pPr>
        <w:keepNext w:val="0"/>
        <w:keepLines w:val="0"/>
        <w:pageBreakBefore w:val="0"/>
        <w:widowControl w:val="0"/>
        <w:kinsoku/>
        <w:wordWrap/>
        <w:overflowPunct/>
        <w:topLinePunct w:val="0"/>
        <w:autoSpaceDE/>
        <w:autoSpaceDN/>
        <w:bidi w:val="0"/>
        <w:adjustRightInd/>
        <w:snapToGrid/>
        <w:spacing w:line="540" w:lineRule="exact"/>
        <w:ind w:firstLine="470" w:firstLineChars="196"/>
        <w:textAlignment w:val="auto"/>
        <w:rPr>
          <w:rFonts w:ascii="微软雅黑" w:hAnsi="宋体" w:eastAsia="微软雅黑" w:cs="宋体"/>
          <w:color w:val="535353"/>
          <w:kern w:val="0"/>
          <w:sz w:val="24"/>
          <w:szCs w:val="24"/>
        </w:rPr>
      </w:pPr>
      <w:r>
        <w:rPr>
          <w:rFonts w:hint="eastAsia" w:ascii="微软雅黑" w:hAnsi="宋体" w:eastAsia="微软雅黑" w:cs="宋体"/>
          <w:color w:val="535353"/>
          <w:kern w:val="0"/>
          <w:sz w:val="24"/>
          <w:szCs w:val="24"/>
        </w:rPr>
        <w:t>1</w:t>
      </w:r>
      <w:r>
        <w:rPr>
          <w:rFonts w:ascii="微软雅黑" w:hAnsi="宋体" w:eastAsia="微软雅黑" w:cs="宋体"/>
          <w:color w:val="535353"/>
          <w:kern w:val="0"/>
          <w:sz w:val="24"/>
          <w:szCs w:val="24"/>
        </w:rPr>
        <w:t>1</w:t>
      </w:r>
      <w:r>
        <w:rPr>
          <w:rFonts w:hint="eastAsia" w:ascii="微软雅黑" w:hAnsi="宋体" w:eastAsia="微软雅黑" w:cs="宋体"/>
          <w:color w:val="535353"/>
          <w:kern w:val="0"/>
          <w:sz w:val="24"/>
          <w:szCs w:val="24"/>
        </w:rPr>
        <w:t>.《财政违法行为处罚处分条例》</w:t>
      </w:r>
    </w:p>
    <w:p>
      <w:pPr>
        <w:keepNext w:val="0"/>
        <w:keepLines w:val="0"/>
        <w:pageBreakBefore w:val="0"/>
        <w:widowControl w:val="0"/>
        <w:kinsoku/>
        <w:wordWrap/>
        <w:overflowPunct/>
        <w:topLinePunct w:val="0"/>
        <w:autoSpaceDE/>
        <w:autoSpaceDN/>
        <w:bidi w:val="0"/>
        <w:adjustRightInd/>
        <w:snapToGrid/>
        <w:spacing w:line="540" w:lineRule="exact"/>
        <w:ind w:firstLine="470" w:firstLineChars="196"/>
        <w:textAlignment w:val="auto"/>
        <w:rPr>
          <w:rFonts w:ascii="微软雅黑" w:hAnsi="宋体" w:eastAsia="微软雅黑" w:cs="宋体"/>
          <w:color w:val="535353"/>
          <w:kern w:val="0"/>
          <w:sz w:val="24"/>
          <w:szCs w:val="24"/>
        </w:rPr>
      </w:pPr>
      <w:r>
        <w:rPr>
          <w:rFonts w:ascii="微软雅黑" w:hAnsi="宋体" w:eastAsia="微软雅黑" w:cs="宋体"/>
          <w:color w:val="535353"/>
          <w:kern w:val="0"/>
          <w:sz w:val="24"/>
          <w:szCs w:val="24"/>
        </w:rPr>
        <w:t>12</w:t>
      </w:r>
      <w:r>
        <w:rPr>
          <w:rFonts w:hint="eastAsia" w:ascii="微软雅黑" w:hAnsi="宋体" w:eastAsia="微软雅黑" w:cs="宋体"/>
          <w:color w:val="535353"/>
          <w:kern w:val="0"/>
          <w:sz w:val="24"/>
          <w:szCs w:val="24"/>
        </w:rPr>
        <w:t>.其他制度规定</w:t>
      </w:r>
    </w:p>
    <w:p>
      <w:pPr>
        <w:keepNext w:val="0"/>
        <w:keepLines w:val="0"/>
        <w:pageBreakBefore w:val="0"/>
        <w:widowControl w:val="0"/>
        <w:kinsoku/>
        <w:wordWrap/>
        <w:overflowPunct/>
        <w:topLinePunct w:val="0"/>
        <w:autoSpaceDE/>
        <w:autoSpaceDN/>
        <w:bidi w:val="0"/>
        <w:adjustRightInd/>
        <w:snapToGrid/>
        <w:spacing w:line="495" w:lineRule="atLeast"/>
        <w:ind w:firstLine="480"/>
        <w:textAlignment w:val="auto"/>
        <w:rPr>
          <w:rFonts w:ascii="微软雅黑" w:hAnsi="宋体" w:eastAsia="微软雅黑" w:cs="宋体"/>
          <w:color w:val="333333"/>
          <w:kern w:val="0"/>
          <w:sz w:val="24"/>
          <w:szCs w:val="24"/>
        </w:rPr>
      </w:pPr>
      <w:r>
        <w:rPr>
          <w:rFonts w:hint="eastAsia" w:ascii="微软雅黑" w:hAnsi="宋体" w:eastAsia="微软雅黑" w:cs="宋体"/>
          <w:color w:val="535353"/>
          <w:kern w:val="0"/>
          <w:sz w:val="24"/>
          <w:szCs w:val="24"/>
        </w:rPr>
        <w:t>五、组织实施及时间安排</w:t>
      </w:r>
    </w:p>
    <w:p>
      <w:pPr>
        <w:keepNext w:val="0"/>
        <w:keepLines w:val="0"/>
        <w:pageBreakBefore w:val="0"/>
        <w:widowControl w:val="0"/>
        <w:kinsoku/>
        <w:wordWrap/>
        <w:overflowPunct/>
        <w:topLinePunct w:val="0"/>
        <w:autoSpaceDE/>
        <w:autoSpaceDN/>
        <w:bidi w:val="0"/>
        <w:adjustRightInd/>
        <w:snapToGrid/>
        <w:spacing w:line="495" w:lineRule="atLeast"/>
        <w:ind w:firstLine="480"/>
        <w:textAlignment w:val="auto"/>
        <w:rPr>
          <w:rFonts w:ascii="微软雅黑" w:hAnsi="宋体" w:eastAsia="微软雅黑" w:cs="宋体"/>
          <w:color w:val="333333"/>
          <w:kern w:val="0"/>
          <w:sz w:val="24"/>
          <w:szCs w:val="24"/>
        </w:rPr>
      </w:pPr>
      <w:r>
        <w:rPr>
          <w:rFonts w:hint="eastAsia" w:ascii="微软雅黑" w:hAnsi="宋体" w:eastAsia="微软雅黑" w:cs="宋体"/>
          <w:color w:val="535353"/>
          <w:kern w:val="0"/>
          <w:sz w:val="24"/>
          <w:szCs w:val="24"/>
        </w:rPr>
        <w:t>本次检查工作由安阳县财政局组织实施，采取现场检查和调账检查相结合的方式进行。自202</w:t>
      </w:r>
      <w:r>
        <w:rPr>
          <w:rFonts w:hint="eastAsia" w:ascii="微软雅黑" w:hAnsi="宋体" w:eastAsia="微软雅黑" w:cs="宋体"/>
          <w:color w:val="535353"/>
          <w:kern w:val="0"/>
          <w:sz w:val="24"/>
          <w:szCs w:val="24"/>
          <w:lang w:val="en-US" w:eastAsia="zh-CN"/>
        </w:rPr>
        <w:t>6</w:t>
      </w:r>
      <w:r>
        <w:rPr>
          <w:rFonts w:hint="eastAsia" w:ascii="微软雅黑" w:hAnsi="宋体" w:eastAsia="微软雅黑" w:cs="宋体"/>
          <w:color w:val="535353"/>
          <w:kern w:val="0"/>
          <w:sz w:val="24"/>
          <w:szCs w:val="24"/>
        </w:rPr>
        <w:t xml:space="preserve">年 </w:t>
      </w:r>
      <w:r>
        <w:rPr>
          <w:rFonts w:hint="eastAsia" w:ascii="微软雅黑" w:hAnsi="宋体" w:eastAsia="微软雅黑" w:cs="宋体"/>
          <w:color w:val="535353"/>
          <w:kern w:val="0"/>
          <w:sz w:val="24"/>
          <w:szCs w:val="24"/>
          <w:lang w:val="en-US" w:eastAsia="zh-CN"/>
        </w:rPr>
        <w:t>7</w:t>
      </w:r>
      <w:r>
        <w:rPr>
          <w:rFonts w:hint="eastAsia" w:ascii="微软雅黑" w:hAnsi="宋体" w:eastAsia="微软雅黑" w:cs="宋体"/>
          <w:color w:val="535353"/>
          <w:kern w:val="0"/>
          <w:sz w:val="24"/>
          <w:szCs w:val="24"/>
        </w:rPr>
        <w:t>月</w:t>
      </w:r>
      <w:r>
        <w:rPr>
          <w:rFonts w:hint="eastAsia" w:ascii="微软雅黑" w:hAnsi="宋体" w:eastAsia="微软雅黑" w:cs="宋体"/>
          <w:color w:val="535353"/>
          <w:kern w:val="0"/>
          <w:sz w:val="24"/>
          <w:szCs w:val="24"/>
          <w:lang w:val="en-US" w:eastAsia="zh-CN"/>
        </w:rPr>
        <w:t>23</w:t>
      </w:r>
      <w:r>
        <w:rPr>
          <w:rFonts w:hint="eastAsia" w:ascii="微软雅黑" w:hAnsi="宋体" w:eastAsia="微软雅黑" w:cs="宋体"/>
          <w:color w:val="535353"/>
          <w:kern w:val="0"/>
          <w:sz w:val="24"/>
          <w:szCs w:val="24"/>
        </w:rPr>
        <w:t>日开始，202</w:t>
      </w:r>
      <w:r>
        <w:rPr>
          <w:rFonts w:hint="eastAsia" w:ascii="微软雅黑" w:hAnsi="宋体" w:eastAsia="微软雅黑" w:cs="宋体"/>
          <w:color w:val="535353"/>
          <w:kern w:val="0"/>
          <w:sz w:val="24"/>
          <w:szCs w:val="24"/>
          <w:lang w:val="en-US" w:eastAsia="zh-CN"/>
        </w:rPr>
        <w:t>6</w:t>
      </w:r>
      <w:r>
        <w:rPr>
          <w:rFonts w:hint="eastAsia" w:ascii="微软雅黑" w:hAnsi="宋体" w:eastAsia="微软雅黑" w:cs="宋体"/>
          <w:color w:val="535353"/>
          <w:kern w:val="0"/>
          <w:sz w:val="24"/>
          <w:szCs w:val="24"/>
        </w:rPr>
        <w:t>年9月15日结束。 </w:t>
      </w:r>
    </w:p>
    <w:p>
      <w:pPr>
        <w:widowControl/>
        <w:shd w:val="clear" w:color="auto" w:fill="FFFFFF"/>
        <w:spacing w:after="120" w:line="495" w:lineRule="atLeast"/>
        <w:ind w:firstLine="480"/>
        <w:jc w:val="left"/>
        <w:rPr>
          <w:rFonts w:ascii="微软雅黑" w:hAnsi="宋体" w:eastAsia="微软雅黑" w:cs="宋体"/>
          <w:color w:val="333333"/>
          <w:kern w:val="0"/>
          <w:sz w:val="24"/>
          <w:szCs w:val="24"/>
        </w:rPr>
      </w:pPr>
      <w:r>
        <w:rPr>
          <w:rFonts w:hint="eastAsia" w:ascii="微软雅黑" w:hAnsi="宋体" w:eastAsia="微软雅黑" w:cs="宋体"/>
          <w:color w:val="333333"/>
          <w:kern w:val="0"/>
          <w:sz w:val="24"/>
          <w:szCs w:val="24"/>
        </w:rPr>
        <w:t> </w:t>
      </w:r>
    </w:p>
    <w:p>
      <w:pPr>
        <w:widowControl/>
        <w:shd w:val="clear" w:color="auto" w:fill="FFFFFF"/>
        <w:spacing w:after="120" w:line="495" w:lineRule="atLeast"/>
        <w:ind w:firstLine="480"/>
        <w:jc w:val="left"/>
        <w:rPr>
          <w:rFonts w:ascii="微软雅黑" w:hAnsi="宋体" w:eastAsia="微软雅黑" w:cs="宋体"/>
          <w:color w:val="333333"/>
          <w:kern w:val="0"/>
          <w:sz w:val="24"/>
          <w:szCs w:val="24"/>
        </w:rPr>
      </w:pPr>
      <w:r>
        <w:rPr>
          <w:rFonts w:hint="eastAsia" w:ascii="微软雅黑" w:hAnsi="宋体" w:eastAsia="微软雅黑" w:cs="宋体"/>
          <w:color w:val="333333"/>
          <w:kern w:val="0"/>
          <w:sz w:val="24"/>
          <w:szCs w:val="24"/>
        </w:rPr>
        <w:t> </w:t>
      </w:r>
    </w:p>
    <w:p>
      <w:pPr>
        <w:keepNext w:val="0"/>
        <w:keepLines w:val="0"/>
        <w:pageBreakBefore w:val="0"/>
        <w:widowControl w:val="0"/>
        <w:kinsoku/>
        <w:wordWrap/>
        <w:overflowPunct/>
        <w:topLinePunct w:val="0"/>
        <w:autoSpaceDE/>
        <w:autoSpaceDN/>
        <w:bidi w:val="0"/>
        <w:adjustRightInd/>
        <w:snapToGrid/>
        <w:spacing w:line="495" w:lineRule="atLeast"/>
        <w:ind w:firstLine="480"/>
        <w:jc w:val="both"/>
        <w:textAlignment w:val="auto"/>
        <w:rPr>
          <w:rFonts w:hint="eastAsia" w:ascii="微软雅黑" w:hAnsi="宋体" w:eastAsia="微软雅黑" w:cs="宋体"/>
          <w:color w:val="535353"/>
          <w:kern w:val="0"/>
          <w:sz w:val="24"/>
          <w:szCs w:val="24"/>
        </w:rPr>
      </w:pPr>
      <w:r>
        <w:rPr>
          <w:rFonts w:hint="eastAsia" w:ascii="MS Mincho" w:hAnsi="MS Mincho" w:eastAsia="MS Mincho" w:cs="MS Mincho"/>
          <w:color w:val="333333"/>
          <w:kern w:val="0"/>
          <w:sz w:val="24"/>
          <w:szCs w:val="24"/>
        </w:rPr>
        <w:t>         </w:t>
      </w:r>
      <w:r>
        <w:rPr>
          <w:rFonts w:hint="eastAsia" w:ascii="微软雅黑" w:hAnsi="宋体" w:eastAsia="微软雅黑" w:cs="宋体"/>
          <w:color w:val="333333"/>
          <w:kern w:val="0"/>
          <w:sz w:val="24"/>
          <w:szCs w:val="24"/>
        </w:rPr>
        <w:t xml:space="preserve"> </w:t>
      </w:r>
      <w:r>
        <w:rPr>
          <w:rFonts w:hint="eastAsia" w:ascii="MS Mincho" w:hAnsi="MS Mincho" w:eastAsia="MS Mincho" w:cs="MS Mincho"/>
          <w:color w:val="333333"/>
          <w:kern w:val="0"/>
          <w:sz w:val="24"/>
          <w:szCs w:val="24"/>
        </w:rPr>
        <w:t> </w:t>
      </w:r>
      <w:r>
        <w:rPr>
          <w:rFonts w:hint="eastAsia" w:ascii="微软雅黑" w:hAnsi="宋体" w:eastAsia="微软雅黑" w:cs="宋体"/>
          <w:color w:val="333333"/>
          <w:kern w:val="0"/>
          <w:sz w:val="24"/>
          <w:szCs w:val="24"/>
        </w:rPr>
        <w:t xml:space="preserve"> </w:t>
      </w:r>
      <w:r>
        <w:rPr>
          <w:rFonts w:hint="eastAsia" w:ascii="MS Mincho" w:hAnsi="MS Mincho" w:eastAsia="MS Mincho" w:cs="MS Mincho"/>
          <w:color w:val="333333"/>
          <w:kern w:val="0"/>
          <w:sz w:val="24"/>
          <w:szCs w:val="24"/>
        </w:rPr>
        <w:t> </w:t>
      </w:r>
      <w:r>
        <w:rPr>
          <w:rFonts w:hint="eastAsia" w:ascii="微软雅黑" w:hAnsi="宋体" w:eastAsia="微软雅黑" w:cs="宋体"/>
          <w:color w:val="333333"/>
          <w:kern w:val="0"/>
          <w:sz w:val="24"/>
          <w:szCs w:val="24"/>
        </w:rPr>
        <w:t xml:space="preserve"> </w:t>
      </w:r>
      <w:r>
        <w:rPr>
          <w:rFonts w:hint="eastAsia" w:ascii="MS Mincho" w:hAnsi="MS Mincho" w:eastAsia="MS Mincho" w:cs="MS Mincho"/>
          <w:color w:val="333333"/>
          <w:kern w:val="0"/>
          <w:sz w:val="24"/>
          <w:szCs w:val="24"/>
        </w:rPr>
        <w:t> </w:t>
      </w:r>
      <w:r>
        <w:rPr>
          <w:rFonts w:hint="eastAsia" w:ascii="微软雅黑" w:hAnsi="宋体" w:eastAsia="微软雅黑" w:cs="宋体"/>
          <w:color w:val="333333"/>
          <w:kern w:val="0"/>
          <w:sz w:val="24"/>
          <w:szCs w:val="24"/>
        </w:rPr>
        <w:t xml:space="preserve"> </w:t>
      </w:r>
      <w:r>
        <w:rPr>
          <w:rFonts w:hint="eastAsia" w:ascii="MS Mincho" w:hAnsi="MS Mincho" w:eastAsia="MS Mincho" w:cs="MS Mincho"/>
          <w:color w:val="333333"/>
          <w:kern w:val="0"/>
          <w:sz w:val="24"/>
          <w:szCs w:val="24"/>
        </w:rPr>
        <w:t> </w:t>
      </w:r>
      <w:r>
        <w:rPr>
          <w:rFonts w:hint="eastAsia" w:ascii="微软雅黑" w:hAnsi="宋体" w:eastAsia="微软雅黑" w:cs="宋体"/>
          <w:color w:val="333333"/>
          <w:kern w:val="0"/>
          <w:sz w:val="24"/>
          <w:szCs w:val="24"/>
        </w:rPr>
        <w:t xml:space="preserve"> </w:t>
      </w:r>
      <w:r>
        <w:rPr>
          <w:rFonts w:hint="eastAsia" w:ascii="MS Mincho" w:hAnsi="MS Mincho" w:eastAsia="MS Mincho" w:cs="MS Mincho"/>
          <w:color w:val="333333"/>
          <w:kern w:val="0"/>
          <w:sz w:val="24"/>
          <w:szCs w:val="24"/>
        </w:rPr>
        <w:t> </w:t>
      </w:r>
      <w:r>
        <w:rPr>
          <w:rFonts w:hint="eastAsia" w:ascii="微软雅黑" w:hAnsi="宋体" w:eastAsia="微软雅黑" w:cs="宋体"/>
          <w:color w:val="333333"/>
          <w:kern w:val="0"/>
          <w:sz w:val="24"/>
          <w:szCs w:val="24"/>
        </w:rPr>
        <w:t xml:space="preserve"> </w:t>
      </w:r>
      <w:r>
        <w:rPr>
          <w:rFonts w:hint="eastAsia" w:ascii="MS Mincho" w:hAnsi="MS Mincho" w:eastAsia="MS Mincho" w:cs="MS Mincho"/>
          <w:color w:val="333333"/>
          <w:kern w:val="0"/>
          <w:sz w:val="24"/>
          <w:szCs w:val="24"/>
        </w:rPr>
        <w:t> </w:t>
      </w:r>
      <w:r>
        <w:rPr>
          <w:rFonts w:hint="eastAsia" w:ascii="微软雅黑" w:hAnsi="宋体" w:eastAsia="微软雅黑" w:cs="宋体"/>
          <w:color w:val="333333"/>
          <w:kern w:val="0"/>
          <w:sz w:val="24"/>
          <w:szCs w:val="24"/>
        </w:rPr>
        <w:t xml:space="preserve"> </w:t>
      </w:r>
      <w:r>
        <w:rPr>
          <w:rFonts w:hint="eastAsia" w:ascii="MS Mincho" w:hAnsi="MS Mincho" w:eastAsia="MS Mincho" w:cs="MS Mincho"/>
          <w:color w:val="333333"/>
          <w:kern w:val="0"/>
          <w:sz w:val="24"/>
          <w:szCs w:val="24"/>
        </w:rPr>
        <w:t> </w:t>
      </w:r>
      <w:r>
        <w:rPr>
          <w:rFonts w:hint="eastAsia" w:ascii="微软雅黑" w:hAnsi="宋体" w:eastAsia="微软雅黑" w:cs="宋体"/>
          <w:color w:val="333333"/>
          <w:kern w:val="0"/>
          <w:sz w:val="24"/>
          <w:szCs w:val="24"/>
        </w:rPr>
        <w:t xml:space="preserve"> </w:t>
      </w:r>
      <w:r>
        <w:rPr>
          <w:rFonts w:hint="eastAsia" w:ascii="MS Mincho" w:hAnsi="MS Mincho" w:eastAsia="MS Mincho" w:cs="MS Mincho"/>
          <w:color w:val="333333"/>
          <w:kern w:val="0"/>
          <w:sz w:val="24"/>
          <w:szCs w:val="24"/>
        </w:rPr>
        <w:t> </w:t>
      </w:r>
      <w:r>
        <w:rPr>
          <w:rFonts w:hint="eastAsia" w:ascii="微软雅黑" w:hAnsi="宋体" w:eastAsia="微软雅黑" w:cs="宋体"/>
          <w:color w:val="333333"/>
          <w:kern w:val="0"/>
          <w:sz w:val="24"/>
          <w:szCs w:val="24"/>
        </w:rPr>
        <w:t xml:space="preserve"> </w:t>
      </w:r>
      <w:r>
        <w:rPr>
          <w:rFonts w:hint="eastAsia" w:ascii="MS Mincho" w:hAnsi="MS Mincho" w:eastAsia="MS Mincho" w:cs="MS Mincho"/>
          <w:color w:val="333333"/>
          <w:kern w:val="0"/>
          <w:sz w:val="24"/>
          <w:szCs w:val="24"/>
        </w:rPr>
        <w:t> </w:t>
      </w:r>
      <w:r>
        <w:rPr>
          <w:rFonts w:hint="eastAsia" w:ascii="微软雅黑" w:hAnsi="宋体" w:eastAsia="微软雅黑" w:cs="宋体"/>
          <w:color w:val="333333"/>
          <w:kern w:val="0"/>
          <w:sz w:val="24"/>
          <w:szCs w:val="24"/>
        </w:rPr>
        <w:t xml:space="preserve"> </w:t>
      </w:r>
      <w:r>
        <w:rPr>
          <w:rFonts w:hint="eastAsia" w:ascii="MS Mincho" w:hAnsi="MS Mincho" w:eastAsia="MS Mincho" w:cs="MS Mincho"/>
          <w:color w:val="333333"/>
          <w:kern w:val="0"/>
          <w:sz w:val="24"/>
          <w:szCs w:val="24"/>
        </w:rPr>
        <w:t> </w:t>
      </w:r>
      <w:r>
        <w:rPr>
          <w:rFonts w:hint="eastAsia" w:ascii="微软雅黑" w:hAnsi="宋体" w:eastAsia="微软雅黑" w:cs="宋体"/>
          <w:color w:val="333333"/>
          <w:kern w:val="0"/>
          <w:sz w:val="24"/>
          <w:szCs w:val="24"/>
        </w:rPr>
        <w:t xml:space="preserve"> </w:t>
      </w:r>
      <w:r>
        <w:rPr>
          <w:rFonts w:hint="eastAsia" w:ascii="MS Mincho" w:hAnsi="MS Mincho" w:eastAsia="MS Mincho" w:cs="MS Mincho"/>
          <w:color w:val="333333"/>
          <w:kern w:val="0"/>
          <w:sz w:val="24"/>
          <w:szCs w:val="24"/>
        </w:rPr>
        <w:t> </w:t>
      </w:r>
      <w:r>
        <w:rPr>
          <w:rFonts w:hint="eastAsia" w:ascii="微软雅黑" w:hAnsi="宋体" w:eastAsia="微软雅黑" w:cs="宋体"/>
          <w:color w:val="333333"/>
          <w:kern w:val="0"/>
          <w:sz w:val="24"/>
          <w:szCs w:val="24"/>
        </w:rPr>
        <w:t xml:space="preserve"> </w:t>
      </w:r>
      <w:r>
        <w:rPr>
          <w:rFonts w:hint="eastAsia" w:ascii="MS Mincho" w:hAnsi="MS Mincho" w:eastAsia="MS Mincho" w:cs="MS Mincho"/>
          <w:color w:val="333333"/>
          <w:kern w:val="0"/>
          <w:sz w:val="24"/>
          <w:szCs w:val="24"/>
        </w:rPr>
        <w:t> </w:t>
      </w:r>
      <w:r>
        <w:rPr>
          <w:rFonts w:hint="eastAsia" w:ascii="微软雅黑" w:hAnsi="宋体" w:eastAsia="微软雅黑" w:cs="宋体"/>
          <w:color w:val="333333"/>
          <w:kern w:val="0"/>
          <w:sz w:val="24"/>
          <w:szCs w:val="24"/>
        </w:rPr>
        <w:t xml:space="preserve"> </w:t>
      </w:r>
      <w:r>
        <w:rPr>
          <w:rFonts w:hint="eastAsia" w:ascii="MS Mincho" w:hAnsi="MS Mincho" w:eastAsia="MS Mincho" w:cs="MS Mincho"/>
          <w:color w:val="333333"/>
          <w:kern w:val="0"/>
          <w:sz w:val="24"/>
          <w:szCs w:val="24"/>
        </w:rPr>
        <w:t> </w:t>
      </w:r>
      <w:r>
        <w:rPr>
          <w:rFonts w:hint="eastAsia" w:ascii="微软雅黑" w:hAnsi="宋体" w:eastAsia="微软雅黑" w:cs="宋体"/>
          <w:color w:val="333333"/>
          <w:kern w:val="0"/>
          <w:sz w:val="24"/>
          <w:szCs w:val="24"/>
        </w:rPr>
        <w:t>  </w:t>
      </w:r>
      <w:r>
        <w:rPr>
          <w:rFonts w:hint="eastAsia" w:ascii="微软雅黑" w:hAnsi="宋体" w:eastAsia="微软雅黑" w:cs="宋体"/>
          <w:color w:val="535353"/>
          <w:kern w:val="0"/>
          <w:sz w:val="24"/>
          <w:szCs w:val="24"/>
        </w:rPr>
        <w:t>  安阳县财政局</w:t>
      </w:r>
    </w:p>
    <w:p>
      <w:pPr>
        <w:keepNext w:val="0"/>
        <w:keepLines w:val="0"/>
        <w:pageBreakBefore w:val="0"/>
        <w:widowControl w:val="0"/>
        <w:kinsoku/>
        <w:wordWrap/>
        <w:overflowPunct/>
        <w:topLinePunct w:val="0"/>
        <w:autoSpaceDE/>
        <w:autoSpaceDN/>
        <w:bidi w:val="0"/>
        <w:adjustRightInd/>
        <w:snapToGrid/>
        <w:spacing w:line="495" w:lineRule="atLeast"/>
        <w:ind w:firstLine="5582" w:firstLineChars="2326"/>
        <w:jc w:val="both"/>
        <w:textAlignment w:val="auto"/>
        <w:rPr>
          <w:rFonts w:hint="eastAsia"/>
        </w:rPr>
      </w:pPr>
      <w:r>
        <w:rPr>
          <w:rFonts w:hint="eastAsia" w:ascii="微软雅黑" w:hAnsi="宋体" w:eastAsia="微软雅黑" w:cs="宋体"/>
          <w:color w:val="333333"/>
          <w:kern w:val="0"/>
          <w:sz w:val="24"/>
          <w:szCs w:val="24"/>
          <w:lang w:val="en-US" w:eastAsia="zh-CN"/>
        </w:rPr>
        <w:t>2026年7月18日</w:t>
      </w:r>
      <w:r>
        <w:rPr>
          <w:rFonts w:hint="eastAsia" w:ascii="微软雅黑" w:hAnsi="宋体" w:eastAsia="微软雅黑" w:cs="宋体"/>
          <w:color w:val="333333"/>
          <w:kern w:val="0"/>
          <w:sz w:val="24"/>
          <w:szCs w:val="24"/>
        </w:rPr>
        <w:t> </w:t>
      </w:r>
      <w:r>
        <w:rPr>
          <w:rFonts w:hint="eastAsia" w:ascii="MS Mincho" w:hAnsi="MS Mincho" w:eastAsia="MS Mincho" w:cs="MS Mincho"/>
          <w:color w:val="333333"/>
          <w:kern w:val="0"/>
          <w:sz w:val="24"/>
          <w:szCs w:val="24"/>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roman"/>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MS Mincho">
    <w:panose1 w:val="02020609040205080304"/>
    <w:charset w:val="80"/>
    <w:family w:val="modern"/>
    <w:pitch w:val="default"/>
    <w:sig w:usb0="A00002BF" w:usb1="68C7FCFB" w:usb2="00000010" w:usb3="00000000" w:csb0="4002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E7476"/>
    <w:rsid w:val="00016A93"/>
    <w:rsid w:val="00075F00"/>
    <w:rsid w:val="00154EA5"/>
    <w:rsid w:val="004E412E"/>
    <w:rsid w:val="005327C1"/>
    <w:rsid w:val="00572291"/>
    <w:rsid w:val="007A0AEA"/>
    <w:rsid w:val="00857FFA"/>
    <w:rsid w:val="009022E2"/>
    <w:rsid w:val="00B61414"/>
    <w:rsid w:val="00BE7476"/>
    <w:rsid w:val="00C859C0"/>
    <w:rsid w:val="00D051EA"/>
    <w:rsid w:val="00D2541D"/>
    <w:rsid w:val="029D751B"/>
    <w:rsid w:val="03891CD4"/>
    <w:rsid w:val="07CB6BD4"/>
    <w:rsid w:val="09682502"/>
    <w:rsid w:val="0A4A3F2D"/>
    <w:rsid w:val="109E7E8B"/>
    <w:rsid w:val="1E80614D"/>
    <w:rsid w:val="20215C4A"/>
    <w:rsid w:val="277D406A"/>
    <w:rsid w:val="33AB66E6"/>
    <w:rsid w:val="33C33534"/>
    <w:rsid w:val="35953EA7"/>
    <w:rsid w:val="38187C6B"/>
    <w:rsid w:val="384D0562"/>
    <w:rsid w:val="3AB06B5F"/>
    <w:rsid w:val="3B051C98"/>
    <w:rsid w:val="441C3A08"/>
    <w:rsid w:val="449C4EA2"/>
    <w:rsid w:val="49636641"/>
    <w:rsid w:val="521723E7"/>
    <w:rsid w:val="59FF54FF"/>
    <w:rsid w:val="5ACA012F"/>
    <w:rsid w:val="5D207E12"/>
    <w:rsid w:val="5DC55744"/>
    <w:rsid w:val="62376201"/>
    <w:rsid w:val="75304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
    <w:name w:val="onlyusetovoice"/>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144</Words>
  <Characters>822</Characters>
  <Lines>6</Lines>
  <Paragraphs>1</Paragraphs>
  <TotalTime>57</TotalTime>
  <ScaleCrop>false</ScaleCrop>
  <LinksUpToDate>false</LinksUpToDate>
  <CharactersWithSpaces>965</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2024-07-10T02:21:00Z</dcterms:created>
  <dc:creator>dreamsummit</dc:creator>
  <cp:lastModifiedBy>Administrator</cp:lastModifiedBy>
  <cp:lastPrinted>2026-07-22T01:52:43Z</cp:lastPrinted>
  <dcterms:modified xsi:type="dcterms:W3CDTF">2026-07-22T02:28:05Z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