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B4A8B">
      <w:pPr>
        <w:tabs>
          <w:tab w:val="left" w:pos="4508"/>
        </w:tabs>
        <w:spacing w:before="217" w:line="219" w:lineRule="auto"/>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486FEB0D">
      <w:pPr>
        <w:pStyle w:val="2"/>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rPr>
          <w:rFonts w:hint="eastAsia" w:ascii="仿宋_GB2312" w:hAnsi="仿宋_GB2312" w:eastAsia="仿宋_GB2312" w:cs="仿宋_GB2312"/>
          <w:color w:val="333333"/>
          <w:kern w:val="0"/>
          <w:sz w:val="28"/>
          <w:szCs w:val="28"/>
          <w:shd w:val="clear" w:color="auto" w:fill="FFFFFF"/>
          <w:lang w:eastAsia="zh-CN" w:bidi="ar"/>
        </w:rPr>
      </w:pPr>
      <w:r>
        <w:rPr>
          <w:rStyle w:val="6"/>
          <w:rFonts w:hint="eastAsia" w:ascii="方正小标宋简体" w:hAnsi="方正小标宋简体" w:eastAsia="方正小标宋简体" w:cs="方正小标宋简体"/>
          <w:b w:val="0"/>
          <w:color w:val="000000"/>
          <w:sz w:val="44"/>
          <w:szCs w:val="44"/>
          <w:lang w:val="en-US" w:eastAsia="zh-CN"/>
        </w:rPr>
        <w:t>林州市人民政府决定失效的行政规范性文件目录</w:t>
      </w:r>
      <w:r>
        <w:rPr>
          <w:rFonts w:hint="eastAsia" w:ascii="仿宋_GB2312" w:hAnsi="仿宋_GB2312" w:eastAsia="仿宋_GB2312" w:cs="仿宋_GB2312"/>
          <w:color w:val="333333"/>
          <w:kern w:val="0"/>
          <w:sz w:val="28"/>
          <w:szCs w:val="28"/>
          <w:shd w:val="clear" w:color="auto" w:fill="FFFFFF"/>
          <w:lang w:eastAsia="zh-CN" w:bidi="ar"/>
        </w:rPr>
        <w:t>（</w:t>
      </w:r>
      <w:r>
        <w:rPr>
          <w:rFonts w:hint="eastAsia" w:ascii="仿宋_GB2312" w:hAnsi="仿宋_GB2312" w:eastAsia="仿宋_GB2312" w:cs="仿宋_GB2312"/>
          <w:color w:val="333333"/>
          <w:kern w:val="0"/>
          <w:sz w:val="28"/>
          <w:szCs w:val="28"/>
          <w:shd w:val="clear" w:color="auto" w:fill="FFFFFF"/>
          <w:lang w:val="en-US" w:eastAsia="zh-CN" w:bidi="ar"/>
        </w:rPr>
        <w:t xml:space="preserve"> 23件</w:t>
      </w:r>
      <w:r>
        <w:rPr>
          <w:rFonts w:hint="eastAsia" w:ascii="仿宋_GB2312" w:hAnsi="仿宋_GB2312" w:eastAsia="仿宋_GB2312" w:cs="仿宋_GB2312"/>
          <w:color w:val="333333"/>
          <w:kern w:val="0"/>
          <w:sz w:val="28"/>
          <w:szCs w:val="28"/>
          <w:shd w:val="clear" w:color="auto" w:fill="FFFFFF"/>
          <w:lang w:eastAsia="zh-CN" w:bidi="ar"/>
        </w:rPr>
        <w:t>）</w:t>
      </w:r>
    </w:p>
    <w:tbl>
      <w:tblPr>
        <w:tblStyle w:val="4"/>
        <w:tblW w:w="13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267"/>
        <w:gridCol w:w="2175"/>
        <w:gridCol w:w="2398"/>
        <w:gridCol w:w="2502"/>
        <w:gridCol w:w="1738"/>
      </w:tblGrid>
      <w:tr w14:paraId="7668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blHeader/>
        </w:trPr>
        <w:tc>
          <w:tcPr>
            <w:tcW w:w="817" w:type="dxa"/>
            <w:vAlign w:val="center"/>
          </w:tcPr>
          <w:p w14:paraId="78BF763C">
            <w:pPr>
              <w:jc w:val="center"/>
              <w:rPr>
                <w:rFonts w:hint="eastAsia" w:ascii="黑体" w:hAnsi="黑体" w:eastAsia="黑体" w:cs="黑体"/>
                <w:b w:val="0"/>
                <w:bCs w:val="0"/>
                <w:color w:val="333333"/>
                <w:kern w:val="0"/>
                <w:sz w:val="28"/>
                <w:szCs w:val="28"/>
                <w:shd w:val="clear" w:color="auto" w:fill="FFFFFF"/>
                <w:lang w:bidi="ar"/>
              </w:rPr>
            </w:pPr>
            <w:r>
              <w:rPr>
                <w:rFonts w:hint="eastAsia" w:ascii="黑体" w:hAnsi="黑体" w:eastAsia="黑体" w:cs="黑体"/>
                <w:b w:val="0"/>
                <w:bCs w:val="0"/>
                <w:color w:val="333333"/>
                <w:kern w:val="0"/>
                <w:sz w:val="28"/>
                <w:szCs w:val="28"/>
                <w:shd w:val="clear" w:color="auto" w:fill="FFFFFF"/>
                <w:lang w:bidi="ar"/>
              </w:rPr>
              <w:t>序号</w:t>
            </w:r>
          </w:p>
        </w:tc>
        <w:tc>
          <w:tcPr>
            <w:tcW w:w="4267" w:type="dxa"/>
            <w:vAlign w:val="center"/>
          </w:tcPr>
          <w:p w14:paraId="32D0CBAF">
            <w:pPr>
              <w:jc w:val="center"/>
              <w:rPr>
                <w:rFonts w:hint="eastAsia" w:ascii="黑体" w:hAnsi="黑体" w:eastAsia="黑体" w:cs="黑体"/>
                <w:b w:val="0"/>
                <w:bCs w:val="0"/>
                <w:color w:val="333333"/>
                <w:kern w:val="0"/>
                <w:sz w:val="28"/>
                <w:szCs w:val="28"/>
                <w:shd w:val="clear" w:color="auto" w:fill="FFFFFF"/>
                <w:lang w:bidi="ar"/>
              </w:rPr>
            </w:pPr>
            <w:r>
              <w:rPr>
                <w:rFonts w:hint="eastAsia" w:ascii="黑体" w:hAnsi="黑体" w:eastAsia="黑体" w:cs="黑体"/>
                <w:b w:val="0"/>
                <w:bCs w:val="0"/>
                <w:color w:val="333333"/>
                <w:kern w:val="0"/>
                <w:sz w:val="28"/>
                <w:szCs w:val="28"/>
                <w:shd w:val="clear" w:color="auto" w:fill="FFFFFF"/>
                <w:lang w:bidi="ar"/>
              </w:rPr>
              <w:t>文件名称</w:t>
            </w:r>
          </w:p>
        </w:tc>
        <w:tc>
          <w:tcPr>
            <w:tcW w:w="2175" w:type="dxa"/>
            <w:vAlign w:val="center"/>
          </w:tcPr>
          <w:p w14:paraId="72FFA979">
            <w:pPr>
              <w:jc w:val="center"/>
              <w:rPr>
                <w:rFonts w:hint="eastAsia" w:ascii="黑体" w:hAnsi="黑体" w:eastAsia="黑体" w:cs="黑体"/>
                <w:b w:val="0"/>
                <w:bCs w:val="0"/>
                <w:color w:val="333333"/>
                <w:kern w:val="0"/>
                <w:sz w:val="28"/>
                <w:szCs w:val="28"/>
                <w:shd w:val="clear" w:color="auto" w:fill="FFFFFF"/>
                <w:lang w:bidi="ar"/>
              </w:rPr>
            </w:pPr>
            <w:r>
              <w:rPr>
                <w:rFonts w:hint="eastAsia" w:ascii="黑体" w:hAnsi="黑体" w:eastAsia="黑体" w:cs="黑体"/>
                <w:b w:val="0"/>
                <w:bCs w:val="0"/>
                <w:color w:val="333333"/>
                <w:kern w:val="0"/>
                <w:sz w:val="28"/>
                <w:szCs w:val="28"/>
                <w:shd w:val="clear" w:color="auto" w:fill="FFFFFF"/>
                <w:lang w:bidi="ar"/>
              </w:rPr>
              <w:t>文号</w:t>
            </w:r>
          </w:p>
        </w:tc>
        <w:tc>
          <w:tcPr>
            <w:tcW w:w="2398" w:type="dxa"/>
            <w:vAlign w:val="center"/>
          </w:tcPr>
          <w:p w14:paraId="20901766">
            <w:pPr>
              <w:spacing w:line="500" w:lineRule="exact"/>
              <w:jc w:val="center"/>
              <w:rPr>
                <w:rFonts w:hint="eastAsia" w:ascii="黑体" w:hAnsi="黑体" w:eastAsia="黑体" w:cs="黑体"/>
                <w:b w:val="0"/>
                <w:bCs w:val="0"/>
                <w:color w:val="333333"/>
                <w:kern w:val="0"/>
                <w:sz w:val="28"/>
                <w:szCs w:val="28"/>
                <w:shd w:val="clear" w:color="auto" w:fill="FFFFFF"/>
                <w:lang w:bidi="ar"/>
              </w:rPr>
            </w:pPr>
            <w:r>
              <w:rPr>
                <w:rFonts w:hint="eastAsia" w:ascii="黑体" w:hAnsi="黑体" w:eastAsia="黑体" w:cs="黑体"/>
                <w:b w:val="0"/>
                <w:bCs w:val="0"/>
                <w:color w:val="333333"/>
                <w:kern w:val="0"/>
                <w:sz w:val="28"/>
                <w:szCs w:val="28"/>
                <w:shd w:val="clear" w:color="auto" w:fill="FFFFFF"/>
                <w:lang w:bidi="ar"/>
              </w:rPr>
              <w:t>清理意见（修改的需提出具体意见）</w:t>
            </w:r>
          </w:p>
        </w:tc>
        <w:tc>
          <w:tcPr>
            <w:tcW w:w="2502" w:type="dxa"/>
            <w:vAlign w:val="center"/>
          </w:tcPr>
          <w:p w14:paraId="3183D478">
            <w:pPr>
              <w:jc w:val="center"/>
              <w:rPr>
                <w:rFonts w:hint="eastAsia" w:ascii="黑体" w:hAnsi="黑体" w:eastAsia="黑体" w:cs="黑体"/>
                <w:b w:val="0"/>
                <w:bCs w:val="0"/>
                <w:color w:val="333333"/>
                <w:kern w:val="0"/>
                <w:sz w:val="28"/>
                <w:szCs w:val="28"/>
                <w:shd w:val="clear" w:color="auto" w:fill="FFFFFF"/>
                <w:lang w:bidi="ar"/>
              </w:rPr>
            </w:pPr>
            <w:r>
              <w:rPr>
                <w:rFonts w:hint="eastAsia" w:ascii="黑体" w:hAnsi="黑体" w:eastAsia="黑体" w:cs="黑体"/>
                <w:b w:val="0"/>
                <w:bCs w:val="0"/>
                <w:color w:val="333333"/>
                <w:kern w:val="0"/>
                <w:sz w:val="28"/>
                <w:szCs w:val="28"/>
                <w:shd w:val="clear" w:color="auto" w:fill="FFFFFF"/>
                <w:lang w:bidi="ar"/>
              </w:rPr>
              <w:t>理由</w:t>
            </w:r>
          </w:p>
        </w:tc>
        <w:tc>
          <w:tcPr>
            <w:tcW w:w="1738" w:type="dxa"/>
            <w:vAlign w:val="center"/>
          </w:tcPr>
          <w:p w14:paraId="7E4EF059">
            <w:pPr>
              <w:jc w:val="center"/>
              <w:rPr>
                <w:rFonts w:hint="eastAsia" w:ascii="黑体" w:hAnsi="黑体" w:eastAsia="黑体" w:cs="黑体"/>
                <w:b w:val="0"/>
                <w:bCs w:val="0"/>
                <w:color w:val="333333"/>
                <w:kern w:val="0"/>
                <w:sz w:val="28"/>
                <w:szCs w:val="28"/>
                <w:shd w:val="clear" w:color="auto" w:fill="FFFFFF"/>
                <w:lang w:bidi="ar"/>
              </w:rPr>
            </w:pPr>
            <w:r>
              <w:rPr>
                <w:rFonts w:hint="eastAsia" w:ascii="黑体" w:hAnsi="黑体" w:eastAsia="黑体" w:cs="黑体"/>
                <w:b w:val="0"/>
                <w:bCs w:val="0"/>
                <w:color w:val="333333"/>
                <w:kern w:val="0"/>
                <w:sz w:val="28"/>
                <w:szCs w:val="28"/>
                <w:shd w:val="clear" w:color="auto" w:fill="FFFFFF"/>
                <w:lang w:bidi="ar"/>
              </w:rPr>
              <w:t>备注</w:t>
            </w:r>
          </w:p>
        </w:tc>
      </w:tr>
      <w:tr w14:paraId="7D5C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817" w:type="dxa"/>
            <w:vAlign w:val="center"/>
          </w:tcPr>
          <w:p w14:paraId="243C7EA1">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1</w:t>
            </w:r>
          </w:p>
        </w:tc>
        <w:tc>
          <w:tcPr>
            <w:tcW w:w="4267" w:type="dxa"/>
            <w:vAlign w:val="center"/>
          </w:tcPr>
          <w:p w14:paraId="18C4F6D5">
            <w:pPr>
              <w:widowControl w:val="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林州市人民政府关于对商贸流通企业财税扶持的通知</w:t>
            </w:r>
          </w:p>
        </w:tc>
        <w:tc>
          <w:tcPr>
            <w:tcW w:w="2175" w:type="dxa"/>
            <w:vAlign w:val="center"/>
          </w:tcPr>
          <w:p w14:paraId="74FB97DA">
            <w:pPr>
              <w:jc w:val="center"/>
              <w:rPr>
                <w:rFonts w:ascii="仿宋_GB2312" w:hAnsi="仿宋_GB2312" w:eastAsia="仿宋_GB2312" w:cs="仿宋_GB2312"/>
                <w:color w:val="333333"/>
                <w:kern w:val="0"/>
                <w:sz w:val="21"/>
                <w:szCs w:val="21"/>
                <w:shd w:val="clear" w:color="auto" w:fill="FFFFFF"/>
                <w:lang w:bidi="ar"/>
              </w:rPr>
            </w:pPr>
            <w:r>
              <w:rPr>
                <w:rFonts w:hint="eastAsia" w:eastAsia="仿宋_GB2312"/>
              </w:rPr>
              <w:t>林政〔201</w:t>
            </w:r>
            <w:r>
              <w:rPr>
                <w:rFonts w:hint="eastAsia" w:eastAsia="仿宋_GB2312"/>
                <w:lang w:val="en-US" w:eastAsia="zh-CN"/>
              </w:rPr>
              <w:t>2</w:t>
            </w:r>
            <w:r>
              <w:rPr>
                <w:rFonts w:hint="eastAsia" w:eastAsia="仿宋_GB2312"/>
              </w:rPr>
              <w:t>〕</w:t>
            </w:r>
            <w:r>
              <w:rPr>
                <w:rFonts w:hint="eastAsia" w:eastAsia="仿宋_GB2312"/>
                <w:lang w:val="en-US" w:eastAsia="zh-CN"/>
              </w:rPr>
              <w:t>34</w:t>
            </w:r>
            <w:r>
              <w:rPr>
                <w:rFonts w:hint="eastAsia" w:eastAsia="仿宋_GB2312"/>
              </w:rPr>
              <w:t>号</w:t>
            </w:r>
          </w:p>
        </w:tc>
        <w:tc>
          <w:tcPr>
            <w:tcW w:w="2398" w:type="dxa"/>
            <w:vAlign w:val="center"/>
          </w:tcPr>
          <w:p w14:paraId="5091A1D6">
            <w:pPr>
              <w:jc w:val="center"/>
              <w:rPr>
                <w:rFonts w:hint="eastAsia"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6587E1F4">
            <w:pPr>
              <w:jc w:val="center"/>
              <w:rPr>
                <w:rFonts w:hint="eastAsia"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阶段性工作已完成</w:t>
            </w:r>
          </w:p>
        </w:tc>
        <w:tc>
          <w:tcPr>
            <w:tcW w:w="1738" w:type="dxa"/>
            <w:vAlign w:val="center"/>
          </w:tcPr>
          <w:p w14:paraId="64B75CBA">
            <w:pPr>
              <w:jc w:val="center"/>
              <w:rPr>
                <w:rFonts w:ascii="仿宋_GB2312" w:hAnsi="仿宋_GB2312" w:eastAsia="仿宋_GB2312" w:cs="仿宋_GB2312"/>
                <w:color w:val="333333"/>
                <w:kern w:val="0"/>
                <w:sz w:val="21"/>
                <w:szCs w:val="21"/>
                <w:shd w:val="clear" w:color="auto" w:fill="FFFFFF"/>
                <w:lang w:bidi="ar"/>
              </w:rPr>
            </w:pPr>
          </w:p>
        </w:tc>
      </w:tr>
      <w:tr w14:paraId="2610E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817" w:type="dxa"/>
            <w:vAlign w:val="center"/>
          </w:tcPr>
          <w:p w14:paraId="752D4993">
            <w:pPr>
              <w:jc w:val="center"/>
              <w:rPr>
                <w:rFonts w:hint="default"/>
                <w:lang w:val="en-US" w:eastAsia="zh-CN"/>
              </w:rPr>
            </w:pPr>
            <w:r>
              <w:rPr>
                <w:rFonts w:hint="eastAsia" w:ascii="仿宋_GB2312" w:hAnsi="仿宋_GB2312" w:eastAsia="仿宋_GB2312" w:cs="仿宋_GB2312"/>
                <w:color w:val="333333"/>
                <w:kern w:val="0"/>
                <w:sz w:val="21"/>
                <w:szCs w:val="21"/>
                <w:shd w:val="clear" w:color="auto" w:fill="FFFFFF"/>
                <w:lang w:val="en-US" w:eastAsia="zh-CN" w:bidi="ar"/>
              </w:rPr>
              <w:t>2</w:t>
            </w:r>
          </w:p>
        </w:tc>
        <w:tc>
          <w:tcPr>
            <w:tcW w:w="4267" w:type="dxa"/>
            <w:vAlign w:val="center"/>
          </w:tcPr>
          <w:p w14:paraId="7A78997E">
            <w:pPr>
              <w:widowControl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林州市人民政府</w:t>
            </w:r>
          </w:p>
          <w:p w14:paraId="1126BB50">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关于促进房地产市场持续健康发展的若干意见（试行）</w:t>
            </w:r>
          </w:p>
        </w:tc>
        <w:tc>
          <w:tcPr>
            <w:tcW w:w="2175" w:type="dxa"/>
            <w:vAlign w:val="center"/>
          </w:tcPr>
          <w:p w14:paraId="7EF69CFE">
            <w:pPr>
              <w:widowControl w:val="0"/>
              <w:jc w:val="center"/>
              <w:rPr>
                <w:rFonts w:hint="eastAsia" w:eastAsia="仿宋_GB2312"/>
              </w:rPr>
            </w:pPr>
            <w:r>
              <w:rPr>
                <w:rFonts w:hint="eastAsia" w:eastAsia="仿宋_GB2312"/>
              </w:rPr>
              <w:t>林政〔2015〕</w:t>
            </w:r>
            <w:r>
              <w:rPr>
                <w:rFonts w:hint="eastAsia" w:eastAsia="仿宋_GB2312"/>
                <w:lang w:val="en-US" w:eastAsia="zh-CN"/>
              </w:rPr>
              <w:t>23</w:t>
            </w:r>
            <w:r>
              <w:rPr>
                <w:rFonts w:hint="eastAsia" w:eastAsia="仿宋_GB2312"/>
              </w:rPr>
              <w:t>号</w:t>
            </w:r>
          </w:p>
          <w:p w14:paraId="01F3CC6C">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55707EA4">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69204FC7">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阶段性工作已完成</w:t>
            </w:r>
          </w:p>
        </w:tc>
        <w:tc>
          <w:tcPr>
            <w:tcW w:w="1738" w:type="dxa"/>
            <w:vAlign w:val="center"/>
          </w:tcPr>
          <w:p w14:paraId="2685D2CC">
            <w:pPr>
              <w:jc w:val="center"/>
              <w:rPr>
                <w:rFonts w:ascii="仿宋_GB2312" w:hAnsi="仿宋_GB2312" w:eastAsia="仿宋_GB2312" w:cs="仿宋_GB2312"/>
                <w:color w:val="333333"/>
                <w:kern w:val="0"/>
                <w:sz w:val="21"/>
                <w:szCs w:val="21"/>
                <w:shd w:val="clear" w:color="auto" w:fill="FFFFFF"/>
                <w:lang w:bidi="ar"/>
              </w:rPr>
            </w:pPr>
          </w:p>
        </w:tc>
      </w:tr>
      <w:tr w14:paraId="3C75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17" w:type="dxa"/>
            <w:vAlign w:val="center"/>
          </w:tcPr>
          <w:p w14:paraId="03BA4495">
            <w:pPr>
              <w:jc w:val="center"/>
              <w:rPr>
                <w:rFonts w:hint="default"/>
                <w:lang w:val="en-US" w:eastAsia="zh-CN"/>
              </w:rPr>
            </w:pPr>
            <w:r>
              <w:rPr>
                <w:rFonts w:hint="eastAsia" w:ascii="仿宋_GB2312" w:hAnsi="仿宋_GB2312" w:eastAsia="仿宋_GB2312" w:cs="仿宋_GB2312"/>
                <w:color w:val="333333"/>
                <w:kern w:val="0"/>
                <w:sz w:val="21"/>
                <w:szCs w:val="21"/>
                <w:shd w:val="clear" w:color="auto" w:fill="FFFFFF"/>
                <w:lang w:val="en-US" w:eastAsia="zh-CN" w:bidi="ar"/>
              </w:rPr>
              <w:t>3</w:t>
            </w:r>
          </w:p>
        </w:tc>
        <w:tc>
          <w:tcPr>
            <w:tcW w:w="4267" w:type="dxa"/>
            <w:vAlign w:val="center"/>
          </w:tcPr>
          <w:p w14:paraId="41A55817">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w:t>
            </w:r>
            <w:r>
              <w:rPr>
                <w:rFonts w:hint="eastAsia" w:ascii="仿宋_GB2312" w:hAnsi="仿宋_GB2312" w:eastAsia="仿宋_GB2312" w:cs="仿宋_GB2312"/>
                <w:sz w:val="21"/>
                <w:szCs w:val="21"/>
                <w:lang w:eastAsia="zh-CN"/>
              </w:rPr>
              <w:t>关于实施“三地一矿”综合改革的意见</w:t>
            </w:r>
          </w:p>
        </w:tc>
        <w:tc>
          <w:tcPr>
            <w:tcW w:w="2175" w:type="dxa"/>
            <w:vAlign w:val="center"/>
          </w:tcPr>
          <w:p w14:paraId="6F43AC98">
            <w:pPr>
              <w:widowControl w:val="0"/>
              <w:jc w:val="center"/>
              <w:rPr>
                <w:rFonts w:hint="eastAsia" w:eastAsia="仿宋_GB2312"/>
              </w:rPr>
            </w:pPr>
            <w:r>
              <w:rPr>
                <w:rFonts w:hint="eastAsia" w:eastAsia="仿宋_GB2312"/>
              </w:rPr>
              <w:t>林政〔201</w:t>
            </w:r>
            <w:r>
              <w:rPr>
                <w:rFonts w:hint="eastAsia" w:eastAsia="仿宋_GB2312"/>
                <w:lang w:val="en-US" w:eastAsia="zh-CN"/>
              </w:rPr>
              <w:t>8</w:t>
            </w:r>
            <w:r>
              <w:rPr>
                <w:rFonts w:hint="eastAsia" w:eastAsia="仿宋_GB2312"/>
              </w:rPr>
              <w:t>〕</w:t>
            </w:r>
            <w:r>
              <w:rPr>
                <w:rFonts w:hint="eastAsia" w:eastAsia="仿宋_GB2312"/>
                <w:lang w:val="en-US" w:eastAsia="zh-CN"/>
              </w:rPr>
              <w:t>1</w:t>
            </w:r>
            <w:r>
              <w:rPr>
                <w:rFonts w:hint="eastAsia" w:eastAsia="仿宋_GB2312"/>
              </w:rPr>
              <w:t>号</w:t>
            </w:r>
          </w:p>
          <w:p w14:paraId="4A30F260">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5D9E4B03">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279521B5">
            <w:pPr>
              <w:jc w:val="center"/>
              <w:rPr>
                <w:rFonts w:hint="eastAsia" w:ascii="仿宋_GB2312" w:hAnsi="仿宋_GB2312" w:eastAsia="仿宋_GB2312" w:cs="仿宋_GB2312"/>
                <w:color w:val="333333"/>
                <w:kern w:val="0"/>
                <w:sz w:val="21"/>
                <w:szCs w:val="21"/>
                <w:shd w:val="clear" w:color="auto" w:fill="FFFFFF"/>
                <w:lang w:val="en-US" w:eastAsia="zh-CN" w:bidi="ar"/>
              </w:rPr>
            </w:pPr>
            <w:r>
              <w:rPr>
                <w:rStyle w:val="6"/>
                <w:rFonts w:hint="eastAsia" w:ascii="仿宋_GB2312" w:hAnsi="仿宋_GB2312" w:eastAsia="仿宋_GB2312" w:cs="仿宋_GB2312"/>
                <w:b w:val="0"/>
                <w:color w:val="000000"/>
                <w:sz w:val="21"/>
                <w:szCs w:val="21"/>
                <w:lang w:eastAsia="zh-CN"/>
              </w:rPr>
              <w:t>上级文件依据已失效</w:t>
            </w:r>
          </w:p>
        </w:tc>
        <w:tc>
          <w:tcPr>
            <w:tcW w:w="1738" w:type="dxa"/>
            <w:vAlign w:val="center"/>
          </w:tcPr>
          <w:p w14:paraId="445F86A2">
            <w:pPr>
              <w:jc w:val="center"/>
              <w:rPr>
                <w:rFonts w:ascii="仿宋_GB2312" w:hAnsi="仿宋_GB2312" w:eastAsia="仿宋_GB2312" w:cs="仿宋_GB2312"/>
                <w:color w:val="333333"/>
                <w:kern w:val="0"/>
                <w:sz w:val="21"/>
                <w:szCs w:val="21"/>
                <w:shd w:val="clear" w:color="auto" w:fill="FFFFFF"/>
                <w:lang w:bidi="ar"/>
              </w:rPr>
            </w:pPr>
          </w:p>
        </w:tc>
      </w:tr>
      <w:tr w14:paraId="006A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817" w:type="dxa"/>
            <w:vAlign w:val="center"/>
          </w:tcPr>
          <w:p w14:paraId="6E98541E">
            <w:pPr>
              <w:jc w:val="center"/>
              <w:rPr>
                <w:rFonts w:hint="default"/>
                <w:lang w:val="en-US" w:eastAsia="zh-CN"/>
              </w:rPr>
            </w:pPr>
            <w:r>
              <w:rPr>
                <w:rStyle w:val="6"/>
                <w:rFonts w:hint="eastAsia" w:ascii="仿宋_GB2312" w:hAnsi="仿宋_GB2312" w:eastAsia="仿宋_GB2312" w:cs="仿宋_GB2312"/>
                <w:b w:val="0"/>
                <w:color w:val="000000"/>
                <w:sz w:val="21"/>
                <w:szCs w:val="21"/>
                <w:lang w:val="en-US" w:eastAsia="zh-CN"/>
              </w:rPr>
              <w:t>4</w:t>
            </w:r>
          </w:p>
        </w:tc>
        <w:tc>
          <w:tcPr>
            <w:tcW w:w="4267" w:type="dxa"/>
            <w:vAlign w:val="center"/>
          </w:tcPr>
          <w:p w14:paraId="0A369EDD">
            <w:pPr>
              <w:widowControl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林州市人民政府</w:t>
            </w:r>
          </w:p>
          <w:p w14:paraId="00B88BBA">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关于印发林州淇淅河国家湿地公园管理办法（试行）的通知</w:t>
            </w:r>
          </w:p>
        </w:tc>
        <w:tc>
          <w:tcPr>
            <w:tcW w:w="2175" w:type="dxa"/>
            <w:vAlign w:val="center"/>
          </w:tcPr>
          <w:p w14:paraId="096BE7E4">
            <w:pPr>
              <w:widowControl w:val="0"/>
              <w:jc w:val="center"/>
              <w:rPr>
                <w:rFonts w:hint="eastAsia" w:eastAsia="仿宋_GB2312"/>
              </w:rPr>
            </w:pPr>
            <w:r>
              <w:rPr>
                <w:rFonts w:hint="eastAsia" w:eastAsia="仿宋_GB2312"/>
              </w:rPr>
              <w:t>林政〔201</w:t>
            </w:r>
            <w:r>
              <w:rPr>
                <w:rFonts w:hint="eastAsia" w:eastAsia="仿宋_GB2312"/>
                <w:lang w:val="en-US" w:eastAsia="zh-CN"/>
              </w:rPr>
              <w:t>8</w:t>
            </w:r>
            <w:r>
              <w:rPr>
                <w:rFonts w:hint="eastAsia" w:eastAsia="仿宋_GB2312"/>
              </w:rPr>
              <w:t>〕</w:t>
            </w:r>
            <w:r>
              <w:rPr>
                <w:rFonts w:hint="eastAsia" w:eastAsia="仿宋_GB2312"/>
                <w:lang w:val="en-US" w:eastAsia="zh-CN"/>
              </w:rPr>
              <w:t>5</w:t>
            </w:r>
            <w:r>
              <w:rPr>
                <w:rFonts w:hint="eastAsia" w:eastAsia="仿宋_GB2312"/>
              </w:rPr>
              <w:t>号</w:t>
            </w:r>
          </w:p>
          <w:p w14:paraId="410E9301">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0C7A80B6">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74786665">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已被新规定覆盖</w:t>
            </w:r>
          </w:p>
        </w:tc>
        <w:tc>
          <w:tcPr>
            <w:tcW w:w="1738" w:type="dxa"/>
            <w:vAlign w:val="center"/>
          </w:tcPr>
          <w:p w14:paraId="2C986F05">
            <w:pPr>
              <w:jc w:val="center"/>
              <w:rPr>
                <w:rFonts w:ascii="仿宋_GB2312" w:hAnsi="仿宋_GB2312" w:eastAsia="仿宋_GB2312" w:cs="仿宋_GB2312"/>
                <w:color w:val="333333"/>
                <w:kern w:val="0"/>
                <w:sz w:val="21"/>
                <w:szCs w:val="21"/>
                <w:shd w:val="clear" w:color="auto" w:fill="FFFFFF"/>
                <w:lang w:bidi="ar"/>
              </w:rPr>
            </w:pPr>
          </w:p>
        </w:tc>
      </w:tr>
      <w:tr w14:paraId="0C7B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vAlign w:val="center"/>
          </w:tcPr>
          <w:p w14:paraId="2C0E6BBF">
            <w:pPr>
              <w:jc w:val="center"/>
              <w:rPr>
                <w:rFonts w:hint="default"/>
                <w:lang w:val="en-US" w:eastAsia="zh-CN"/>
              </w:rPr>
            </w:pPr>
            <w:r>
              <w:rPr>
                <w:rFonts w:hint="eastAsia" w:ascii="仿宋_GB2312" w:hAnsi="仿宋_GB2312" w:eastAsia="仿宋_GB2312" w:cs="仿宋_GB2312"/>
                <w:color w:val="333333"/>
                <w:kern w:val="0"/>
                <w:sz w:val="21"/>
                <w:szCs w:val="21"/>
                <w:shd w:val="clear" w:color="auto" w:fill="FFFFFF"/>
                <w:lang w:val="en-US" w:eastAsia="zh-CN" w:bidi="ar"/>
              </w:rPr>
              <w:t>5</w:t>
            </w:r>
          </w:p>
        </w:tc>
        <w:tc>
          <w:tcPr>
            <w:tcW w:w="4267" w:type="dxa"/>
            <w:vAlign w:val="center"/>
          </w:tcPr>
          <w:p w14:paraId="22193371">
            <w:pPr>
              <w:widowControl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林州市人民政府</w:t>
            </w:r>
          </w:p>
          <w:p w14:paraId="1D264A63">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关于进一步加强企业上市挂牌工作的实施意见</w:t>
            </w:r>
          </w:p>
        </w:tc>
        <w:tc>
          <w:tcPr>
            <w:tcW w:w="2175" w:type="dxa"/>
            <w:vAlign w:val="center"/>
          </w:tcPr>
          <w:p w14:paraId="5F47FA43">
            <w:pPr>
              <w:widowControl w:val="0"/>
              <w:jc w:val="center"/>
              <w:rPr>
                <w:rFonts w:hint="eastAsia" w:eastAsia="仿宋_GB2312"/>
              </w:rPr>
            </w:pPr>
            <w:r>
              <w:rPr>
                <w:rFonts w:hint="eastAsia" w:eastAsia="仿宋_GB2312"/>
              </w:rPr>
              <w:t>林政〔20</w:t>
            </w:r>
            <w:r>
              <w:rPr>
                <w:rFonts w:hint="eastAsia" w:eastAsia="仿宋_GB2312"/>
                <w:lang w:val="en-US" w:eastAsia="zh-CN"/>
              </w:rPr>
              <w:t>20</w:t>
            </w:r>
            <w:r>
              <w:rPr>
                <w:rFonts w:hint="eastAsia" w:eastAsia="仿宋_GB2312"/>
              </w:rPr>
              <w:t>〕</w:t>
            </w:r>
            <w:r>
              <w:rPr>
                <w:rFonts w:hint="eastAsia" w:eastAsia="仿宋_GB2312"/>
                <w:lang w:val="en-US" w:eastAsia="zh-CN"/>
              </w:rPr>
              <w:t>5</w:t>
            </w:r>
            <w:r>
              <w:rPr>
                <w:rFonts w:hint="eastAsia" w:eastAsia="仿宋_GB2312"/>
              </w:rPr>
              <w:t>号</w:t>
            </w:r>
          </w:p>
          <w:p w14:paraId="3C8FF486">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6B068C62">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2163440F">
            <w:pPr>
              <w:jc w:val="center"/>
              <w:rPr>
                <w:rFonts w:ascii="仿宋_GB2312" w:hAnsi="仿宋_GB2312" w:eastAsia="仿宋_GB2312" w:cs="仿宋_GB2312"/>
                <w:color w:val="333333"/>
                <w:kern w:val="0"/>
                <w:sz w:val="21"/>
                <w:szCs w:val="21"/>
                <w:shd w:val="clear" w:color="auto" w:fill="FFFFFF"/>
                <w:lang w:bidi="ar"/>
              </w:rPr>
            </w:pPr>
            <w:r>
              <w:rPr>
                <w:rStyle w:val="6"/>
                <w:rFonts w:hint="eastAsia" w:ascii="仿宋_GB2312" w:hAnsi="仿宋_GB2312" w:eastAsia="仿宋_GB2312" w:cs="仿宋_GB2312"/>
                <w:b w:val="0"/>
                <w:color w:val="000000"/>
                <w:sz w:val="21"/>
                <w:szCs w:val="21"/>
                <w:lang w:eastAsia="zh-CN"/>
              </w:rPr>
              <w:t>上级文件依据已失效</w:t>
            </w:r>
          </w:p>
        </w:tc>
        <w:tc>
          <w:tcPr>
            <w:tcW w:w="1738" w:type="dxa"/>
            <w:vAlign w:val="center"/>
          </w:tcPr>
          <w:p w14:paraId="1D18301D">
            <w:pPr>
              <w:jc w:val="center"/>
              <w:rPr>
                <w:rFonts w:ascii="仿宋_GB2312" w:hAnsi="仿宋_GB2312" w:eastAsia="仿宋_GB2312" w:cs="仿宋_GB2312"/>
                <w:color w:val="333333"/>
                <w:kern w:val="0"/>
                <w:sz w:val="21"/>
                <w:szCs w:val="21"/>
                <w:shd w:val="clear" w:color="auto" w:fill="FFFFFF"/>
                <w:lang w:bidi="ar"/>
              </w:rPr>
            </w:pPr>
          </w:p>
        </w:tc>
      </w:tr>
      <w:tr w14:paraId="3AA7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4ACE073E">
            <w:pPr>
              <w:jc w:val="center"/>
              <w:rPr>
                <w:rFonts w:hint="default"/>
                <w:lang w:val="en-US" w:eastAsia="zh-CN"/>
              </w:rPr>
            </w:pPr>
            <w:r>
              <w:rPr>
                <w:rFonts w:hint="eastAsia" w:ascii="仿宋_GB2312" w:hAnsi="仿宋_GB2312" w:eastAsia="仿宋_GB2312" w:cs="仿宋_GB2312"/>
                <w:color w:val="333333"/>
                <w:kern w:val="0"/>
                <w:sz w:val="21"/>
                <w:szCs w:val="21"/>
                <w:shd w:val="clear" w:color="auto" w:fill="FFFFFF"/>
                <w:lang w:val="en-US" w:eastAsia="zh-CN" w:bidi="ar"/>
              </w:rPr>
              <w:t>6</w:t>
            </w:r>
          </w:p>
        </w:tc>
        <w:tc>
          <w:tcPr>
            <w:tcW w:w="4267" w:type="dxa"/>
            <w:vAlign w:val="center"/>
          </w:tcPr>
          <w:p w14:paraId="1F8CAA6C">
            <w:pPr>
              <w:widowControl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林州市人民政府办公室</w:t>
            </w:r>
          </w:p>
          <w:p w14:paraId="0D13CA9F">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关于林州市2015年度保障性住房相关标准的通知</w:t>
            </w:r>
          </w:p>
        </w:tc>
        <w:tc>
          <w:tcPr>
            <w:tcW w:w="2175" w:type="dxa"/>
            <w:vAlign w:val="center"/>
          </w:tcPr>
          <w:p w14:paraId="5A8B11C0">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15</w:t>
            </w:r>
            <w:r>
              <w:rPr>
                <w:rFonts w:hint="eastAsia" w:eastAsia="仿宋_GB2312"/>
              </w:rPr>
              <w:t>〕</w:t>
            </w:r>
            <w:r>
              <w:rPr>
                <w:rFonts w:hint="eastAsia" w:eastAsia="仿宋_GB2312"/>
                <w:lang w:val="en-US" w:eastAsia="zh-CN"/>
              </w:rPr>
              <w:t>8</w:t>
            </w:r>
            <w:r>
              <w:rPr>
                <w:rFonts w:hint="eastAsia" w:eastAsia="仿宋_GB2312"/>
              </w:rPr>
              <w:t>号</w:t>
            </w:r>
          </w:p>
        </w:tc>
        <w:tc>
          <w:tcPr>
            <w:tcW w:w="2398" w:type="dxa"/>
            <w:vAlign w:val="center"/>
          </w:tcPr>
          <w:p w14:paraId="1DB925C9">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3DC58540">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阶段性工作完成</w:t>
            </w:r>
          </w:p>
        </w:tc>
        <w:tc>
          <w:tcPr>
            <w:tcW w:w="1738" w:type="dxa"/>
            <w:vAlign w:val="center"/>
          </w:tcPr>
          <w:p w14:paraId="244D0FD4">
            <w:pPr>
              <w:jc w:val="center"/>
              <w:rPr>
                <w:rFonts w:ascii="仿宋_GB2312" w:hAnsi="仿宋_GB2312" w:eastAsia="仿宋_GB2312" w:cs="仿宋_GB2312"/>
                <w:color w:val="333333"/>
                <w:kern w:val="0"/>
                <w:sz w:val="21"/>
                <w:szCs w:val="21"/>
                <w:shd w:val="clear" w:color="auto" w:fill="FFFFFF"/>
                <w:lang w:bidi="ar"/>
              </w:rPr>
            </w:pPr>
          </w:p>
        </w:tc>
      </w:tr>
      <w:tr w14:paraId="449D4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817" w:type="dxa"/>
            <w:vAlign w:val="center"/>
          </w:tcPr>
          <w:p w14:paraId="6C8C87D9">
            <w:pPr>
              <w:jc w:val="center"/>
              <w:rPr>
                <w:rFonts w:hint="default"/>
                <w:lang w:val="en-US" w:eastAsia="zh-CN"/>
              </w:rPr>
            </w:pPr>
            <w:r>
              <w:rPr>
                <w:rFonts w:hint="eastAsia" w:ascii="仿宋_GB2312" w:hAnsi="仿宋_GB2312" w:eastAsia="仿宋_GB2312" w:cs="仿宋_GB2312"/>
                <w:color w:val="333333"/>
                <w:kern w:val="0"/>
                <w:sz w:val="21"/>
                <w:szCs w:val="21"/>
                <w:shd w:val="clear" w:color="auto" w:fill="FFFFFF"/>
                <w:lang w:val="en-US" w:eastAsia="zh-CN" w:bidi="ar"/>
              </w:rPr>
              <w:t>7</w:t>
            </w:r>
          </w:p>
        </w:tc>
        <w:tc>
          <w:tcPr>
            <w:tcW w:w="4267" w:type="dxa"/>
            <w:vAlign w:val="center"/>
          </w:tcPr>
          <w:p w14:paraId="36D34088">
            <w:pPr>
              <w:widowControl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林州市人民政府办公室</w:t>
            </w:r>
          </w:p>
          <w:p w14:paraId="5DEDFEC2">
            <w:pPr>
              <w:widowControl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关于印发林州市行政权力清单动态管理办法（试行）的通知</w:t>
            </w:r>
          </w:p>
        </w:tc>
        <w:tc>
          <w:tcPr>
            <w:tcW w:w="2175" w:type="dxa"/>
            <w:vAlign w:val="center"/>
          </w:tcPr>
          <w:p w14:paraId="02587323">
            <w:pPr>
              <w:widowControl w:val="0"/>
              <w:jc w:val="center"/>
              <w:rPr>
                <w:rFonts w:hint="eastAsia" w:eastAsia="仿宋_GB2312"/>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16</w:t>
            </w:r>
            <w:r>
              <w:rPr>
                <w:rFonts w:hint="eastAsia" w:eastAsia="仿宋_GB2312"/>
              </w:rPr>
              <w:t>〕</w:t>
            </w:r>
            <w:r>
              <w:rPr>
                <w:rFonts w:hint="eastAsia" w:eastAsia="仿宋_GB2312"/>
                <w:lang w:val="en-US" w:eastAsia="zh-CN"/>
              </w:rPr>
              <w:t>8</w:t>
            </w:r>
            <w:r>
              <w:rPr>
                <w:rFonts w:hint="eastAsia" w:eastAsia="仿宋_GB2312"/>
              </w:rPr>
              <w:t>号</w:t>
            </w:r>
          </w:p>
          <w:p w14:paraId="0E3707AC">
            <w:pPr>
              <w:jc w:val="center"/>
              <w:rPr>
                <w:rFonts w:ascii="仿宋_GB2312" w:hAnsi="仿宋_GB2312" w:eastAsia="仿宋_GB2312" w:cs="仿宋_GB2312"/>
                <w:color w:val="333333"/>
                <w:kern w:val="0"/>
                <w:sz w:val="21"/>
                <w:szCs w:val="21"/>
                <w:shd w:val="clear" w:color="auto" w:fill="FFFFFF"/>
                <w:lang w:bidi="ar"/>
              </w:rPr>
            </w:pPr>
          </w:p>
        </w:tc>
        <w:tc>
          <w:tcPr>
            <w:tcW w:w="2398" w:type="dxa"/>
            <w:vAlign w:val="center"/>
          </w:tcPr>
          <w:p w14:paraId="6036CB30">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745444D3">
            <w:pPr>
              <w:jc w:val="center"/>
              <w:rPr>
                <w:rFonts w:ascii="仿宋_GB2312" w:hAnsi="仿宋_GB2312" w:eastAsia="仿宋_GB2312" w:cs="仿宋_GB2312"/>
                <w:color w:val="333333"/>
                <w:kern w:val="0"/>
                <w:sz w:val="21"/>
                <w:szCs w:val="21"/>
                <w:shd w:val="clear" w:color="auto" w:fill="FFFFFF"/>
                <w:lang w:bidi="ar"/>
              </w:rPr>
            </w:pPr>
            <w:r>
              <w:rPr>
                <w:rStyle w:val="6"/>
                <w:rFonts w:hint="eastAsia" w:ascii="仿宋_GB2312" w:hAnsi="仿宋_GB2312" w:eastAsia="仿宋_GB2312" w:cs="仿宋_GB2312"/>
                <w:b w:val="0"/>
                <w:color w:val="000000"/>
                <w:sz w:val="21"/>
                <w:szCs w:val="21"/>
                <w:lang w:eastAsia="zh-CN"/>
              </w:rPr>
              <w:t>上级文件依据已失效</w:t>
            </w:r>
          </w:p>
        </w:tc>
        <w:tc>
          <w:tcPr>
            <w:tcW w:w="1738" w:type="dxa"/>
            <w:vAlign w:val="center"/>
          </w:tcPr>
          <w:p w14:paraId="17DA9E75">
            <w:pPr>
              <w:jc w:val="center"/>
              <w:rPr>
                <w:rFonts w:ascii="仿宋_GB2312" w:hAnsi="仿宋_GB2312" w:eastAsia="仿宋_GB2312" w:cs="仿宋_GB2312"/>
                <w:color w:val="333333"/>
                <w:kern w:val="0"/>
                <w:sz w:val="21"/>
                <w:szCs w:val="21"/>
                <w:shd w:val="clear" w:color="auto" w:fill="FFFFFF"/>
                <w:lang w:bidi="ar"/>
              </w:rPr>
            </w:pPr>
          </w:p>
        </w:tc>
      </w:tr>
      <w:tr w14:paraId="1D9A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199520C2">
            <w:pPr>
              <w:jc w:val="center"/>
              <w:rPr>
                <w:rFonts w:hint="default"/>
                <w:lang w:val="en-US" w:eastAsia="zh-CN"/>
              </w:rPr>
            </w:pPr>
            <w:r>
              <w:rPr>
                <w:rStyle w:val="6"/>
                <w:rFonts w:hint="eastAsia" w:ascii="仿宋_GB2312" w:hAnsi="仿宋_GB2312" w:eastAsia="仿宋_GB2312" w:cs="仿宋_GB2312"/>
                <w:b w:val="0"/>
                <w:color w:val="000000"/>
                <w:sz w:val="21"/>
                <w:szCs w:val="21"/>
                <w:lang w:val="en-US" w:eastAsia="zh-CN"/>
              </w:rPr>
              <w:t>8</w:t>
            </w:r>
          </w:p>
        </w:tc>
        <w:tc>
          <w:tcPr>
            <w:tcW w:w="4267" w:type="dxa"/>
            <w:vAlign w:val="center"/>
          </w:tcPr>
          <w:p w14:paraId="22FB8570">
            <w:pPr>
              <w:spacing w:line="240" w:lineRule="auto"/>
              <w:jc w:val="both"/>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bCs/>
                <w:sz w:val="21"/>
                <w:szCs w:val="21"/>
              </w:rPr>
              <w:t>林州市人民政府办公室关于印发林州市2017年持续打好打赢大气污染防治攻坚战行动方案的通知</w:t>
            </w:r>
          </w:p>
        </w:tc>
        <w:tc>
          <w:tcPr>
            <w:tcW w:w="2175" w:type="dxa"/>
            <w:vAlign w:val="center"/>
          </w:tcPr>
          <w:p w14:paraId="4BBE7763">
            <w:pPr>
              <w:jc w:val="center"/>
              <w:rPr>
                <w:rFonts w:ascii="仿宋_GB2312" w:hAnsi="仿宋_GB2312" w:eastAsia="仿宋_GB2312" w:cs="仿宋_GB2312"/>
                <w:color w:val="333333"/>
                <w:kern w:val="0"/>
                <w:sz w:val="21"/>
                <w:szCs w:val="21"/>
                <w:shd w:val="clear" w:color="auto" w:fill="FFFFFF"/>
                <w:lang w:bidi="ar"/>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17</w:t>
            </w:r>
            <w:r>
              <w:rPr>
                <w:rFonts w:hint="eastAsia" w:eastAsia="仿宋_GB2312"/>
              </w:rPr>
              <w:t>〕</w:t>
            </w:r>
            <w:r>
              <w:rPr>
                <w:rFonts w:hint="eastAsia" w:eastAsia="仿宋_GB2312"/>
                <w:lang w:val="en-US" w:eastAsia="zh-CN"/>
              </w:rPr>
              <w:t>19</w:t>
            </w:r>
            <w:r>
              <w:rPr>
                <w:rFonts w:hint="eastAsia" w:eastAsia="仿宋_GB2312"/>
              </w:rPr>
              <w:t>号</w:t>
            </w:r>
          </w:p>
        </w:tc>
        <w:tc>
          <w:tcPr>
            <w:tcW w:w="2398" w:type="dxa"/>
            <w:vAlign w:val="center"/>
          </w:tcPr>
          <w:p w14:paraId="4448907A">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5FA70EDC">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阶段性工作完成</w:t>
            </w:r>
          </w:p>
        </w:tc>
        <w:tc>
          <w:tcPr>
            <w:tcW w:w="1738" w:type="dxa"/>
            <w:vAlign w:val="center"/>
          </w:tcPr>
          <w:p w14:paraId="60B78043">
            <w:pPr>
              <w:jc w:val="center"/>
              <w:rPr>
                <w:rFonts w:ascii="仿宋_GB2312" w:hAnsi="仿宋_GB2312" w:eastAsia="仿宋_GB2312" w:cs="仿宋_GB2312"/>
                <w:color w:val="333333"/>
                <w:kern w:val="0"/>
                <w:sz w:val="21"/>
                <w:szCs w:val="21"/>
                <w:shd w:val="clear" w:color="auto" w:fill="FFFFFF"/>
                <w:lang w:bidi="ar"/>
              </w:rPr>
            </w:pPr>
          </w:p>
        </w:tc>
      </w:tr>
      <w:tr w14:paraId="147F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6D7AB211">
            <w:pPr>
              <w:jc w:val="center"/>
              <w:rPr>
                <w:rFonts w:hint="default"/>
                <w:lang w:val="en-US" w:eastAsia="zh-CN"/>
              </w:rPr>
            </w:pPr>
            <w:r>
              <w:rPr>
                <w:rStyle w:val="6"/>
                <w:rFonts w:hint="eastAsia" w:ascii="仿宋_GB2312" w:hAnsi="仿宋_GB2312" w:eastAsia="仿宋_GB2312" w:cs="仿宋_GB2312"/>
                <w:b w:val="0"/>
                <w:color w:val="000000"/>
                <w:sz w:val="21"/>
                <w:szCs w:val="21"/>
                <w:lang w:val="en-US" w:eastAsia="zh-CN"/>
              </w:rPr>
              <w:t>9</w:t>
            </w:r>
          </w:p>
        </w:tc>
        <w:tc>
          <w:tcPr>
            <w:tcW w:w="4267" w:type="dxa"/>
            <w:vAlign w:val="center"/>
          </w:tcPr>
          <w:p w14:paraId="2314E842">
            <w:pPr>
              <w:widowControl w:val="0"/>
              <w:jc w:val="both"/>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林州市人民政府办公室关于林州市2018年度保障性住房相关标准的通知</w:t>
            </w:r>
          </w:p>
        </w:tc>
        <w:tc>
          <w:tcPr>
            <w:tcW w:w="2175" w:type="dxa"/>
            <w:vAlign w:val="center"/>
          </w:tcPr>
          <w:p w14:paraId="31700CAD">
            <w:pPr>
              <w:jc w:val="center"/>
              <w:rPr>
                <w:rFonts w:ascii="仿宋_GB2312" w:hAnsi="仿宋_GB2312" w:eastAsia="仿宋_GB2312" w:cs="仿宋_GB2312"/>
                <w:color w:val="333333"/>
                <w:kern w:val="0"/>
                <w:sz w:val="21"/>
                <w:szCs w:val="21"/>
                <w:shd w:val="clear" w:color="auto" w:fill="FFFFFF"/>
                <w:lang w:bidi="ar"/>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29</w:t>
            </w:r>
            <w:r>
              <w:rPr>
                <w:rFonts w:hint="eastAsia" w:eastAsia="仿宋_GB2312"/>
              </w:rPr>
              <w:t>号</w:t>
            </w:r>
          </w:p>
        </w:tc>
        <w:tc>
          <w:tcPr>
            <w:tcW w:w="2398" w:type="dxa"/>
            <w:vAlign w:val="center"/>
          </w:tcPr>
          <w:p w14:paraId="2A4143FB">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02DB7859">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阶段性工作完成</w:t>
            </w:r>
          </w:p>
        </w:tc>
        <w:tc>
          <w:tcPr>
            <w:tcW w:w="1738" w:type="dxa"/>
            <w:vAlign w:val="center"/>
          </w:tcPr>
          <w:p w14:paraId="76C9B456">
            <w:pPr>
              <w:jc w:val="center"/>
              <w:rPr>
                <w:rFonts w:ascii="仿宋_GB2312" w:hAnsi="仿宋_GB2312" w:eastAsia="仿宋_GB2312" w:cs="仿宋_GB2312"/>
                <w:color w:val="333333"/>
                <w:kern w:val="0"/>
                <w:sz w:val="21"/>
                <w:szCs w:val="21"/>
                <w:shd w:val="clear" w:color="auto" w:fill="FFFFFF"/>
                <w:lang w:bidi="ar"/>
              </w:rPr>
            </w:pPr>
          </w:p>
        </w:tc>
      </w:tr>
      <w:tr w14:paraId="3B8C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094A2344">
            <w:pPr>
              <w:jc w:val="center"/>
              <w:rPr>
                <w:rFonts w:hint="default"/>
                <w:lang w:val="en-US" w:eastAsia="zh-CN"/>
              </w:rPr>
            </w:pPr>
            <w:r>
              <w:rPr>
                <w:rStyle w:val="6"/>
                <w:rFonts w:hint="eastAsia" w:ascii="仿宋_GB2312" w:hAnsi="仿宋_GB2312" w:eastAsia="仿宋_GB2312" w:cs="仿宋_GB2312"/>
                <w:b w:val="0"/>
                <w:color w:val="000000"/>
                <w:sz w:val="21"/>
                <w:szCs w:val="21"/>
                <w:lang w:val="en-US" w:eastAsia="zh-CN"/>
              </w:rPr>
              <w:t>10</w:t>
            </w:r>
          </w:p>
        </w:tc>
        <w:tc>
          <w:tcPr>
            <w:tcW w:w="4267" w:type="dxa"/>
            <w:vAlign w:val="center"/>
          </w:tcPr>
          <w:p w14:paraId="3E98E66B">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林州市人民政府办公室关于印发林州市2018年持续打好打赢水污染防治攻坚战实施方案的通知</w:t>
            </w:r>
          </w:p>
        </w:tc>
        <w:tc>
          <w:tcPr>
            <w:tcW w:w="2175" w:type="dxa"/>
            <w:vAlign w:val="center"/>
          </w:tcPr>
          <w:p w14:paraId="3FECF32E">
            <w:pPr>
              <w:jc w:val="center"/>
              <w:rPr>
                <w:rFonts w:ascii="仿宋_GB2312" w:hAnsi="仿宋_GB2312" w:eastAsia="仿宋_GB2312" w:cs="仿宋_GB2312"/>
                <w:color w:val="333333"/>
                <w:kern w:val="0"/>
                <w:sz w:val="21"/>
                <w:szCs w:val="21"/>
                <w:shd w:val="clear" w:color="auto" w:fill="FFFFFF"/>
                <w:lang w:bidi="ar"/>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35</w:t>
            </w:r>
            <w:r>
              <w:rPr>
                <w:rFonts w:hint="eastAsia" w:eastAsia="仿宋_GB2312"/>
              </w:rPr>
              <w:t>号</w:t>
            </w:r>
          </w:p>
        </w:tc>
        <w:tc>
          <w:tcPr>
            <w:tcW w:w="2398" w:type="dxa"/>
            <w:vAlign w:val="center"/>
          </w:tcPr>
          <w:p w14:paraId="16556FA3">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4E013A04">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阶段性工作完成</w:t>
            </w:r>
          </w:p>
        </w:tc>
        <w:tc>
          <w:tcPr>
            <w:tcW w:w="1738" w:type="dxa"/>
            <w:vAlign w:val="center"/>
          </w:tcPr>
          <w:p w14:paraId="237DD709">
            <w:pPr>
              <w:jc w:val="center"/>
              <w:rPr>
                <w:rFonts w:ascii="仿宋_GB2312" w:hAnsi="仿宋_GB2312" w:eastAsia="仿宋_GB2312" w:cs="仿宋_GB2312"/>
                <w:color w:val="333333"/>
                <w:kern w:val="0"/>
                <w:sz w:val="21"/>
                <w:szCs w:val="21"/>
                <w:shd w:val="clear" w:color="auto" w:fill="FFFFFF"/>
                <w:lang w:bidi="ar"/>
              </w:rPr>
            </w:pPr>
          </w:p>
        </w:tc>
      </w:tr>
      <w:tr w14:paraId="47C92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7835B91C">
            <w:pPr>
              <w:jc w:val="center"/>
              <w:rPr>
                <w:rFonts w:hint="default"/>
                <w:lang w:val="en-US" w:eastAsia="zh-CN"/>
              </w:rPr>
            </w:pPr>
            <w:r>
              <w:rPr>
                <w:rFonts w:hint="eastAsia" w:ascii="仿宋_GB2312" w:hAnsi="仿宋_GB2312" w:eastAsia="仿宋_GB2312" w:cs="仿宋_GB2312"/>
                <w:color w:val="333333"/>
                <w:kern w:val="0"/>
                <w:sz w:val="21"/>
                <w:szCs w:val="21"/>
                <w:shd w:val="clear" w:color="auto" w:fill="FFFFFF"/>
                <w:lang w:val="en-US" w:eastAsia="zh-CN" w:bidi="ar"/>
              </w:rPr>
              <w:t>11</w:t>
            </w:r>
          </w:p>
        </w:tc>
        <w:tc>
          <w:tcPr>
            <w:tcW w:w="4267" w:type="dxa"/>
            <w:vAlign w:val="center"/>
          </w:tcPr>
          <w:p w14:paraId="159AE90C">
            <w:pPr>
              <w:widowControl w:val="0"/>
              <w:jc w:val="both"/>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林州市人民政府办公室关于加快推进全市社会办医发展的实施意见</w:t>
            </w:r>
          </w:p>
        </w:tc>
        <w:tc>
          <w:tcPr>
            <w:tcW w:w="2175" w:type="dxa"/>
            <w:vAlign w:val="center"/>
          </w:tcPr>
          <w:p w14:paraId="0E81E6BA">
            <w:pPr>
              <w:jc w:val="center"/>
              <w:rPr>
                <w:rFonts w:ascii="仿宋_GB2312" w:hAnsi="仿宋_GB2312" w:eastAsia="仿宋_GB2312" w:cs="仿宋_GB2312"/>
                <w:color w:val="333333"/>
                <w:kern w:val="0"/>
                <w:sz w:val="21"/>
                <w:szCs w:val="21"/>
                <w:shd w:val="clear" w:color="auto" w:fill="FFFFFF"/>
                <w:lang w:bidi="ar"/>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62</w:t>
            </w:r>
            <w:r>
              <w:rPr>
                <w:rFonts w:hint="eastAsia" w:eastAsia="仿宋_GB2312"/>
              </w:rPr>
              <w:t>号</w:t>
            </w:r>
          </w:p>
        </w:tc>
        <w:tc>
          <w:tcPr>
            <w:tcW w:w="2398" w:type="dxa"/>
            <w:vAlign w:val="center"/>
          </w:tcPr>
          <w:p w14:paraId="25949358">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4DCE4763">
            <w:pPr>
              <w:jc w:val="center"/>
              <w:rPr>
                <w:rFonts w:ascii="仿宋_GB2312" w:hAnsi="仿宋_GB2312" w:eastAsia="仿宋_GB2312" w:cs="仿宋_GB2312"/>
                <w:color w:val="333333"/>
                <w:kern w:val="0"/>
                <w:sz w:val="21"/>
                <w:szCs w:val="21"/>
                <w:shd w:val="clear" w:color="auto" w:fill="FFFFFF"/>
                <w:lang w:bidi="ar"/>
              </w:rPr>
            </w:pPr>
            <w:r>
              <w:rPr>
                <w:rStyle w:val="6"/>
                <w:rFonts w:hint="eastAsia" w:ascii="仿宋_GB2312" w:hAnsi="仿宋_GB2312" w:eastAsia="仿宋_GB2312" w:cs="仿宋_GB2312"/>
                <w:b w:val="0"/>
                <w:color w:val="000000"/>
                <w:sz w:val="21"/>
                <w:szCs w:val="21"/>
                <w:lang w:eastAsia="zh-CN"/>
              </w:rPr>
              <w:t>上级文件依据已失效</w:t>
            </w:r>
          </w:p>
        </w:tc>
        <w:tc>
          <w:tcPr>
            <w:tcW w:w="1738" w:type="dxa"/>
            <w:vAlign w:val="center"/>
          </w:tcPr>
          <w:p w14:paraId="10FE6248">
            <w:pPr>
              <w:jc w:val="center"/>
              <w:rPr>
                <w:rFonts w:ascii="仿宋_GB2312" w:hAnsi="仿宋_GB2312" w:eastAsia="仿宋_GB2312" w:cs="仿宋_GB2312"/>
                <w:color w:val="333333"/>
                <w:kern w:val="0"/>
                <w:sz w:val="21"/>
                <w:szCs w:val="21"/>
                <w:shd w:val="clear" w:color="auto" w:fill="FFFFFF"/>
                <w:lang w:bidi="ar"/>
              </w:rPr>
            </w:pPr>
          </w:p>
        </w:tc>
      </w:tr>
      <w:tr w14:paraId="0CB1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1E7B4316">
            <w:pPr>
              <w:jc w:val="center"/>
              <w:rPr>
                <w:rFonts w:hint="default"/>
                <w:lang w:val="en-US" w:eastAsia="zh-CN"/>
              </w:rPr>
            </w:pPr>
            <w:r>
              <w:rPr>
                <w:rFonts w:hint="eastAsia" w:ascii="仿宋_GB2312" w:hAnsi="仿宋_GB2312" w:eastAsia="仿宋_GB2312" w:cs="仿宋_GB2312"/>
                <w:color w:val="333333"/>
                <w:kern w:val="0"/>
                <w:sz w:val="21"/>
                <w:szCs w:val="21"/>
                <w:shd w:val="clear" w:color="auto" w:fill="FFFFFF"/>
                <w:lang w:val="en-US" w:eastAsia="zh-CN" w:bidi="ar"/>
              </w:rPr>
              <w:t>12</w:t>
            </w:r>
          </w:p>
        </w:tc>
        <w:tc>
          <w:tcPr>
            <w:tcW w:w="4267" w:type="dxa"/>
            <w:vAlign w:val="center"/>
          </w:tcPr>
          <w:p w14:paraId="6950A794">
            <w:pPr>
              <w:spacing w:line="240" w:lineRule="auto"/>
              <w:jc w:val="both"/>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4"/>
                <w:szCs w:val="24"/>
                <w:lang w:val="en-US" w:eastAsia="zh-CN"/>
              </w:rPr>
              <w:t>林州市人民政府办公室关于印发林州市商贸企业和个体工商户帮扶救助资金管理使用方案的通知</w:t>
            </w:r>
          </w:p>
        </w:tc>
        <w:tc>
          <w:tcPr>
            <w:tcW w:w="2175" w:type="dxa"/>
            <w:vAlign w:val="center"/>
          </w:tcPr>
          <w:p w14:paraId="464876B9">
            <w:pPr>
              <w:jc w:val="center"/>
              <w:rPr>
                <w:rFonts w:hint="eastAsia"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lang w:val="en-US" w:eastAsia="zh-CN"/>
              </w:rPr>
              <w:t>林政办〔2021〕22号</w:t>
            </w:r>
          </w:p>
        </w:tc>
        <w:tc>
          <w:tcPr>
            <w:tcW w:w="2398" w:type="dxa"/>
            <w:vAlign w:val="center"/>
          </w:tcPr>
          <w:p w14:paraId="3DE6EF29">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6B343C23">
            <w:pPr>
              <w:jc w:val="center"/>
              <w:rPr>
                <w:rFonts w:ascii="仿宋_GB2312" w:hAnsi="仿宋_GB2312" w:eastAsia="仿宋_GB2312" w:cs="仿宋_GB2312"/>
                <w:color w:val="333333"/>
                <w:kern w:val="0"/>
                <w:sz w:val="21"/>
                <w:szCs w:val="21"/>
                <w:shd w:val="clear" w:color="auto" w:fill="FFFFFF"/>
                <w:lang w:bidi="ar"/>
              </w:rPr>
            </w:pPr>
            <w:r>
              <w:rPr>
                <w:rStyle w:val="6"/>
                <w:rFonts w:hint="eastAsia" w:ascii="仿宋_GB2312" w:hAnsi="仿宋_GB2312" w:eastAsia="仿宋_GB2312" w:cs="仿宋_GB2312"/>
                <w:b w:val="0"/>
                <w:color w:val="000000"/>
                <w:sz w:val="21"/>
                <w:szCs w:val="21"/>
                <w:lang w:eastAsia="zh-CN"/>
              </w:rPr>
              <w:t>阶段性工作已完成</w:t>
            </w:r>
          </w:p>
        </w:tc>
        <w:tc>
          <w:tcPr>
            <w:tcW w:w="1738" w:type="dxa"/>
            <w:vAlign w:val="center"/>
          </w:tcPr>
          <w:p w14:paraId="22013411">
            <w:pPr>
              <w:jc w:val="center"/>
              <w:rPr>
                <w:rFonts w:ascii="仿宋_GB2312" w:hAnsi="仿宋_GB2312" w:eastAsia="仿宋_GB2312" w:cs="仿宋_GB2312"/>
                <w:color w:val="333333"/>
                <w:kern w:val="0"/>
                <w:sz w:val="21"/>
                <w:szCs w:val="21"/>
                <w:shd w:val="clear" w:color="auto" w:fill="FFFFFF"/>
                <w:lang w:bidi="ar"/>
              </w:rPr>
            </w:pPr>
          </w:p>
        </w:tc>
      </w:tr>
      <w:tr w14:paraId="07B8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4F88B4E6">
            <w:pPr>
              <w:jc w:val="center"/>
              <w:rPr>
                <w:rFonts w:hint="default"/>
                <w:lang w:val="en-US" w:eastAsia="zh-CN"/>
              </w:rPr>
            </w:pPr>
            <w:r>
              <w:rPr>
                <w:rFonts w:hint="eastAsia" w:ascii="仿宋_GB2312" w:hAnsi="仿宋_GB2312" w:eastAsia="仿宋_GB2312" w:cs="仿宋_GB2312"/>
                <w:color w:val="333333"/>
                <w:kern w:val="0"/>
                <w:sz w:val="21"/>
                <w:szCs w:val="21"/>
                <w:shd w:val="clear" w:color="auto" w:fill="FFFFFF"/>
                <w:lang w:val="en-US" w:eastAsia="zh-CN" w:bidi="ar"/>
              </w:rPr>
              <w:t>13</w:t>
            </w:r>
          </w:p>
        </w:tc>
        <w:tc>
          <w:tcPr>
            <w:tcW w:w="4267" w:type="dxa"/>
            <w:vAlign w:val="center"/>
          </w:tcPr>
          <w:p w14:paraId="704BBB5F">
            <w:pPr>
              <w:spacing w:line="240" w:lineRule="auto"/>
              <w:jc w:val="both"/>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4"/>
                <w:szCs w:val="24"/>
                <w:lang w:val="en-US" w:eastAsia="zh-CN"/>
              </w:rPr>
              <w:t>林州市人民政府办公室关于促进房地产平稳健康发展的十条意见</w:t>
            </w:r>
          </w:p>
        </w:tc>
        <w:tc>
          <w:tcPr>
            <w:tcW w:w="2175" w:type="dxa"/>
            <w:vAlign w:val="center"/>
          </w:tcPr>
          <w:p w14:paraId="1423AFA7">
            <w:pPr>
              <w:jc w:val="center"/>
              <w:rPr>
                <w:rFonts w:hint="eastAsia"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lang w:val="en-US" w:eastAsia="zh-CN"/>
              </w:rPr>
              <w:t>林政办〔2023〕9号</w:t>
            </w:r>
          </w:p>
        </w:tc>
        <w:tc>
          <w:tcPr>
            <w:tcW w:w="2398" w:type="dxa"/>
            <w:vAlign w:val="center"/>
          </w:tcPr>
          <w:p w14:paraId="20F39A66">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48A1E896">
            <w:pPr>
              <w:jc w:val="center"/>
              <w:rPr>
                <w:rFonts w:ascii="仿宋_GB2312" w:hAnsi="仿宋_GB2312" w:eastAsia="仿宋_GB2312" w:cs="仿宋_GB2312"/>
                <w:color w:val="333333"/>
                <w:kern w:val="0"/>
                <w:sz w:val="21"/>
                <w:szCs w:val="21"/>
                <w:shd w:val="clear" w:color="auto" w:fill="FFFFFF"/>
                <w:lang w:bidi="ar"/>
              </w:rPr>
            </w:pPr>
            <w:r>
              <w:rPr>
                <w:rStyle w:val="6"/>
                <w:rFonts w:hint="eastAsia" w:ascii="仿宋_GB2312" w:hAnsi="仿宋_GB2312" w:eastAsia="仿宋_GB2312" w:cs="仿宋_GB2312"/>
                <w:b w:val="0"/>
                <w:color w:val="000000"/>
                <w:sz w:val="21"/>
                <w:szCs w:val="21"/>
                <w:lang w:eastAsia="zh-CN"/>
              </w:rPr>
              <w:t>阶段性工作已完成</w:t>
            </w:r>
          </w:p>
        </w:tc>
        <w:tc>
          <w:tcPr>
            <w:tcW w:w="1738" w:type="dxa"/>
            <w:vAlign w:val="center"/>
          </w:tcPr>
          <w:p w14:paraId="75122C1D">
            <w:pPr>
              <w:jc w:val="center"/>
              <w:rPr>
                <w:rFonts w:ascii="仿宋_GB2312" w:hAnsi="仿宋_GB2312" w:eastAsia="仿宋_GB2312" w:cs="仿宋_GB2312"/>
                <w:color w:val="333333"/>
                <w:kern w:val="0"/>
                <w:sz w:val="21"/>
                <w:szCs w:val="21"/>
                <w:shd w:val="clear" w:color="auto" w:fill="FFFFFF"/>
                <w:lang w:bidi="ar"/>
              </w:rPr>
            </w:pPr>
          </w:p>
        </w:tc>
      </w:tr>
      <w:tr w14:paraId="57E81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4DA60958">
            <w:pPr>
              <w:jc w:val="center"/>
              <w:rPr>
                <w:rFonts w:hint="default"/>
                <w:lang w:val="en-US" w:eastAsia="zh-CN"/>
              </w:rPr>
            </w:pPr>
            <w:r>
              <w:rPr>
                <w:rFonts w:hint="eastAsia" w:ascii="仿宋_GB2312" w:hAnsi="仿宋_GB2312" w:eastAsia="仿宋_GB2312" w:cs="仿宋_GB2312"/>
                <w:color w:val="333333"/>
                <w:kern w:val="0"/>
                <w:sz w:val="21"/>
                <w:szCs w:val="21"/>
                <w:shd w:val="clear" w:color="auto" w:fill="FFFFFF"/>
                <w:lang w:val="en-US" w:eastAsia="zh-CN" w:bidi="ar"/>
              </w:rPr>
              <w:t>14</w:t>
            </w:r>
          </w:p>
        </w:tc>
        <w:tc>
          <w:tcPr>
            <w:tcW w:w="4267" w:type="dxa"/>
            <w:vAlign w:val="center"/>
          </w:tcPr>
          <w:p w14:paraId="1BDF82AD">
            <w:pPr>
              <w:spacing w:line="240" w:lineRule="auto"/>
              <w:jc w:val="both"/>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b w:val="0"/>
                <w:bCs w:val="0"/>
                <w:sz w:val="24"/>
                <w:szCs w:val="24"/>
                <w:lang w:val="en-US" w:eastAsia="zh-CN"/>
              </w:rPr>
              <w:t>林州市人民政府办公室关于印发林州市2022年度生猪调出大县奖励资金分配调整方案的通知</w:t>
            </w:r>
          </w:p>
        </w:tc>
        <w:tc>
          <w:tcPr>
            <w:tcW w:w="2175" w:type="dxa"/>
            <w:vAlign w:val="center"/>
          </w:tcPr>
          <w:p w14:paraId="27B79012">
            <w:pPr>
              <w:jc w:val="center"/>
              <w:rPr>
                <w:rFonts w:hint="eastAsia"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napToGrid w:val="0"/>
                <w:color w:val="000000"/>
                <w:kern w:val="0"/>
                <w:sz w:val="21"/>
                <w:szCs w:val="21"/>
                <w:lang w:val="en-US" w:eastAsia="zh-CN"/>
              </w:rPr>
              <w:t>林政办</w:t>
            </w:r>
            <w:r>
              <w:rPr>
                <w:rFonts w:hint="eastAsia" w:ascii="仿宋_GB2312" w:hAnsi="仿宋_GB2312" w:eastAsia="仿宋_GB2312" w:cs="仿宋_GB2312"/>
                <w:sz w:val="21"/>
                <w:szCs w:val="21"/>
                <w:lang w:val="en-US" w:eastAsia="zh-CN"/>
              </w:rPr>
              <w:t>〔2023〕</w:t>
            </w:r>
            <w:r>
              <w:rPr>
                <w:rFonts w:hint="eastAsia" w:ascii="仿宋_GB2312" w:hAnsi="仿宋_GB2312" w:eastAsia="仿宋_GB2312" w:cs="仿宋_GB2312"/>
                <w:snapToGrid w:val="0"/>
                <w:color w:val="000000"/>
                <w:kern w:val="0"/>
                <w:sz w:val="21"/>
                <w:szCs w:val="21"/>
                <w:lang w:val="en-US" w:eastAsia="zh-CN"/>
              </w:rPr>
              <w:t>28号</w:t>
            </w:r>
          </w:p>
        </w:tc>
        <w:tc>
          <w:tcPr>
            <w:tcW w:w="2398" w:type="dxa"/>
            <w:vAlign w:val="center"/>
          </w:tcPr>
          <w:p w14:paraId="7445A291">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669B01D2">
            <w:pPr>
              <w:jc w:val="center"/>
              <w:rPr>
                <w:rFonts w:ascii="仿宋_GB2312" w:hAnsi="仿宋_GB2312" w:eastAsia="仿宋_GB2312" w:cs="仿宋_GB2312"/>
                <w:color w:val="333333"/>
                <w:kern w:val="0"/>
                <w:sz w:val="21"/>
                <w:szCs w:val="21"/>
                <w:shd w:val="clear" w:color="auto" w:fill="FFFFFF"/>
                <w:lang w:bidi="ar"/>
              </w:rPr>
            </w:pPr>
            <w:r>
              <w:rPr>
                <w:rStyle w:val="6"/>
                <w:rFonts w:hint="eastAsia" w:ascii="仿宋_GB2312" w:hAnsi="仿宋_GB2312" w:eastAsia="仿宋_GB2312" w:cs="仿宋_GB2312"/>
                <w:b w:val="0"/>
                <w:color w:val="000000"/>
                <w:sz w:val="21"/>
                <w:szCs w:val="21"/>
                <w:lang w:eastAsia="zh-CN"/>
              </w:rPr>
              <w:t>阶段性工作已完成</w:t>
            </w:r>
          </w:p>
        </w:tc>
        <w:tc>
          <w:tcPr>
            <w:tcW w:w="1738" w:type="dxa"/>
            <w:vAlign w:val="center"/>
          </w:tcPr>
          <w:p w14:paraId="47A80710">
            <w:pPr>
              <w:jc w:val="center"/>
              <w:rPr>
                <w:rFonts w:ascii="仿宋_GB2312" w:hAnsi="仿宋_GB2312" w:eastAsia="仿宋_GB2312" w:cs="仿宋_GB2312"/>
                <w:color w:val="333333"/>
                <w:kern w:val="0"/>
                <w:sz w:val="21"/>
                <w:szCs w:val="21"/>
                <w:shd w:val="clear" w:color="auto" w:fill="FFFFFF"/>
                <w:lang w:bidi="ar"/>
              </w:rPr>
            </w:pPr>
          </w:p>
        </w:tc>
      </w:tr>
      <w:tr w14:paraId="1919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shd w:val="clear" w:color="auto" w:fill="auto"/>
            <w:vAlign w:val="center"/>
          </w:tcPr>
          <w:p w14:paraId="0EE2B841">
            <w:pPr>
              <w:jc w:val="center"/>
              <w:rPr>
                <w:rFonts w:hint="eastAsia" w:ascii="仿宋_GB2312" w:hAnsi="仿宋_GB2312" w:eastAsia="仿宋_GB2312" w:cs="仿宋_GB2312"/>
                <w:b w:val="0"/>
                <w:bCs/>
                <w:color w:val="000000"/>
                <w:kern w:val="2"/>
                <w:sz w:val="21"/>
                <w:szCs w:val="21"/>
                <w:lang w:val="en-US" w:eastAsia="zh-CN" w:bidi="ar-SA"/>
              </w:rPr>
            </w:pPr>
            <w:r>
              <w:rPr>
                <w:rFonts w:hint="eastAsia" w:ascii="仿宋_GB2312" w:hAnsi="仿宋_GB2312" w:eastAsia="仿宋_GB2312" w:cs="仿宋_GB2312"/>
                <w:color w:val="333333"/>
                <w:kern w:val="0"/>
                <w:sz w:val="21"/>
                <w:szCs w:val="21"/>
                <w:shd w:val="clear" w:color="auto" w:fill="FFFFFF"/>
                <w:lang w:val="en-US" w:eastAsia="zh-CN" w:bidi="ar"/>
              </w:rPr>
              <w:t>15</w:t>
            </w:r>
          </w:p>
        </w:tc>
        <w:tc>
          <w:tcPr>
            <w:tcW w:w="4267" w:type="dxa"/>
            <w:shd w:val="clear" w:color="auto" w:fill="auto"/>
            <w:vAlign w:val="center"/>
          </w:tcPr>
          <w:p w14:paraId="73BAC10C">
            <w:pPr>
              <w:spacing w:line="240" w:lineRule="auto"/>
              <w:jc w:val="both"/>
              <w:rPr>
                <w:rFonts w:hint="eastAsia" w:ascii="仿宋_GB2312" w:hAnsi="Calibri" w:eastAsia="仿宋_GB2312" w:cs="Calibri"/>
                <w:kern w:val="2"/>
                <w:sz w:val="21"/>
                <w:szCs w:val="21"/>
                <w:lang w:val="en-US" w:eastAsia="zh-CN" w:bidi="ar-SA"/>
              </w:rPr>
            </w:pPr>
            <w:r>
              <w:rPr>
                <w:rFonts w:hint="eastAsia" w:ascii="仿宋_GB2312" w:hAnsi="仿宋_GB2312" w:eastAsia="仿宋_GB2312" w:cs="仿宋_GB2312"/>
                <w:sz w:val="24"/>
                <w:szCs w:val="24"/>
                <w:lang w:val="en-US" w:eastAsia="zh-CN"/>
              </w:rPr>
              <w:t>林州市人民政府办公室关于促进房地产市场健康平稳发展的若干意见</w:t>
            </w:r>
          </w:p>
        </w:tc>
        <w:tc>
          <w:tcPr>
            <w:tcW w:w="2175" w:type="dxa"/>
            <w:shd w:val="clear" w:color="auto" w:fill="auto"/>
            <w:vAlign w:val="center"/>
          </w:tcPr>
          <w:p w14:paraId="6F8C9FB0">
            <w:pPr>
              <w:jc w:val="center"/>
              <w:rPr>
                <w:rFonts w:hint="eastAsia" w:ascii="仿宋_GB2312" w:hAnsi="仿宋_GB2312" w:eastAsia="仿宋_GB2312" w:cs="仿宋_GB2312"/>
                <w:b w:val="0"/>
                <w:bCs/>
                <w:color w:val="000000"/>
                <w:kern w:val="2"/>
                <w:sz w:val="21"/>
                <w:szCs w:val="21"/>
                <w:lang w:val="en-US" w:eastAsia="zh-CN" w:bidi="ar-SA"/>
              </w:rPr>
            </w:pPr>
            <w:r>
              <w:rPr>
                <w:rFonts w:hint="eastAsia" w:ascii="仿宋_GB2312" w:hAnsi="仿宋_GB2312" w:eastAsia="仿宋_GB2312" w:cs="仿宋_GB2312"/>
                <w:sz w:val="21"/>
                <w:szCs w:val="21"/>
                <w:lang w:val="en-US" w:eastAsia="zh-CN"/>
              </w:rPr>
              <w:t>林政办〔2024〕3号</w:t>
            </w:r>
          </w:p>
        </w:tc>
        <w:tc>
          <w:tcPr>
            <w:tcW w:w="2398" w:type="dxa"/>
            <w:shd w:val="clear" w:color="auto" w:fill="auto"/>
            <w:vAlign w:val="center"/>
          </w:tcPr>
          <w:p w14:paraId="34F647C0">
            <w:pPr>
              <w:jc w:val="center"/>
              <w:rPr>
                <w:rFonts w:hint="eastAsia" w:ascii="仿宋_GB2312" w:hAnsi="仿宋_GB2312" w:eastAsia="仿宋_GB2312" w:cs="仿宋_GB2312"/>
                <w:b w:val="0"/>
                <w:bCs/>
                <w:color w:val="000000"/>
                <w:kern w:val="2"/>
                <w:sz w:val="21"/>
                <w:szCs w:val="21"/>
                <w:lang w:val="en-US" w:eastAsia="zh-CN" w:bidi="ar-SA"/>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shd w:val="clear" w:color="auto" w:fill="auto"/>
            <w:vAlign w:val="center"/>
          </w:tcPr>
          <w:p w14:paraId="7483D84D">
            <w:pPr>
              <w:jc w:val="center"/>
              <w:rPr>
                <w:rFonts w:hint="eastAsia" w:ascii="仿宋_GB2312" w:hAnsi="仿宋_GB2312" w:eastAsia="仿宋_GB2312" w:cs="仿宋_GB2312"/>
                <w:b w:val="0"/>
                <w:bCs/>
                <w:color w:val="000000"/>
                <w:kern w:val="2"/>
                <w:sz w:val="21"/>
                <w:szCs w:val="21"/>
                <w:lang w:val="en-US" w:eastAsia="zh-CN" w:bidi="ar-SA"/>
              </w:rPr>
            </w:pPr>
            <w:r>
              <w:rPr>
                <w:rStyle w:val="6"/>
                <w:rFonts w:hint="eastAsia" w:ascii="仿宋_GB2312" w:hAnsi="仿宋_GB2312" w:eastAsia="仿宋_GB2312" w:cs="仿宋_GB2312"/>
                <w:b w:val="0"/>
                <w:color w:val="000000"/>
                <w:sz w:val="21"/>
                <w:szCs w:val="21"/>
                <w:lang w:eastAsia="zh-CN"/>
              </w:rPr>
              <w:t>阶段性工作已完成</w:t>
            </w:r>
          </w:p>
        </w:tc>
        <w:tc>
          <w:tcPr>
            <w:tcW w:w="1738" w:type="dxa"/>
            <w:shd w:val="clear" w:color="auto" w:fill="auto"/>
            <w:vAlign w:val="center"/>
          </w:tcPr>
          <w:p w14:paraId="1C02261D">
            <w:pPr>
              <w:jc w:val="center"/>
              <w:rPr>
                <w:rFonts w:ascii="仿宋_GB2312" w:hAnsi="仿宋_GB2312" w:eastAsia="仿宋_GB2312" w:cs="仿宋_GB2312"/>
                <w:b w:val="0"/>
                <w:bCs/>
                <w:color w:val="000000"/>
                <w:kern w:val="2"/>
                <w:sz w:val="21"/>
                <w:szCs w:val="21"/>
                <w:lang w:val="en-US" w:eastAsia="zh-CN" w:bidi="ar-SA"/>
              </w:rPr>
            </w:pPr>
          </w:p>
        </w:tc>
      </w:tr>
      <w:tr w14:paraId="0A41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285F9834">
            <w:pPr>
              <w:jc w:val="center"/>
              <w:rPr>
                <w:rFonts w:hint="default"/>
                <w:lang w:val="en-US" w:eastAsia="zh-CN"/>
              </w:rPr>
            </w:pPr>
            <w:r>
              <w:rPr>
                <w:rFonts w:hint="eastAsia" w:ascii="仿宋_GB2312" w:hAnsi="仿宋_GB2312" w:eastAsia="仿宋_GB2312" w:cs="仿宋_GB2312"/>
                <w:b w:val="0"/>
                <w:bCs w:val="0"/>
                <w:color w:val="000000"/>
                <w:kern w:val="2"/>
                <w:sz w:val="21"/>
                <w:szCs w:val="21"/>
                <w:lang w:val="en-US" w:eastAsia="zh-CN" w:bidi="ar-SA"/>
              </w:rPr>
              <w:t>16</w:t>
            </w:r>
          </w:p>
        </w:tc>
        <w:tc>
          <w:tcPr>
            <w:tcW w:w="4267" w:type="dxa"/>
            <w:vAlign w:val="center"/>
          </w:tcPr>
          <w:p w14:paraId="7CF8EC2F">
            <w:pPr>
              <w:widowControl w:val="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林州市人民政府办公室关于印发林州市禁止燃放烟花爆竹管理办法的通知</w:t>
            </w:r>
          </w:p>
        </w:tc>
        <w:tc>
          <w:tcPr>
            <w:tcW w:w="2175" w:type="dxa"/>
            <w:vAlign w:val="center"/>
          </w:tcPr>
          <w:p w14:paraId="7B058BF9">
            <w:pPr>
              <w:jc w:val="center"/>
              <w:rPr>
                <w:rFonts w:hint="eastAsia"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林政</w:t>
            </w:r>
            <w:r>
              <w:rPr>
                <w:rFonts w:hint="eastAsia" w:ascii="仿宋_GB2312" w:hAnsi="仿宋_GB2312" w:eastAsia="仿宋_GB2312" w:cs="仿宋_GB2312"/>
                <w:sz w:val="21"/>
                <w:szCs w:val="21"/>
                <w:lang w:val="en-US" w:eastAsia="zh-CN"/>
              </w:rPr>
              <w:t>办</w:t>
            </w:r>
            <w:r>
              <w:rPr>
                <w:rFonts w:hint="eastAsia" w:ascii="仿宋_GB2312" w:hAnsi="仿宋_GB2312" w:eastAsia="仿宋_GB2312" w:cs="仿宋_GB2312"/>
                <w:sz w:val="21"/>
                <w:szCs w:val="21"/>
              </w:rPr>
              <w:t>〔20</w:t>
            </w:r>
            <w:r>
              <w:rPr>
                <w:rFonts w:hint="eastAsia" w:ascii="仿宋_GB2312" w:hAnsi="仿宋_GB2312" w:eastAsia="仿宋_GB2312" w:cs="仿宋_GB2312"/>
                <w:sz w:val="21"/>
                <w:szCs w:val="21"/>
                <w:lang w:val="en-US" w:eastAsia="zh-CN"/>
              </w:rPr>
              <w:t>18</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112</w:t>
            </w:r>
            <w:r>
              <w:rPr>
                <w:rFonts w:hint="eastAsia" w:ascii="仿宋_GB2312" w:hAnsi="仿宋_GB2312" w:eastAsia="仿宋_GB2312" w:cs="仿宋_GB2312"/>
                <w:sz w:val="21"/>
                <w:szCs w:val="21"/>
              </w:rPr>
              <w:t>号</w:t>
            </w:r>
          </w:p>
        </w:tc>
        <w:tc>
          <w:tcPr>
            <w:tcW w:w="2398" w:type="dxa"/>
            <w:vAlign w:val="center"/>
          </w:tcPr>
          <w:p w14:paraId="01B05CA1">
            <w:pPr>
              <w:jc w:val="center"/>
              <w:rPr>
                <w:rFonts w:hint="eastAsia"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13643962">
            <w:pPr>
              <w:jc w:val="center"/>
              <w:rPr>
                <w:rFonts w:hint="eastAsia"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阶段性工作已完成</w:t>
            </w:r>
          </w:p>
        </w:tc>
        <w:tc>
          <w:tcPr>
            <w:tcW w:w="1738" w:type="dxa"/>
            <w:vAlign w:val="center"/>
          </w:tcPr>
          <w:p w14:paraId="4F9D9E34">
            <w:pPr>
              <w:jc w:val="center"/>
              <w:rPr>
                <w:rFonts w:ascii="仿宋_GB2312" w:hAnsi="仿宋_GB2312" w:eastAsia="仿宋_GB2312" w:cs="仿宋_GB2312"/>
                <w:color w:val="333333"/>
                <w:kern w:val="0"/>
                <w:sz w:val="21"/>
                <w:szCs w:val="21"/>
                <w:shd w:val="clear" w:color="auto" w:fill="FFFFFF"/>
                <w:lang w:bidi="ar"/>
              </w:rPr>
            </w:pPr>
          </w:p>
        </w:tc>
      </w:tr>
      <w:tr w14:paraId="0819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40B3EC39">
            <w:pPr>
              <w:jc w:val="center"/>
              <w:rPr>
                <w:rFonts w:hint="default"/>
                <w:lang w:val="en-US" w:eastAsia="zh-CN"/>
              </w:rPr>
            </w:pPr>
            <w:r>
              <w:rPr>
                <w:rFonts w:hint="eastAsia" w:ascii="仿宋_GB2312" w:hAnsi="仿宋_GB2312" w:eastAsia="仿宋_GB2312" w:cs="仿宋_GB2312"/>
                <w:color w:val="333333"/>
                <w:kern w:val="0"/>
                <w:sz w:val="21"/>
                <w:szCs w:val="21"/>
                <w:shd w:val="clear" w:color="auto" w:fill="FFFFFF"/>
                <w:lang w:val="en-US" w:eastAsia="zh-CN" w:bidi="ar"/>
              </w:rPr>
              <w:t>17</w:t>
            </w:r>
          </w:p>
        </w:tc>
        <w:tc>
          <w:tcPr>
            <w:tcW w:w="4267" w:type="dxa"/>
            <w:vAlign w:val="center"/>
          </w:tcPr>
          <w:p w14:paraId="133B66F8">
            <w:pPr>
              <w:widowControl w:val="0"/>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林州市人民政府办公室关于优化营商环境激发民间有效投资活力的实施意见</w:t>
            </w:r>
          </w:p>
        </w:tc>
        <w:tc>
          <w:tcPr>
            <w:tcW w:w="2175" w:type="dxa"/>
            <w:vAlign w:val="center"/>
          </w:tcPr>
          <w:p w14:paraId="5DFCFF8B">
            <w:pPr>
              <w:jc w:val="center"/>
              <w:rPr>
                <w:rFonts w:ascii="仿宋_GB2312" w:hAnsi="仿宋_GB2312" w:eastAsia="仿宋_GB2312" w:cs="仿宋_GB2312"/>
                <w:color w:val="333333"/>
                <w:kern w:val="0"/>
                <w:sz w:val="21"/>
                <w:szCs w:val="21"/>
                <w:shd w:val="clear" w:color="auto" w:fill="FFFFFF"/>
                <w:lang w:bidi="ar"/>
              </w:rPr>
            </w:pPr>
            <w:r>
              <w:rPr>
                <w:rFonts w:hint="eastAsia" w:eastAsia="仿宋_GB2312"/>
              </w:rPr>
              <w:t>林政</w:t>
            </w:r>
            <w:r>
              <w:rPr>
                <w:rFonts w:hint="eastAsia" w:eastAsia="仿宋_GB2312"/>
                <w:lang w:val="en-US" w:eastAsia="zh-CN"/>
              </w:rPr>
              <w:t>办</w:t>
            </w:r>
            <w:r>
              <w:rPr>
                <w:rFonts w:hint="eastAsia" w:eastAsia="仿宋_GB2312"/>
              </w:rPr>
              <w:t>〔20</w:t>
            </w:r>
            <w:r>
              <w:rPr>
                <w:rFonts w:hint="eastAsia" w:eastAsia="仿宋_GB2312"/>
                <w:lang w:val="en-US" w:eastAsia="zh-CN"/>
              </w:rPr>
              <w:t>19</w:t>
            </w:r>
            <w:r>
              <w:rPr>
                <w:rFonts w:hint="eastAsia" w:eastAsia="仿宋_GB2312"/>
              </w:rPr>
              <w:t>〕</w:t>
            </w:r>
            <w:r>
              <w:rPr>
                <w:rFonts w:hint="eastAsia" w:eastAsia="仿宋_GB2312"/>
                <w:lang w:val="en-US" w:eastAsia="zh-CN"/>
              </w:rPr>
              <w:t>3</w:t>
            </w:r>
            <w:r>
              <w:rPr>
                <w:rFonts w:hint="eastAsia" w:eastAsia="仿宋_GB2312"/>
              </w:rPr>
              <w:t>号</w:t>
            </w:r>
          </w:p>
        </w:tc>
        <w:tc>
          <w:tcPr>
            <w:tcW w:w="2398" w:type="dxa"/>
            <w:vAlign w:val="center"/>
          </w:tcPr>
          <w:p w14:paraId="2D5FB974">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11213BD3">
            <w:pPr>
              <w:jc w:val="center"/>
              <w:rPr>
                <w:rFonts w:ascii="仿宋_GB2312" w:hAnsi="仿宋_GB2312" w:eastAsia="仿宋_GB2312" w:cs="仿宋_GB2312"/>
                <w:color w:val="333333"/>
                <w:kern w:val="0"/>
                <w:sz w:val="21"/>
                <w:szCs w:val="21"/>
                <w:shd w:val="clear" w:color="auto" w:fill="FFFFFF"/>
                <w:lang w:bidi="ar"/>
              </w:rPr>
            </w:pPr>
            <w:r>
              <w:rPr>
                <w:rStyle w:val="6"/>
                <w:rFonts w:hint="eastAsia" w:ascii="仿宋_GB2312" w:hAnsi="仿宋_GB2312" w:eastAsia="仿宋_GB2312" w:cs="仿宋_GB2312"/>
                <w:b w:val="0"/>
                <w:color w:val="000000"/>
                <w:sz w:val="21"/>
                <w:szCs w:val="21"/>
                <w:lang w:eastAsia="zh-CN"/>
              </w:rPr>
              <w:t>上级文件依据已失效</w:t>
            </w:r>
          </w:p>
        </w:tc>
        <w:tc>
          <w:tcPr>
            <w:tcW w:w="1738" w:type="dxa"/>
            <w:vAlign w:val="center"/>
          </w:tcPr>
          <w:p w14:paraId="286F857E">
            <w:pPr>
              <w:jc w:val="center"/>
              <w:rPr>
                <w:rFonts w:ascii="仿宋_GB2312" w:hAnsi="仿宋_GB2312" w:eastAsia="仿宋_GB2312" w:cs="仿宋_GB2312"/>
                <w:color w:val="333333"/>
                <w:kern w:val="0"/>
                <w:sz w:val="21"/>
                <w:szCs w:val="21"/>
                <w:shd w:val="clear" w:color="auto" w:fill="FFFFFF"/>
                <w:lang w:bidi="ar"/>
              </w:rPr>
            </w:pPr>
          </w:p>
        </w:tc>
      </w:tr>
      <w:tr w14:paraId="4A6D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3ADB80D6">
            <w:pPr>
              <w:jc w:val="center"/>
              <w:rPr>
                <w:rFonts w:hint="default"/>
                <w:lang w:val="en-US" w:eastAsia="zh-CN"/>
              </w:rPr>
            </w:pPr>
            <w:r>
              <w:rPr>
                <w:rFonts w:hint="eastAsia" w:ascii="仿宋_GB2312" w:hAnsi="仿宋_GB2312" w:eastAsia="仿宋_GB2312" w:cs="仿宋_GB2312"/>
                <w:b w:val="0"/>
                <w:bCs/>
                <w:color w:val="000000"/>
                <w:kern w:val="2"/>
                <w:sz w:val="21"/>
                <w:szCs w:val="21"/>
                <w:lang w:val="en-US" w:eastAsia="zh-CN" w:bidi="ar-SA"/>
              </w:rPr>
              <w:t>18</w:t>
            </w:r>
          </w:p>
        </w:tc>
        <w:tc>
          <w:tcPr>
            <w:tcW w:w="4267" w:type="dxa"/>
            <w:vAlign w:val="center"/>
          </w:tcPr>
          <w:p w14:paraId="3D33C237">
            <w:pPr>
              <w:spacing w:line="240" w:lineRule="auto"/>
              <w:jc w:val="both"/>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bCs/>
                <w:sz w:val="21"/>
                <w:szCs w:val="21"/>
                <w:lang w:val="en-US" w:eastAsia="zh-CN"/>
              </w:rPr>
              <w:t>林州市人民政府关于加强淇淅河国家湿地公园建设保护管理的通告</w:t>
            </w:r>
          </w:p>
        </w:tc>
        <w:tc>
          <w:tcPr>
            <w:tcW w:w="2175" w:type="dxa"/>
            <w:vAlign w:val="center"/>
          </w:tcPr>
          <w:p w14:paraId="4033AF0C">
            <w:pPr>
              <w:jc w:val="center"/>
              <w:rPr>
                <w:rFonts w:ascii="仿宋_GB2312" w:hAnsi="仿宋_GB2312" w:eastAsia="仿宋_GB2312" w:cs="仿宋_GB2312"/>
                <w:color w:val="333333"/>
                <w:kern w:val="0"/>
                <w:sz w:val="21"/>
                <w:szCs w:val="21"/>
                <w:shd w:val="clear" w:color="auto" w:fill="FFFFFF"/>
                <w:lang w:bidi="ar"/>
              </w:rPr>
            </w:pPr>
            <w:r>
              <w:rPr>
                <w:rFonts w:hint="eastAsia" w:eastAsia="仿宋_GB2312"/>
                <w:lang w:val="en-US" w:eastAsia="zh-CN"/>
              </w:rPr>
              <w:t>林告字</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2</w:t>
            </w:r>
            <w:r>
              <w:rPr>
                <w:rFonts w:hint="eastAsia" w:eastAsia="仿宋_GB2312"/>
              </w:rPr>
              <w:t>号</w:t>
            </w:r>
          </w:p>
        </w:tc>
        <w:tc>
          <w:tcPr>
            <w:tcW w:w="2398" w:type="dxa"/>
            <w:vAlign w:val="center"/>
          </w:tcPr>
          <w:p w14:paraId="6D4D59CF">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2873AD3E">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已被新规覆盖</w:t>
            </w:r>
          </w:p>
        </w:tc>
        <w:tc>
          <w:tcPr>
            <w:tcW w:w="1738" w:type="dxa"/>
            <w:vAlign w:val="center"/>
          </w:tcPr>
          <w:p w14:paraId="53270FA2">
            <w:pPr>
              <w:jc w:val="center"/>
              <w:rPr>
                <w:rFonts w:ascii="仿宋_GB2312" w:hAnsi="仿宋_GB2312" w:eastAsia="仿宋_GB2312" w:cs="仿宋_GB2312"/>
                <w:color w:val="333333"/>
                <w:kern w:val="0"/>
                <w:sz w:val="21"/>
                <w:szCs w:val="21"/>
                <w:shd w:val="clear" w:color="auto" w:fill="FFFFFF"/>
                <w:lang w:bidi="ar"/>
              </w:rPr>
            </w:pPr>
          </w:p>
        </w:tc>
      </w:tr>
      <w:tr w14:paraId="1E6F7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4E030693">
            <w:pPr>
              <w:jc w:val="center"/>
              <w:rPr>
                <w:rFonts w:hint="default"/>
                <w:lang w:val="en-US" w:eastAsia="zh-CN"/>
              </w:rPr>
            </w:pPr>
            <w:r>
              <w:rPr>
                <w:rFonts w:hint="eastAsia" w:ascii="仿宋_GB2312" w:hAnsi="仿宋_GB2312" w:eastAsia="仿宋_GB2312" w:cs="仿宋_GB2312"/>
                <w:color w:val="333333"/>
                <w:kern w:val="0"/>
                <w:sz w:val="21"/>
                <w:szCs w:val="21"/>
                <w:shd w:val="clear" w:color="auto" w:fill="FFFFFF"/>
                <w:lang w:val="en-US" w:eastAsia="zh-CN" w:bidi="ar"/>
              </w:rPr>
              <w:t>19</w:t>
            </w:r>
          </w:p>
        </w:tc>
        <w:tc>
          <w:tcPr>
            <w:tcW w:w="4267" w:type="dxa"/>
            <w:vAlign w:val="center"/>
          </w:tcPr>
          <w:p w14:paraId="612DC3AE">
            <w:pPr>
              <w:pStyle w:val="2"/>
              <w:widowControl/>
              <w:shd w:val="clear" w:color="auto" w:fill="FFFFFF"/>
              <w:spacing w:beforeAutospacing="0" w:afterAutospacing="0"/>
              <w:jc w:val="center"/>
              <w:rPr>
                <w:rFonts w:ascii="仿宋_GB2312" w:hAnsi="仿宋_GB2312" w:eastAsia="仿宋_GB2312" w:cs="仿宋_GB2312"/>
                <w:color w:val="333333"/>
                <w:kern w:val="0"/>
                <w:sz w:val="21"/>
                <w:szCs w:val="21"/>
                <w:shd w:val="clear" w:color="auto" w:fill="FFFFFF"/>
                <w:lang w:bidi="ar"/>
              </w:rPr>
            </w:pPr>
            <w:r>
              <w:rPr>
                <w:rStyle w:val="6"/>
                <w:rFonts w:hint="eastAsia" w:ascii="仿宋_GB2312" w:hAnsi="仿宋_GB2312" w:eastAsia="仿宋_GB2312" w:cs="仿宋_GB2312"/>
                <w:b w:val="0"/>
                <w:color w:val="191919"/>
                <w:sz w:val="21"/>
                <w:szCs w:val="21"/>
                <w:shd w:val="clear" w:color="auto" w:fill="FFFFFF"/>
              </w:rPr>
              <w:t>林州市人民政府</w:t>
            </w:r>
            <w:r>
              <w:rPr>
                <w:rStyle w:val="6"/>
                <w:rFonts w:hint="eastAsia" w:ascii="仿宋_GB2312" w:hAnsi="仿宋_GB2312" w:eastAsia="仿宋_GB2312" w:cs="仿宋_GB2312"/>
                <w:b w:val="0"/>
                <w:color w:val="191919"/>
                <w:sz w:val="21"/>
                <w:szCs w:val="21"/>
                <w:shd w:val="clear" w:color="auto" w:fill="FFFFFF"/>
                <w:lang w:val="en-US" w:eastAsia="zh-CN"/>
              </w:rPr>
              <w:t>关于划定禁止使用高排放非道路移动机械区域的通告</w:t>
            </w:r>
          </w:p>
        </w:tc>
        <w:tc>
          <w:tcPr>
            <w:tcW w:w="2175" w:type="dxa"/>
            <w:vAlign w:val="center"/>
          </w:tcPr>
          <w:p w14:paraId="6DC450B2">
            <w:pPr>
              <w:jc w:val="center"/>
              <w:rPr>
                <w:rFonts w:ascii="仿宋_GB2312" w:hAnsi="仿宋_GB2312" w:eastAsia="仿宋_GB2312" w:cs="仿宋_GB2312"/>
                <w:color w:val="333333"/>
                <w:kern w:val="0"/>
                <w:sz w:val="21"/>
                <w:szCs w:val="21"/>
                <w:shd w:val="clear" w:color="auto" w:fill="FFFFFF"/>
                <w:lang w:bidi="ar"/>
              </w:rPr>
            </w:pPr>
            <w:r>
              <w:rPr>
                <w:rFonts w:hint="eastAsia" w:eastAsia="仿宋_GB2312"/>
                <w:lang w:val="en-US" w:eastAsia="zh-CN"/>
              </w:rPr>
              <w:t>林告字</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6</w:t>
            </w:r>
            <w:r>
              <w:rPr>
                <w:rFonts w:hint="eastAsia" w:eastAsia="仿宋_GB2312"/>
              </w:rPr>
              <w:t>号</w:t>
            </w:r>
          </w:p>
        </w:tc>
        <w:tc>
          <w:tcPr>
            <w:tcW w:w="2398" w:type="dxa"/>
            <w:vAlign w:val="center"/>
          </w:tcPr>
          <w:p w14:paraId="6A047ACF">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464C7D14">
            <w:pPr>
              <w:jc w:val="center"/>
              <w:rPr>
                <w:rFonts w:ascii="仿宋_GB2312" w:hAnsi="仿宋_GB2312" w:eastAsia="仿宋_GB2312" w:cs="仿宋_GB2312"/>
                <w:color w:val="333333"/>
                <w:kern w:val="0"/>
                <w:sz w:val="21"/>
                <w:szCs w:val="21"/>
                <w:shd w:val="clear" w:color="auto" w:fill="FFFFFF"/>
                <w:lang w:bidi="ar"/>
              </w:rPr>
            </w:pPr>
            <w:r>
              <w:rPr>
                <w:rStyle w:val="6"/>
                <w:rFonts w:hint="eastAsia" w:ascii="仿宋_GB2312" w:hAnsi="仿宋_GB2312" w:eastAsia="仿宋_GB2312" w:cs="仿宋_GB2312"/>
                <w:b w:val="0"/>
                <w:color w:val="000000"/>
                <w:sz w:val="21"/>
                <w:szCs w:val="21"/>
                <w:lang w:eastAsia="zh-CN"/>
              </w:rPr>
              <w:t>上级文件依据已失效</w:t>
            </w:r>
          </w:p>
        </w:tc>
        <w:tc>
          <w:tcPr>
            <w:tcW w:w="1738" w:type="dxa"/>
            <w:vAlign w:val="center"/>
          </w:tcPr>
          <w:p w14:paraId="00374BFC">
            <w:pPr>
              <w:jc w:val="center"/>
              <w:rPr>
                <w:rFonts w:ascii="仿宋_GB2312" w:hAnsi="仿宋_GB2312" w:eastAsia="仿宋_GB2312" w:cs="仿宋_GB2312"/>
                <w:color w:val="333333"/>
                <w:kern w:val="0"/>
                <w:sz w:val="21"/>
                <w:szCs w:val="21"/>
                <w:shd w:val="clear" w:color="auto" w:fill="FFFFFF"/>
                <w:lang w:bidi="ar"/>
              </w:rPr>
            </w:pPr>
          </w:p>
        </w:tc>
      </w:tr>
      <w:tr w14:paraId="2DC5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0618657E">
            <w:pPr>
              <w:jc w:val="center"/>
              <w:rPr>
                <w:rFonts w:hint="default"/>
                <w:lang w:val="en-US" w:eastAsia="zh-CN"/>
              </w:rPr>
            </w:pPr>
            <w:r>
              <w:rPr>
                <w:rFonts w:hint="eastAsia" w:ascii="仿宋_GB2312" w:hAnsi="仿宋_GB2312" w:eastAsia="仿宋_GB2312" w:cs="仿宋_GB2312"/>
                <w:b w:val="0"/>
                <w:bCs/>
                <w:color w:val="000000"/>
                <w:kern w:val="2"/>
                <w:sz w:val="21"/>
                <w:szCs w:val="21"/>
                <w:lang w:val="en-US" w:eastAsia="zh-CN" w:bidi="ar-SA"/>
              </w:rPr>
              <w:t>20</w:t>
            </w:r>
          </w:p>
        </w:tc>
        <w:tc>
          <w:tcPr>
            <w:tcW w:w="4267" w:type="dxa"/>
            <w:vAlign w:val="center"/>
          </w:tcPr>
          <w:p w14:paraId="62DFE2EB">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林州市人民政府关于禁止燃放烟花爆竹的</w:t>
            </w:r>
          </w:p>
          <w:p w14:paraId="15FD04D3">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sz w:val="21"/>
                <w:szCs w:val="21"/>
              </w:rPr>
              <w:t>通告</w:t>
            </w:r>
          </w:p>
        </w:tc>
        <w:tc>
          <w:tcPr>
            <w:tcW w:w="2175" w:type="dxa"/>
            <w:vAlign w:val="center"/>
          </w:tcPr>
          <w:p w14:paraId="6C14C25F">
            <w:pPr>
              <w:jc w:val="center"/>
              <w:rPr>
                <w:rFonts w:ascii="仿宋_GB2312" w:hAnsi="仿宋_GB2312" w:eastAsia="仿宋_GB2312" w:cs="仿宋_GB2312"/>
                <w:color w:val="333333"/>
                <w:kern w:val="0"/>
                <w:sz w:val="21"/>
                <w:szCs w:val="21"/>
                <w:shd w:val="clear" w:color="auto" w:fill="FFFFFF"/>
                <w:lang w:bidi="ar"/>
              </w:rPr>
            </w:pPr>
            <w:r>
              <w:rPr>
                <w:rFonts w:hint="eastAsia" w:eastAsia="仿宋_GB2312"/>
                <w:lang w:val="en-US" w:eastAsia="zh-CN"/>
              </w:rPr>
              <w:t>林告字</w:t>
            </w:r>
            <w:r>
              <w:rPr>
                <w:rFonts w:hint="eastAsia" w:eastAsia="仿宋_GB2312"/>
              </w:rPr>
              <w:t>〔20</w:t>
            </w:r>
            <w:r>
              <w:rPr>
                <w:rFonts w:hint="eastAsia" w:eastAsia="仿宋_GB2312"/>
                <w:lang w:val="en-US" w:eastAsia="zh-CN"/>
              </w:rPr>
              <w:t>18</w:t>
            </w:r>
            <w:r>
              <w:rPr>
                <w:rFonts w:hint="eastAsia" w:eastAsia="仿宋_GB2312"/>
              </w:rPr>
              <w:t>〕</w:t>
            </w:r>
            <w:r>
              <w:rPr>
                <w:rFonts w:hint="eastAsia" w:eastAsia="仿宋_GB2312"/>
                <w:lang w:val="en-US" w:eastAsia="zh-CN"/>
              </w:rPr>
              <w:t>7</w:t>
            </w:r>
            <w:r>
              <w:rPr>
                <w:rFonts w:hint="eastAsia" w:eastAsia="仿宋_GB2312"/>
              </w:rPr>
              <w:t>号</w:t>
            </w:r>
          </w:p>
        </w:tc>
        <w:tc>
          <w:tcPr>
            <w:tcW w:w="2398" w:type="dxa"/>
            <w:vAlign w:val="center"/>
          </w:tcPr>
          <w:p w14:paraId="31792077">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5522A47C">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已被新规覆盖</w:t>
            </w:r>
          </w:p>
        </w:tc>
        <w:tc>
          <w:tcPr>
            <w:tcW w:w="1738" w:type="dxa"/>
            <w:vAlign w:val="center"/>
          </w:tcPr>
          <w:p w14:paraId="286A2839">
            <w:pPr>
              <w:jc w:val="center"/>
              <w:rPr>
                <w:rFonts w:ascii="仿宋_GB2312" w:hAnsi="仿宋_GB2312" w:eastAsia="仿宋_GB2312" w:cs="仿宋_GB2312"/>
                <w:color w:val="333333"/>
                <w:kern w:val="0"/>
                <w:sz w:val="21"/>
                <w:szCs w:val="21"/>
                <w:shd w:val="clear" w:color="auto" w:fill="FFFFFF"/>
                <w:lang w:bidi="ar"/>
              </w:rPr>
            </w:pPr>
          </w:p>
        </w:tc>
      </w:tr>
      <w:tr w14:paraId="5C93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244A2F75">
            <w:pPr>
              <w:jc w:val="center"/>
              <w:rPr>
                <w:rFonts w:hint="default"/>
                <w:lang w:val="en-US" w:eastAsia="zh-CN"/>
              </w:rPr>
            </w:pPr>
            <w:r>
              <w:rPr>
                <w:rFonts w:hint="eastAsia" w:ascii="仿宋_GB2312" w:hAnsi="仿宋_GB2312" w:eastAsia="仿宋_GB2312" w:cs="仿宋_GB2312"/>
                <w:color w:val="333333"/>
                <w:kern w:val="0"/>
                <w:sz w:val="21"/>
                <w:szCs w:val="21"/>
                <w:shd w:val="clear" w:color="auto" w:fill="FFFFFF"/>
                <w:lang w:val="en-US" w:eastAsia="zh-CN" w:bidi="ar"/>
              </w:rPr>
              <w:t>21</w:t>
            </w:r>
          </w:p>
        </w:tc>
        <w:tc>
          <w:tcPr>
            <w:tcW w:w="4267" w:type="dxa"/>
            <w:vAlign w:val="center"/>
          </w:tcPr>
          <w:p w14:paraId="7FDEC209">
            <w:pPr>
              <w:spacing w:line="240" w:lineRule="auto"/>
              <w:jc w:val="both"/>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lang w:val="en-US" w:eastAsia="zh-CN"/>
              </w:rPr>
              <w:t>林州市人民政府关于责令砍伐电力线路保护区内树木及治理线下违章建筑的通告</w:t>
            </w:r>
          </w:p>
        </w:tc>
        <w:tc>
          <w:tcPr>
            <w:tcW w:w="2175" w:type="dxa"/>
            <w:vAlign w:val="center"/>
          </w:tcPr>
          <w:p w14:paraId="13A738BB">
            <w:pPr>
              <w:jc w:val="center"/>
              <w:rPr>
                <w:rFonts w:hint="eastAsia" w:eastAsia="仿宋_GB2312"/>
              </w:rPr>
            </w:pPr>
            <w:r>
              <w:rPr>
                <w:rFonts w:hint="eastAsia" w:eastAsia="仿宋_GB2312"/>
                <w:lang w:val="en-US" w:eastAsia="zh-CN"/>
              </w:rPr>
              <w:t>林告字</w:t>
            </w:r>
            <w:r>
              <w:rPr>
                <w:rFonts w:hint="eastAsia" w:eastAsia="仿宋_GB2312"/>
              </w:rPr>
              <w:t>〔20</w:t>
            </w:r>
            <w:r>
              <w:rPr>
                <w:rFonts w:hint="eastAsia" w:eastAsia="仿宋_GB2312"/>
                <w:lang w:val="en-US" w:eastAsia="zh-CN"/>
              </w:rPr>
              <w:t>22</w:t>
            </w:r>
            <w:r>
              <w:rPr>
                <w:rFonts w:hint="eastAsia" w:eastAsia="仿宋_GB2312"/>
              </w:rPr>
              <w:t>〕</w:t>
            </w:r>
            <w:r>
              <w:rPr>
                <w:rFonts w:hint="eastAsia" w:eastAsia="仿宋_GB2312"/>
                <w:lang w:val="en-US" w:eastAsia="zh-CN"/>
              </w:rPr>
              <w:t>3</w:t>
            </w:r>
            <w:r>
              <w:rPr>
                <w:rFonts w:hint="eastAsia" w:eastAsia="仿宋_GB2312"/>
              </w:rPr>
              <w:t>号</w:t>
            </w:r>
          </w:p>
        </w:tc>
        <w:tc>
          <w:tcPr>
            <w:tcW w:w="2398" w:type="dxa"/>
            <w:vAlign w:val="center"/>
          </w:tcPr>
          <w:p w14:paraId="172DC649">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4863B887">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阶段性工作已完成</w:t>
            </w:r>
          </w:p>
        </w:tc>
        <w:tc>
          <w:tcPr>
            <w:tcW w:w="1738" w:type="dxa"/>
            <w:vAlign w:val="center"/>
          </w:tcPr>
          <w:p w14:paraId="329EE1E8">
            <w:pPr>
              <w:jc w:val="center"/>
              <w:rPr>
                <w:rFonts w:ascii="仿宋_GB2312" w:hAnsi="仿宋_GB2312" w:eastAsia="仿宋_GB2312" w:cs="仿宋_GB2312"/>
                <w:color w:val="333333"/>
                <w:kern w:val="0"/>
                <w:sz w:val="21"/>
                <w:szCs w:val="21"/>
                <w:shd w:val="clear" w:color="auto" w:fill="FFFFFF"/>
                <w:lang w:bidi="ar"/>
              </w:rPr>
            </w:pPr>
          </w:p>
        </w:tc>
      </w:tr>
      <w:tr w14:paraId="6CC94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38B5ED49">
            <w:pPr>
              <w:jc w:val="center"/>
              <w:rPr>
                <w:rFonts w:hint="default"/>
                <w:lang w:val="en-US" w:eastAsia="zh-CN"/>
              </w:rPr>
            </w:pPr>
            <w:r>
              <w:rPr>
                <w:rFonts w:hint="eastAsia" w:ascii="仿宋_GB2312" w:hAnsi="仿宋_GB2312" w:eastAsia="仿宋_GB2312" w:cs="仿宋_GB2312"/>
                <w:color w:val="333333"/>
                <w:kern w:val="0"/>
                <w:sz w:val="21"/>
                <w:szCs w:val="21"/>
                <w:shd w:val="clear" w:color="auto" w:fill="FFFFFF"/>
                <w:lang w:val="en-US" w:eastAsia="zh-CN" w:bidi="ar"/>
              </w:rPr>
              <w:t>22</w:t>
            </w:r>
          </w:p>
        </w:tc>
        <w:tc>
          <w:tcPr>
            <w:tcW w:w="4267" w:type="dxa"/>
            <w:vAlign w:val="center"/>
          </w:tcPr>
          <w:p w14:paraId="198E7554">
            <w:pPr>
              <w:spacing w:line="240" w:lineRule="auto"/>
              <w:jc w:val="both"/>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林州市人民政府关于禁止燃放烟花爆竹的</w:t>
            </w:r>
          </w:p>
          <w:p w14:paraId="027C9FD1">
            <w:pPr>
              <w:spacing w:line="240" w:lineRule="auto"/>
              <w:jc w:val="both"/>
              <w:rPr>
                <w:rFonts w:hint="eastAsia" w:ascii="仿宋_GB2312" w:hAnsi="仿宋_GB2312" w:eastAsia="仿宋_GB2312" w:cs="仿宋_GB2312"/>
                <w:bCs/>
                <w:sz w:val="21"/>
                <w:szCs w:val="21"/>
              </w:rPr>
            </w:pPr>
            <w:r>
              <w:rPr>
                <w:rFonts w:hint="eastAsia" w:ascii="仿宋_GB2312" w:hAnsi="仿宋_GB2312" w:eastAsia="仿宋_GB2312" w:cs="仿宋_GB2312"/>
                <w:sz w:val="21"/>
                <w:szCs w:val="21"/>
                <w:lang w:val="en-US" w:eastAsia="zh-CN"/>
              </w:rPr>
              <w:t>通告</w:t>
            </w:r>
          </w:p>
        </w:tc>
        <w:tc>
          <w:tcPr>
            <w:tcW w:w="2175" w:type="dxa"/>
            <w:vAlign w:val="center"/>
          </w:tcPr>
          <w:p w14:paraId="0BFFE9F8">
            <w:pPr>
              <w:jc w:val="center"/>
              <w:rPr>
                <w:rFonts w:hint="eastAsia" w:eastAsia="仿宋_GB2312"/>
              </w:rPr>
            </w:pPr>
            <w:r>
              <w:rPr>
                <w:rFonts w:hint="eastAsia" w:ascii="仿宋_GB2312" w:hAnsi="仿宋_GB2312" w:eastAsia="仿宋_GB2312" w:cs="仿宋_GB2312"/>
                <w:snapToGrid w:val="0"/>
                <w:color w:val="000000"/>
                <w:kern w:val="0"/>
                <w:sz w:val="24"/>
                <w:szCs w:val="24"/>
                <w:lang w:val="en-US" w:eastAsia="zh-CN"/>
              </w:rPr>
              <w:t>林告字</w:t>
            </w:r>
            <w:r>
              <w:rPr>
                <w:rFonts w:hint="eastAsia" w:ascii="仿宋_GB2312" w:hAnsi="仿宋_GB2312" w:eastAsia="仿宋_GB2312" w:cs="仿宋_GB2312"/>
                <w:sz w:val="24"/>
                <w:szCs w:val="24"/>
                <w:lang w:val="en-US" w:eastAsia="zh-CN"/>
              </w:rPr>
              <w:t>〔2023〕</w:t>
            </w:r>
            <w:r>
              <w:rPr>
                <w:rFonts w:hint="eastAsia" w:ascii="仿宋_GB2312" w:hAnsi="仿宋_GB2312" w:eastAsia="仿宋_GB2312" w:cs="仿宋_GB2312"/>
                <w:snapToGrid w:val="0"/>
                <w:color w:val="000000"/>
                <w:kern w:val="0"/>
                <w:sz w:val="24"/>
                <w:szCs w:val="24"/>
                <w:lang w:val="en-US" w:eastAsia="zh-CN"/>
              </w:rPr>
              <w:t>4号</w:t>
            </w:r>
          </w:p>
        </w:tc>
        <w:tc>
          <w:tcPr>
            <w:tcW w:w="2398" w:type="dxa"/>
            <w:vAlign w:val="center"/>
          </w:tcPr>
          <w:p w14:paraId="39230389">
            <w:pPr>
              <w:jc w:val="center"/>
              <w:rPr>
                <w:rFonts w:ascii="仿宋_GB2312" w:hAnsi="仿宋_GB2312" w:eastAsia="仿宋_GB2312" w:cs="仿宋_GB2312"/>
                <w:color w:val="333333"/>
                <w:kern w:val="0"/>
                <w:sz w:val="21"/>
                <w:szCs w:val="21"/>
                <w:shd w:val="clear" w:color="auto" w:fill="FFFFFF"/>
                <w:lang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53495D08">
            <w:pPr>
              <w:jc w:val="center"/>
              <w:rPr>
                <w:rFonts w:ascii="仿宋_GB2312" w:hAnsi="仿宋_GB2312" w:eastAsia="仿宋_GB2312" w:cs="仿宋_GB2312"/>
                <w:color w:val="333333"/>
                <w:kern w:val="0"/>
                <w:sz w:val="21"/>
                <w:szCs w:val="21"/>
                <w:shd w:val="clear" w:color="auto" w:fill="FFFFFF"/>
                <w:lang w:bidi="ar"/>
              </w:rPr>
            </w:pPr>
            <w:r>
              <w:rPr>
                <w:rStyle w:val="6"/>
                <w:rFonts w:hint="eastAsia" w:ascii="仿宋_GB2312" w:hAnsi="仿宋_GB2312" w:eastAsia="仿宋_GB2312" w:cs="仿宋_GB2312"/>
                <w:b w:val="0"/>
                <w:color w:val="000000"/>
                <w:sz w:val="21"/>
                <w:szCs w:val="21"/>
                <w:lang w:eastAsia="zh-CN"/>
              </w:rPr>
              <w:t>阶段性工作已完成</w:t>
            </w:r>
          </w:p>
        </w:tc>
        <w:tc>
          <w:tcPr>
            <w:tcW w:w="1738" w:type="dxa"/>
            <w:vAlign w:val="center"/>
          </w:tcPr>
          <w:p w14:paraId="67552DDA">
            <w:pPr>
              <w:jc w:val="center"/>
              <w:rPr>
                <w:rFonts w:ascii="仿宋_GB2312" w:hAnsi="仿宋_GB2312" w:eastAsia="仿宋_GB2312" w:cs="仿宋_GB2312"/>
                <w:color w:val="333333"/>
                <w:kern w:val="0"/>
                <w:sz w:val="21"/>
                <w:szCs w:val="21"/>
                <w:shd w:val="clear" w:color="auto" w:fill="FFFFFF"/>
                <w:lang w:bidi="ar"/>
              </w:rPr>
            </w:pPr>
          </w:p>
        </w:tc>
      </w:tr>
      <w:tr w14:paraId="79BE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17" w:type="dxa"/>
            <w:vAlign w:val="center"/>
          </w:tcPr>
          <w:p w14:paraId="715CF488">
            <w:pPr>
              <w:jc w:val="center"/>
              <w:rPr>
                <w:rFonts w:hint="default"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23</w:t>
            </w:r>
          </w:p>
        </w:tc>
        <w:tc>
          <w:tcPr>
            <w:tcW w:w="4267" w:type="dxa"/>
            <w:vAlign w:val="center"/>
          </w:tcPr>
          <w:p w14:paraId="14C2727B">
            <w:pPr>
              <w:spacing w:line="240" w:lineRule="auto"/>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林州市人民政府关于印发林州市招商引资重点项目若干奖励扶持措施的通知</w:t>
            </w:r>
          </w:p>
        </w:tc>
        <w:tc>
          <w:tcPr>
            <w:tcW w:w="2175" w:type="dxa"/>
            <w:vAlign w:val="center"/>
          </w:tcPr>
          <w:p w14:paraId="00E7AC6E">
            <w:pPr>
              <w:jc w:val="center"/>
              <w:rPr>
                <w:rFonts w:hint="eastAsia" w:ascii="仿宋_GB2312" w:hAnsi="仿宋_GB2312" w:eastAsia="仿宋_GB2312" w:cs="仿宋_GB2312"/>
                <w:snapToGrid w:val="0"/>
                <w:color w:val="000000"/>
                <w:kern w:val="0"/>
                <w:sz w:val="24"/>
                <w:szCs w:val="24"/>
                <w:lang w:val="en-US" w:eastAsia="zh-CN"/>
              </w:rPr>
            </w:pPr>
            <w:r>
              <w:rPr>
                <w:rFonts w:hint="eastAsia" w:ascii="仿宋_GB2312" w:hAnsi="仿宋_GB2312" w:eastAsia="仿宋_GB2312" w:cs="仿宋_GB2312"/>
                <w:snapToGrid w:val="0"/>
                <w:color w:val="000000"/>
                <w:kern w:val="0"/>
                <w:sz w:val="24"/>
                <w:szCs w:val="24"/>
                <w:lang w:val="en-US" w:eastAsia="zh-CN"/>
              </w:rPr>
              <w:t>林政文</w:t>
            </w:r>
            <w:r>
              <w:rPr>
                <w:rFonts w:hint="eastAsia" w:ascii="仿宋_GB2312" w:hAnsi="仿宋_GB2312" w:eastAsia="仿宋_GB2312" w:cs="仿宋_GB2312"/>
                <w:sz w:val="24"/>
                <w:szCs w:val="24"/>
                <w:lang w:val="en-US" w:eastAsia="zh-CN"/>
              </w:rPr>
              <w:t>〔2018〕</w:t>
            </w:r>
            <w:r>
              <w:rPr>
                <w:rFonts w:hint="eastAsia" w:ascii="仿宋_GB2312" w:hAnsi="仿宋_GB2312" w:eastAsia="仿宋_GB2312" w:cs="仿宋_GB2312"/>
                <w:snapToGrid w:val="0"/>
                <w:color w:val="000000"/>
                <w:kern w:val="0"/>
                <w:sz w:val="24"/>
                <w:szCs w:val="24"/>
                <w:lang w:val="en-US" w:eastAsia="zh-CN"/>
              </w:rPr>
              <w:t>119号</w:t>
            </w:r>
          </w:p>
        </w:tc>
        <w:tc>
          <w:tcPr>
            <w:tcW w:w="2398" w:type="dxa"/>
            <w:vAlign w:val="center"/>
          </w:tcPr>
          <w:p w14:paraId="00A60794">
            <w:pPr>
              <w:jc w:val="center"/>
              <w:rPr>
                <w:rFonts w:hint="eastAsia" w:ascii="仿宋_GB2312" w:hAnsi="仿宋_GB2312" w:eastAsia="仿宋_GB2312" w:cs="仿宋_GB2312"/>
                <w:color w:val="333333"/>
                <w:kern w:val="0"/>
                <w:sz w:val="21"/>
                <w:szCs w:val="21"/>
                <w:shd w:val="clear" w:color="auto" w:fill="FFFFFF"/>
                <w:lang w:val="en-US" w:eastAsia="zh-CN" w:bidi="ar"/>
              </w:rPr>
            </w:pPr>
            <w:r>
              <w:rPr>
                <w:rFonts w:hint="eastAsia" w:ascii="仿宋_GB2312" w:hAnsi="仿宋_GB2312" w:eastAsia="仿宋_GB2312" w:cs="仿宋_GB2312"/>
                <w:color w:val="333333"/>
                <w:kern w:val="0"/>
                <w:sz w:val="21"/>
                <w:szCs w:val="21"/>
                <w:shd w:val="clear" w:color="auto" w:fill="FFFFFF"/>
                <w:lang w:val="en-US" w:eastAsia="zh-CN" w:bidi="ar"/>
              </w:rPr>
              <w:t>失效</w:t>
            </w:r>
          </w:p>
        </w:tc>
        <w:tc>
          <w:tcPr>
            <w:tcW w:w="2502" w:type="dxa"/>
            <w:vAlign w:val="center"/>
          </w:tcPr>
          <w:p w14:paraId="7289BAB4">
            <w:pPr>
              <w:jc w:val="center"/>
              <w:rPr>
                <w:rStyle w:val="6"/>
                <w:rFonts w:hint="eastAsia" w:ascii="仿宋_GB2312" w:hAnsi="仿宋_GB2312" w:eastAsia="仿宋_GB2312" w:cs="仿宋_GB2312"/>
                <w:b w:val="0"/>
                <w:color w:val="000000"/>
                <w:sz w:val="21"/>
                <w:szCs w:val="21"/>
                <w:lang w:eastAsia="zh-CN"/>
              </w:rPr>
            </w:pPr>
            <w:r>
              <w:rPr>
                <w:rStyle w:val="6"/>
                <w:rFonts w:hint="eastAsia" w:ascii="仿宋_GB2312" w:hAnsi="仿宋_GB2312" w:eastAsia="仿宋_GB2312" w:cs="仿宋_GB2312"/>
                <w:b w:val="0"/>
                <w:color w:val="000000"/>
                <w:sz w:val="21"/>
                <w:szCs w:val="21"/>
                <w:lang w:eastAsia="zh-CN"/>
              </w:rPr>
              <w:t>阶段性工作已完成</w:t>
            </w:r>
          </w:p>
        </w:tc>
        <w:tc>
          <w:tcPr>
            <w:tcW w:w="1738" w:type="dxa"/>
            <w:vAlign w:val="center"/>
          </w:tcPr>
          <w:p w14:paraId="307BFBB9">
            <w:pPr>
              <w:jc w:val="center"/>
              <w:rPr>
                <w:rFonts w:ascii="仿宋_GB2312" w:hAnsi="仿宋_GB2312" w:eastAsia="仿宋_GB2312" w:cs="仿宋_GB2312"/>
                <w:color w:val="333333"/>
                <w:kern w:val="0"/>
                <w:sz w:val="21"/>
                <w:szCs w:val="21"/>
                <w:shd w:val="clear" w:color="auto" w:fill="FFFFFF"/>
                <w:lang w:bidi="ar"/>
              </w:rPr>
            </w:pPr>
          </w:p>
        </w:tc>
      </w:tr>
    </w:tbl>
    <w:p w14:paraId="257B3615">
      <w:pPr>
        <w:sectPr>
          <w:pgSz w:w="16838" w:h="11906" w:orient="landscape"/>
          <w:pgMar w:top="1800" w:right="1440" w:bottom="1800" w:left="1440" w:header="851" w:footer="992" w:gutter="0"/>
          <w:pgNumType w:fmt="numberInDash"/>
          <w:cols w:space="425" w:num="1"/>
          <w:docGrid w:type="lines" w:linePitch="312" w:charSpace="0"/>
        </w:sectPr>
      </w:pPr>
    </w:p>
    <w:p w14:paraId="592F3ABA">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6834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99"/>
    <w:pPr>
      <w:spacing w:beforeAutospacing="1" w:afterAutospacing="1"/>
      <w:jc w:val="left"/>
    </w:pPr>
    <w:rPr>
      <w:kern w:val="0"/>
      <w:sz w:val="24"/>
      <w:szCs w:val="24"/>
    </w:rPr>
  </w:style>
  <w:style w:type="table" w:styleId="4">
    <w:name w:val="Table Grid"/>
    <w:basedOn w:val="3"/>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Strong"/>
    <w:basedOn w:val="5"/>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2025-09-01T01:46:52Z</dcterms:created>
  <dc:creator>Administrator</dc:creator>
  <cp:lastModifiedBy>惠仔</cp:lastModifiedBy>
  <dcterms:modified xsi:type="dcterms:W3CDTF">2025-09-01T01:47:01Z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eyJoZGlkIjoiOWRiYzhlOTM1M2FhNjE1OTE1YzVlOGZmOWJjY2Q0N2YiLCJ1c2VySWQiOiI1MDA0OTQzMTAifQ==</vt:lpwstr>
  </property>
  <property fmtid="{D5CDD505-2E9C-101B-9397-08002B2CF9AE}" pid="4" name="ICV">
    <vt:lpwstr>1B287B0CABED48DD9630D436B19421D7_12</vt:lpwstr>
  </property>
</Properties>
</file>